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Контракт  №  100/26</w:t>
      </w:r>
    </w:p>
    <w:p>
      <w:pPr>
        <w:pStyle w:val="Normal"/>
        <w:jc w:val="center"/>
        <w:rPr>
          <w:b/>
          <w:highlight w:val="yellow"/>
        </w:rPr>
      </w:pPr>
      <w:r>
        <w:rPr>
          <w:b/>
          <w:highlight w:val="yellow"/>
        </w:rPr>
      </w:r>
    </w:p>
    <w:p>
      <w:pPr>
        <w:pStyle w:val="Normal"/>
        <w:widowControl w:val="false"/>
        <w:jc w:val="both"/>
        <w:rPr>
          <w:lang w:eastAsia="zh-CN"/>
        </w:rPr>
      </w:pPr>
      <w:r>
        <w:rPr/>
        <w:t>г. Кемерово</w:t>
      </w:r>
      <w:r>
        <w:rPr>
          <w:b/>
          <w:bCs/>
          <w:color w:val="000000"/>
        </w:rPr>
        <w:t xml:space="preserve">                                                                       </w:t>
      </w:r>
      <w:bookmarkStart w:id="0" w:name="_Hlk159928058"/>
      <w:r>
        <w:rPr>
          <w:b/>
          <w:bCs/>
          <w:color w:val="000000"/>
        </w:rPr>
        <w:t xml:space="preserve">                                                              </w:t>
      </w:r>
      <w:r>
        <w:rPr/>
        <w:t>«   »                2026г.</w:t>
      </w:r>
      <w:bookmarkEnd w:id="0"/>
    </w:p>
    <w:p>
      <w:pPr>
        <w:pStyle w:val="Normal"/>
        <w:spacing w:before="0" w:after="60"/>
        <w:jc w:val="both"/>
        <w:rPr/>
      </w:pPr>
      <w:r>
        <w:rPr/>
      </w:r>
    </w:p>
    <w:p>
      <w:pPr>
        <w:pStyle w:val="Normal"/>
        <w:jc w:val="both"/>
        <w:rPr/>
      </w:pPr>
      <w:r>
        <w:rPr>
          <w:b/>
          <w:bCs/>
          <w:color w:val="000000"/>
          <w:sz w:val="28"/>
          <w:szCs w:val="28"/>
        </w:rPr>
        <w:tab/>
      </w:r>
      <w:r>
        <w:rPr>
          <w:b/>
          <w:bCs/>
          <w:color w:val="000000"/>
        </w:rPr>
        <w:t>Федераль</w:t>
      </w:r>
      <w:bookmarkStart w:id="1" w:name="_Hlk1775658901"/>
      <w:r>
        <w:rPr>
          <w:b/>
          <w:bCs/>
          <w:color w:val="000000"/>
        </w:rPr>
        <w:t>ное государственное бюджетное научное учреждение «Научно-исследовательский институт комплексных проблем сердечно-сосудистых заболеваний»</w:t>
      </w:r>
      <w:bookmarkEnd w:id="1"/>
      <w:r>
        <w:rPr>
          <w:b/>
          <w:bCs/>
          <w:color w:val="000000"/>
        </w:rPr>
        <w:t xml:space="preserve"> </w:t>
      </w:r>
      <w:r>
        <w:rPr>
          <w:b/>
          <w:bCs/>
          <w:color w:val="000000"/>
          <w:highlight w:val="white"/>
        </w:rPr>
        <w:t>(НИИ КПССЗ),</w:t>
      </w:r>
      <w:r>
        <w:rPr>
          <w:color w:val="000000"/>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от 29.12.2025г., именуемое в дальнейшем </w:t>
      </w:r>
      <w:r>
        <w:rPr>
          <w:b/>
          <w:bCs/>
          <w:color w:val="000000"/>
        </w:rPr>
        <w:t>«Заказчик»</w:t>
      </w:r>
      <w:r>
        <w:rPr>
          <w:color w:val="000000"/>
        </w:rPr>
        <w:t xml:space="preserve">, с одной стороны, и </w:t>
      </w:r>
      <w:r>
        <w:rPr>
          <w:color w:val="000000"/>
          <w:shd w:fill="FFFF00" w:val="clear"/>
        </w:rPr>
        <w:t>______________________________, в лице __________________, действующего на основании __________________, лицензия на право осуществления фармацевтической деятельности</w:t>
      </w:r>
      <w:r>
        <w:rPr>
          <w:color w:val="000000"/>
        </w:rPr>
        <w:t xml:space="preserve">  с другой стороны, именуемое в дальнейшем </w:t>
      </w:r>
      <w:r>
        <w:rPr>
          <w:b/>
          <w:bCs/>
          <w:color w:val="000000"/>
        </w:rPr>
        <w:t>«Поставщик»</w:t>
      </w:r>
      <w:r>
        <w:rPr>
          <w:color w:val="000000"/>
        </w:rPr>
        <w:t>,</w:t>
      </w:r>
      <w:r>
        <w:rPr>
          <w:color w:val="000000"/>
          <w:shd w:fill="FFFF00" w:val="clear"/>
        </w:rPr>
        <w:t xml:space="preserve"> ___________</w:t>
      </w:r>
      <w:r>
        <w:rPr>
          <w:color w:val="000000"/>
        </w:rPr>
        <w:t>в</w:t>
      </w:r>
      <w:r>
        <w:rPr>
          <w:color w:val="000000"/>
          <w:highlight w:val="white"/>
        </w:rPr>
        <w:t xml:space="preserve"> дальнейшем при совместном упоминании именуемые </w:t>
      </w:r>
      <w:r>
        <w:rPr>
          <w:b/>
          <w:bCs/>
          <w:color w:val="000000"/>
          <w:highlight w:val="white"/>
        </w:rPr>
        <w:t>«Стороны»</w:t>
      </w:r>
      <w:r>
        <w:rPr>
          <w:color w:val="000000"/>
          <w:highlight w:val="white"/>
        </w:rPr>
        <w:t xml:space="preserve">, </w:t>
      </w:r>
      <w:r>
        <w:rPr>
          <w:color w:val="000000"/>
        </w:rPr>
        <w:t>в соответствии с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spacing w:before="0" w:after="60"/>
        <w:jc w:val="center"/>
        <w:rPr>
          <w:color w:val="000000"/>
        </w:rPr>
      </w:pPr>
      <w:r>
        <w:rPr>
          <w:b/>
          <w:color w:val="000000"/>
        </w:rPr>
        <w:t xml:space="preserve">1. Предмет </w:t>
      </w:r>
      <w:r>
        <w:rPr>
          <w:b/>
          <w:bCs/>
          <w:color w:val="000000"/>
        </w:rPr>
        <w:t>контракта</w:t>
      </w:r>
    </w:p>
    <w:p>
      <w:pPr>
        <w:pStyle w:val="Normal"/>
        <w:numPr>
          <w:ilvl w:val="0"/>
          <w:numId w:val="0"/>
        </w:numPr>
        <w:ind w:hanging="0" w:left="0"/>
        <w:jc w:val="both"/>
        <w:outlineLvl w:val="0"/>
        <w:rPr>
          <w:b/>
          <w:bCs/>
        </w:rPr>
      </w:pPr>
      <w:r>
        <w:rPr>
          <w:color w:val="000000"/>
        </w:rPr>
        <w:t xml:space="preserve">1.1. Поставщик по настоящему </w:t>
      </w:r>
      <w:r>
        <w:rPr>
          <w:bCs/>
          <w:color w:val="000000"/>
        </w:rPr>
        <w:t>контракту</w:t>
      </w:r>
      <w:r>
        <w:rPr>
          <w:color w:val="000000"/>
        </w:rPr>
        <w:t xml:space="preserve"> обязуется поставить товар: </w:t>
      </w:r>
      <w:r>
        <w:rPr>
          <w:b/>
          <w:bCs/>
          <w:color w:val="000000"/>
        </w:rPr>
        <w:t xml:space="preserve">лекарственные препараты </w:t>
      </w:r>
      <w:r>
        <w:rPr/>
        <w:t xml:space="preserve">и передать его Заказчику, а Заказчик по настоящему </w:t>
      </w:r>
      <w:r>
        <w:rPr>
          <w:bCs/>
        </w:rPr>
        <w:t>контракту</w:t>
      </w:r>
      <w:r>
        <w:rPr/>
        <w:t xml:space="preserve"> обязуется принять и оплатить поставленную Поставщиком продукцию (далее – Товар). Наименование и количество Товара устанавливается настоящим </w:t>
      </w:r>
      <w:r>
        <w:rPr>
          <w:bCs/>
        </w:rPr>
        <w:t xml:space="preserve">контрактом </w:t>
      </w:r>
      <w:r>
        <w:rPr/>
        <w:t xml:space="preserve">и спецификацией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shd w:fill="FFFF00" w:val="clear"/>
        </w:rPr>
        <w:t xml:space="preserve">________рублей (_________ руб. 00 коп.), </w:t>
      </w:r>
      <w:r>
        <w:rPr>
          <w:b/>
          <w:bCs/>
          <w:color w:val="000000"/>
          <w:shd w:fill="FFFF00" w:val="clear"/>
        </w:rPr>
        <w:t xml:space="preserve">в том числе НДС (__%) – ___ руб. </w:t>
      </w:r>
    </w:p>
    <w:p>
      <w:pPr>
        <w:pStyle w:val="CommentText"/>
        <w:jc w:val="both"/>
        <w:rPr/>
      </w:pPr>
      <w:r>
        <w:rPr>
          <w:color w:val="000000"/>
        </w:rPr>
        <w:t>Цена контракта включает в себя стоимость Товара, а также расходы на</w:t>
      </w:r>
      <w:r>
        <w:rPr/>
        <w:t xml:space="preserve">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pPr>
        <w:pStyle w:val="Normal"/>
        <w:widowControl w:val="false"/>
        <w:jc w:val="both"/>
        <w:rPr/>
      </w:pPr>
      <w:r>
        <w:rPr/>
        <w:t xml:space="preserve">2.2. Цена контракта является твердой и определяется на весь срок исполнения контракта. </w:t>
      </w:r>
    </w:p>
    <w:p>
      <w:pPr>
        <w:pStyle w:val="BodyTextIndent"/>
        <w:tabs>
          <w:tab w:val="clear" w:pos="708"/>
          <w:tab w:val="left" w:pos="540" w:leader="none"/>
        </w:tabs>
        <w:ind w:hanging="0"/>
        <w:rPr>
          <w:lang w:val="ru-RU"/>
        </w:rPr>
      </w:pPr>
      <w:r>
        <w:rPr>
          <w:lang w:val="ru-RU"/>
        </w:rPr>
        <w:t xml:space="preserve">2.3. </w:t>
      </w:r>
      <w:r>
        <w:rPr>
          <w:rFonts w:eastAsia="Times New Roman"/>
          <w:color w:themeColor="text1" w:val="000000"/>
          <w:lang w:val="ru-RU"/>
        </w:rPr>
        <w:t xml:space="preserve">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w:t>
      </w:r>
      <w:r>
        <w:rPr>
          <w:rFonts w:eastAsia="Times New Roman"/>
          <w:lang w:val="ru-RU"/>
        </w:rPr>
        <w:t>по форме ОКУД 0510452 (Приказ Минфина от 15.04.2021 г. №61н) (далее -ф. 0510452)</w:t>
      </w:r>
      <w:r>
        <w:rPr>
          <w:rFonts w:eastAsia="Times New Roman"/>
          <w:color w:themeColor="text1" w:val="000000"/>
          <w:sz w:val="24"/>
          <w:lang w:val="ru-RU"/>
        </w:rPr>
        <w:t>.</w:t>
      </w:r>
    </w:p>
    <w:p>
      <w:pPr>
        <w:pStyle w:val="BodyTextIndent"/>
        <w:tabs>
          <w:tab w:val="clear" w:pos="708"/>
          <w:tab w:val="left" w:pos="540" w:leader="none"/>
        </w:tabs>
        <w:ind w:hanging="0"/>
        <w:rPr>
          <w:lang w:val="ru-RU"/>
        </w:rPr>
      </w:pPr>
      <w:r>
        <w:rPr>
          <w:lang w:val="ru-RU"/>
        </w:rPr>
        <w:t>2.4. 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2" w:name="_Hlk178155259"/>
      <w:bookmarkEnd w:id="2"/>
    </w:p>
    <w:p>
      <w:pPr>
        <w:pStyle w:val="Normal"/>
        <w:jc w:val="both"/>
        <w:rPr>
          <w:rFonts w:eastAsia="Calibri"/>
        </w:rPr>
      </w:pPr>
      <w:r>
        <w:rPr/>
        <w:t>2.5. Источник финансирования:</w:t>
      </w:r>
      <w:bookmarkStart w:id="3" w:name="_Hlk174882174"/>
      <w:r>
        <w:rPr/>
        <w:t xml:space="preserve"> </w:t>
      </w:r>
      <w:bookmarkEnd w:id="3"/>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w:t>
      </w:r>
    </w:p>
    <w:p>
      <w:pPr>
        <w:pStyle w:val="BodyTextIndent"/>
        <w:tabs>
          <w:tab w:val="clear" w:pos="708"/>
          <w:tab w:val="left" w:pos="0" w:leader="none"/>
        </w:tabs>
        <w:ind w:hanging="0"/>
        <w:rPr>
          <w:lang w:val="ru-RU"/>
        </w:rPr>
      </w:pPr>
      <w:r>
        <w:rPr>
          <w:lang w:val="ru-RU"/>
        </w:rPr>
        <w:t>3.2.4 Требовать уплаты неустойки (штрафа, пени) в соответствии с разделом 8 контракта.</w:t>
      </w:r>
      <w:bookmarkStart w:id="4" w:name="_Hlk178155480"/>
      <w:bookmarkEnd w:id="4"/>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день передачи Товара,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4.1. Поставка товара осуществляется с даты</w:t>
      </w:r>
      <w:r>
        <w:rPr>
          <w:b/>
          <w:bCs/>
        </w:rPr>
        <w:t xml:space="preserve"> заключения контракта до 30.07.2026. </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color w:themeColor="text1" w:val="000000"/>
        </w:rPr>
      </w:pPr>
      <w:r>
        <w:rPr>
          <w:color w:themeColor="text1" w:val="000000"/>
        </w:rPr>
        <w:t> </w:t>
      </w:r>
      <w:r>
        <w:rPr>
          <w:color w:themeColor="text1" w:val="000000"/>
        </w:rPr>
        <w:t>- Счет-фактура ( универсальный передаточный документ (УПД)  или  товарная накладная– 2 экз. (по 1 экз. Заказчику и Поставщику).</w:t>
      </w:r>
    </w:p>
    <w:p>
      <w:pPr>
        <w:pStyle w:val="BodyTextIndent"/>
        <w:tabs>
          <w:tab w:val="clear" w:pos="708"/>
          <w:tab w:val="left" w:pos="900" w:leader="none"/>
        </w:tabs>
        <w:ind w:hanging="0"/>
        <w:rPr>
          <w:lang w:val="ru-RU"/>
        </w:rPr>
      </w:pPr>
      <w:r>
        <w:rPr>
          <w:lang w:val="ru-RU"/>
        </w:rPr>
        <w:t>4.5. Поставляемые лекарственные препараты должны быть зарегистрированы на территории РФ в установленном законодательством порядке, на лекарственные препараты, отнесенные к жизненно необходимым и важнейшим, предельные отпускные цены производителя должны быть зарегистрированы Министерством здравоохранения РФ.</w:t>
      </w:r>
    </w:p>
    <w:p>
      <w:pPr>
        <w:pStyle w:val="BodyTextIndent"/>
        <w:tabs>
          <w:tab w:val="clear" w:pos="708"/>
          <w:tab w:val="left" w:pos="900" w:leader="none"/>
        </w:tabs>
        <w:ind w:hanging="0"/>
        <w:rPr>
          <w:lang w:val="ru-RU"/>
        </w:rPr>
      </w:pPr>
      <w:r>
        <w:rPr>
          <w:lang w:val="ru-RU"/>
        </w:rPr>
        <w:t>4.6. Лекарственные препараты должны иметь неповрежденные коды маркировки и пройти прямое подтверждение отгрузки (прямой акцепт) в федеральной информационной системе «мониторинг движения лекарственных препаратов» (далее - ИС МДЛП). Препараты с поврежденными кодами и не прошедшие прямое подтверждение отгрузки (прямой акцепт) в ИС МДЛП возвращаются Поставщику, за счет Поставщика.</w:t>
      </w:r>
    </w:p>
    <w:p>
      <w:pPr>
        <w:pStyle w:val="BodyTextIndent"/>
        <w:tabs>
          <w:tab w:val="clear" w:pos="708"/>
          <w:tab w:val="left" w:pos="900" w:leader="none"/>
        </w:tabs>
        <w:ind w:hanging="0"/>
        <w:rPr>
          <w:lang w:val="ru-RU"/>
        </w:rPr>
      </w:pPr>
      <w:r>
        <w:rPr>
          <w:lang w:val="ru-RU"/>
        </w:rPr>
        <w:t>4.7. Транспортировка лекарственных препаратов должна быть осуществлена с соблюдением установленного нормативно-технической документацией температурного режима.</w:t>
      </w:r>
    </w:p>
    <w:p>
      <w:pPr>
        <w:pStyle w:val="Normal"/>
        <w:shd w:val="clear" w:color="auto" w:fill="FFFFFF"/>
        <w:tabs>
          <w:tab w:val="clear" w:pos="708"/>
          <w:tab w:val="left" w:pos="0" w:leader="none"/>
          <w:tab w:val="left" w:pos="900" w:leader="none"/>
        </w:tabs>
        <w:jc w:val="both"/>
        <w:rPr/>
      </w:pPr>
      <w:r>
        <w:rPr/>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tabs>
          <w:tab w:val="clear" w:pos="708"/>
          <w:tab w:val="left" w:pos="900" w:leader="none"/>
        </w:tabs>
        <w:ind w:hanging="0"/>
        <w:rPr>
          <w:lang w:val="ru-RU"/>
        </w:rPr>
      </w:pPr>
      <w:r>
        <w:rPr>
          <w:rFonts w:eastAsia="Times New Roman"/>
          <w:bCs/>
          <w:lang w:val="ru-RU"/>
        </w:rPr>
        <w:t>5.1.</w:t>
      </w:r>
      <w:r>
        <w:rPr>
          <w:lang w:val="ru-RU"/>
        </w:rPr>
        <w:t xml:space="preserve">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tabs>
          <w:tab w:val="clear" w:pos="708"/>
          <w:tab w:val="left" w:pos="900" w:leader="none"/>
        </w:tabs>
        <w:ind w:hanging="0"/>
        <w:rPr>
          <w:lang w:val="ru-RU"/>
        </w:rPr>
      </w:pPr>
      <w:r>
        <w:rPr>
          <w:lang w:val="ru-RU"/>
        </w:rPr>
        <w:t xml:space="preserve">5.2. В течение 1 рабочего дня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Заказчика по приемке в месте поставки Товара, указанном в п. 4.2 настоящего контракта. </w:t>
      </w:r>
    </w:p>
    <w:p>
      <w:pPr>
        <w:pStyle w:val="BodyTextIndent"/>
        <w:tabs>
          <w:tab w:val="clear" w:pos="708"/>
          <w:tab w:val="left" w:pos="900" w:leader="none"/>
        </w:tabs>
        <w:ind w:hanging="0"/>
        <w:rPr>
          <w:lang w:val="ru-RU"/>
        </w:rPr>
      </w:pPr>
      <w:r>
        <w:rPr>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tabs>
          <w:tab w:val="clear" w:pos="708"/>
          <w:tab w:val="left" w:pos="900" w:leader="none"/>
        </w:tabs>
        <w:ind w:hanging="0"/>
        <w:rPr>
          <w:lang w:val="ru-RU"/>
        </w:rPr>
      </w:pPr>
      <w:r>
        <w:rPr>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tabs>
          <w:tab w:val="clear" w:pos="708"/>
          <w:tab w:val="left" w:pos="900" w:leader="none"/>
        </w:tabs>
        <w:ind w:hanging="0"/>
        <w:rPr>
          <w:lang w:val="ru-RU"/>
        </w:rPr>
      </w:pPr>
      <w:r>
        <w:rPr>
          <w:lang w:val="ru-RU"/>
        </w:rPr>
        <w:t xml:space="preserve">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w:t>
      </w:r>
    </w:p>
    <w:p>
      <w:pPr>
        <w:pStyle w:val="BodyTextIndent"/>
        <w:tabs>
          <w:tab w:val="clear" w:pos="708"/>
          <w:tab w:val="left" w:pos="900" w:leader="none"/>
        </w:tabs>
        <w:ind w:hanging="0"/>
        <w:rPr>
          <w:lang w:val="ru-RU"/>
        </w:rPr>
      </w:pPr>
      <w:r>
        <w:rPr>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tabs>
          <w:tab w:val="clear" w:pos="708"/>
          <w:tab w:val="left" w:pos="900" w:leader="none"/>
        </w:tabs>
        <w:ind w:hanging="0"/>
        <w:rPr>
          <w:lang w:val="ru-RU"/>
        </w:rPr>
      </w:pPr>
      <w:r>
        <w:rPr>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10 (десяти) рабочих дней с момента получения письменной претензии. </w:t>
      </w:r>
    </w:p>
    <w:p>
      <w:pPr>
        <w:pStyle w:val="BodyTextIndent"/>
        <w:tabs>
          <w:tab w:val="clear" w:pos="708"/>
          <w:tab w:val="left" w:pos="900" w:leader="none"/>
        </w:tabs>
        <w:ind w:hanging="0"/>
        <w:rPr>
          <w:lang w:val="ru-RU"/>
        </w:rPr>
      </w:pPr>
      <w:r>
        <w:rPr>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tabs>
          <w:tab w:val="clear" w:pos="708"/>
          <w:tab w:val="left" w:pos="900" w:leader="none"/>
        </w:tabs>
        <w:ind w:hanging="0"/>
        <w:rPr>
          <w:lang w:val="ru-RU"/>
        </w:rPr>
      </w:pPr>
      <w:r>
        <w:rPr>
          <w:lang w:val="ru-RU"/>
        </w:rPr>
        <w:t>5.7. Обязательства Поставщика по поставке Товара считаются выполненными Поставщиком после утверждения Заказчиком Акта приемки (ф. 0510452).</w:t>
      </w:r>
    </w:p>
    <w:p>
      <w:pPr>
        <w:pStyle w:val="BodyTextIndent"/>
        <w:ind w:hanging="0"/>
        <w:jc w:val="center"/>
        <w:rPr>
          <w:rFonts w:eastAsia="Times New Roman"/>
          <w:b/>
          <w:lang w:val="ru-RU"/>
        </w:rPr>
      </w:pPr>
      <w:r>
        <w:rPr>
          <w:rFonts w:eastAsia="Times New Roman"/>
          <w:b/>
          <w:lang w:val="ru-RU"/>
        </w:rPr>
        <w:t>6. Гарантия качества</w:t>
      </w:r>
    </w:p>
    <w:p>
      <w:pPr>
        <w:pStyle w:val="Normal"/>
        <w:jc w:val="both"/>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 1 к контракту.</w:t>
      </w:r>
    </w:p>
    <w:p>
      <w:pPr>
        <w:pStyle w:val="Normal"/>
        <w:jc w:val="both"/>
        <w:rPr/>
      </w:pPr>
      <w:r>
        <w:rPr/>
        <w:t xml:space="preserve">6.2. Товар должен быть новым, ранее не использованным. </w:t>
      </w:r>
    </w:p>
    <w:p>
      <w:pPr>
        <w:pStyle w:val="Normal"/>
        <w:jc w:val="both"/>
        <w:rPr/>
      </w:pPr>
      <w:r>
        <w:rPr/>
        <w:t xml:space="preserve">6.3. </w:t>
      </w:r>
      <w:bookmarkStart w:id="5" w:name="_Hlk177570061"/>
      <w:r>
        <w:rPr/>
        <w:t>Остаточный срок годности товара должен составлять не менее двенадцати месяцев со дня поставки на склад Заказчика.</w:t>
      </w:r>
      <w:bookmarkEnd w:id="5"/>
    </w:p>
    <w:p>
      <w:pPr>
        <w:pStyle w:val="Normal"/>
        <w:jc w:val="both"/>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jc w:val="both"/>
        <w:rPr/>
      </w:pPr>
      <w:r>
        <w:rPr/>
        <w:t>-наименование Товара;</w:t>
      </w:r>
    </w:p>
    <w:p>
      <w:pPr>
        <w:pStyle w:val="Normal"/>
        <w:jc w:val="both"/>
        <w:rPr/>
      </w:pPr>
      <w:r>
        <w:rPr/>
        <w:t>- реквизиты контракта;</w:t>
      </w:r>
    </w:p>
    <w:p>
      <w:pPr>
        <w:pStyle w:val="Normal"/>
        <w:jc w:val="both"/>
        <w:rPr/>
      </w:pPr>
      <w:r>
        <w:rPr/>
        <w:t>-заказчик;</w:t>
      </w:r>
    </w:p>
    <w:p>
      <w:pPr>
        <w:pStyle w:val="Normal"/>
        <w:jc w:val="both"/>
        <w:rPr/>
      </w:pPr>
      <w:r>
        <w:rPr/>
        <w:t>-поставщик;</w:t>
      </w:r>
    </w:p>
    <w:p>
      <w:pPr>
        <w:pStyle w:val="Normal"/>
        <w:jc w:val="both"/>
        <w:rPr/>
      </w:pPr>
      <w:r>
        <w:rPr/>
        <w:t>-адрес доставки.</w:t>
      </w:r>
    </w:p>
    <w:p>
      <w:pPr>
        <w:pStyle w:val="Normal"/>
        <w:jc w:val="both"/>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jc w:val="both"/>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jc w:val="both"/>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jc w:val="both"/>
        <w:rPr/>
      </w:pPr>
      <w:r>
        <w:rPr/>
      </w:r>
    </w:p>
    <w:p>
      <w:pPr>
        <w:pStyle w:val="Normal"/>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rFonts w:eastAsia="Times New Roman"/>
          <w:lang w:val="ru-RU"/>
        </w:rPr>
      </w:pPr>
      <w:r>
        <w:rPr>
          <w:rFonts w:eastAsia="Times New Roman"/>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rFonts w:eastAsia="Times New Roman"/>
          <w:lang w:val="ru-RU"/>
        </w:rPr>
      </w:pPr>
      <w:r>
        <w:rPr>
          <w:rFonts w:eastAsia="Times New Roman"/>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rFonts w:eastAsia="Times New Roman"/>
          <w:b/>
          <w:lang w:val="ru-RU"/>
        </w:rPr>
        <w:t xml:space="preserve"> </w:t>
      </w:r>
    </w:p>
    <w:p>
      <w:pPr>
        <w:pStyle w:val="Normal"/>
        <w:jc w:val="both"/>
        <w:rPr/>
      </w:pPr>
      <w:r>
        <w:rPr/>
      </w:r>
    </w:p>
    <w:p>
      <w:pPr>
        <w:pStyle w:val="Normal"/>
        <w:rPr/>
      </w:pPr>
      <w:r>
        <w:rPr>
          <w:b/>
        </w:rPr>
        <w:t xml:space="preserve">                                                                           </w:t>
      </w:r>
      <w:r>
        <w:rPr>
          <w:b/>
        </w:rPr>
        <w:t xml:space="preserve">8. Ответственность сторон                                                                                                                                                                           </w:t>
      </w:r>
      <w:r>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Start w:id="6" w:name="_Hlk177570087"/>
      <w:bookmarkEnd w:id="6"/>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 xml:space="preserve">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rPr>
        <w:t>1000 руб.00 коп. (одна тысяча руб. 00 коп.).</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shd w:fill="FFFF00" w:val="clear"/>
        </w:rPr>
        <w:t xml:space="preserve">_____ руб (_____ руб. ____ коп.) </w:t>
      </w:r>
      <w:r>
        <w:rPr/>
        <w:t>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rFonts w:eastAsia="Times New Roman"/>
          <w:lang w:val="ru-RU"/>
        </w:rPr>
      </w:pPr>
      <w:r>
        <w:rPr>
          <w:rFonts w:eastAsia="Times New Roman"/>
          <w:b/>
          <w:lang w:val="ru-RU"/>
        </w:rPr>
        <w:t>9. Срок действия, изменение и прекращение контракта</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 xml:space="preserve">9.1. Настоящий контракт вступает в силу </w:t>
      </w:r>
      <w:r>
        <w:rPr>
          <w:rFonts w:eastAsia="Times New Roman" w:ascii="Times New Roman" w:hAnsi="Times New Roman"/>
          <w:b/>
          <w:bCs/>
          <w:sz w:val="20"/>
          <w:szCs w:val="20"/>
        </w:rPr>
        <w:t>с момента заключения и действует до 30.08.2026 г</w:t>
      </w:r>
      <w:r>
        <w:rPr>
          <w:rFonts w:eastAsia="Times New Roman" w:ascii="Times New Roman" w:hAnsi="Times New Roman"/>
          <w:sz w:val="20"/>
          <w:szCs w:val="20"/>
        </w:rPr>
        <w:t xml:space="preserve">., </w:t>
      </w:r>
      <w:bookmarkStart w:id="7" w:name="_Hlk177570138"/>
      <w:bookmarkEnd w:id="7"/>
      <w:r>
        <w:rPr>
          <w:rFonts w:eastAsia="Times New Roman" w:ascii="Times New Roman" w:hAnsi="Times New Roman"/>
          <w:sz w:val="20"/>
          <w:szCs w:val="20"/>
        </w:rPr>
        <w:t>а в части оплаты – до исполнения обязательств.</w:t>
      </w:r>
    </w:p>
    <w:p>
      <w:pPr>
        <w:pStyle w:val="ConsPlusNormal1"/>
        <w:ind w:hanging="0"/>
        <w:jc w:val="both"/>
        <w:rPr>
          <w:rFonts w:ascii="Times New Roman" w:hAnsi="Times New Roman" w:eastAsia="Times New Roman"/>
          <w:sz w:val="20"/>
          <w:szCs w:val="20"/>
        </w:rPr>
      </w:pPr>
      <w:r>
        <w:rPr>
          <w:rFonts w:eastAsia="Times New Roman"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eastAsia="Times New Roman"/>
          <w:sz w:val="20"/>
          <w:szCs w:val="20"/>
        </w:rPr>
      </w:pPr>
      <w:r>
        <w:rPr>
          <w:rFonts w:eastAsia="Times New Roman" w:ascii="Times New Roman" w:hAnsi="Times New Roman"/>
          <w:sz w:val="20"/>
          <w:szCs w:val="20"/>
        </w:rPr>
      </w:r>
    </w:p>
    <w:p>
      <w:pPr>
        <w:pStyle w:val="Normal"/>
        <w:shd w:val="clear" w:color="auto" w:fill="FFFFFF"/>
        <w:jc w:val="center"/>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и утверждения им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 акты сдачи-приемки оказанных услуг, счета на оплату и иные документы),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Заказчик уведомляет об отсутствии закупаемого товара в реестре российской промышленной продукции.</w:t>
      </w:r>
    </w:p>
    <w:p>
      <w:pPr>
        <w:pStyle w:val="Normal"/>
        <w:tabs>
          <w:tab w:val="clear" w:pos="708"/>
          <w:tab w:val="left" w:pos="540" w:leader="none"/>
        </w:tabs>
        <w:spacing w:before="0" w:after="0"/>
        <w:ind w:right="-142"/>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8563"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widowControl/>
              <w:spacing w:before="0" w:after="0"/>
              <w:contextualSpacing/>
              <w:jc w:val="both"/>
              <w:rPr>
                <w:b/>
                <w:sz w:val="22"/>
                <w:szCs w:val="22"/>
              </w:rPr>
            </w:pPr>
            <w:r>
              <w:rPr>
                <w:rFonts w:cs="Times New Roman"/>
                <w:b/>
                <w:kern w:val="0"/>
                <w:sz w:val="22"/>
                <w:szCs w:val="22"/>
                <w:lang w:val="ru-RU" w:eastAsia="ru-RU" w:bidi="ar-SA"/>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widowControl/>
              <w:spacing w:before="0" w:after="0"/>
              <w:contextualSpacing/>
              <w:jc w:val="both"/>
              <w:rPr>
                <w:sz w:val="22"/>
                <w:szCs w:val="22"/>
              </w:rPr>
            </w:pPr>
            <w:r>
              <w:rPr>
                <w:rFonts w:cs="Times New Roman"/>
                <w:kern w:val="0"/>
                <w:sz w:val="22"/>
                <w:szCs w:val="22"/>
                <w:lang w:val="ru-RU" w:eastAsia="ru-RU" w:bidi="ar-SA"/>
              </w:rPr>
              <w:t>Юридический и фактический адрес:</w:t>
            </w:r>
          </w:p>
          <w:p>
            <w:pPr>
              <w:pStyle w:val="Normal"/>
              <w:widowControl/>
              <w:spacing w:before="0" w:after="0"/>
              <w:contextualSpacing/>
              <w:jc w:val="both"/>
              <w:rPr>
                <w:sz w:val="22"/>
                <w:szCs w:val="22"/>
              </w:rPr>
            </w:pPr>
            <w:r>
              <w:rPr>
                <w:rFonts w:cs="Times New Roman"/>
                <w:kern w:val="0"/>
                <w:sz w:val="22"/>
                <w:szCs w:val="22"/>
                <w:lang w:val="ru-RU" w:eastAsia="ru-RU" w:bidi="ar-SA"/>
              </w:rPr>
              <w:t>650002, г. Кемерово, бульвар имени академика</w:t>
            </w:r>
          </w:p>
          <w:p>
            <w:pPr>
              <w:pStyle w:val="Normal"/>
              <w:widowControl/>
              <w:spacing w:before="0" w:after="0"/>
              <w:contextualSpacing/>
              <w:jc w:val="both"/>
              <w:rPr>
                <w:sz w:val="22"/>
                <w:szCs w:val="22"/>
              </w:rPr>
            </w:pPr>
            <w:r>
              <w:rPr>
                <w:rFonts w:cs="Times New Roman"/>
                <w:kern w:val="0"/>
                <w:sz w:val="22"/>
                <w:szCs w:val="22"/>
                <w:lang w:val="ru-RU" w:eastAsia="ru-RU" w:bidi="ar-SA"/>
              </w:rPr>
              <w:t>Л.С. Барбараша, стр. 6</w:t>
            </w:r>
          </w:p>
          <w:p>
            <w:pPr>
              <w:pStyle w:val="Normal"/>
              <w:widowControl/>
              <w:spacing w:before="0" w:after="0"/>
              <w:contextualSpacing/>
              <w:jc w:val="both"/>
              <w:rPr>
                <w:sz w:val="22"/>
                <w:szCs w:val="22"/>
              </w:rPr>
            </w:pPr>
            <w:r>
              <w:rPr>
                <w:rFonts w:cs="Times New Roman"/>
                <w:kern w:val="0"/>
                <w:sz w:val="22"/>
                <w:szCs w:val="22"/>
                <w:lang w:val="ru-RU" w:eastAsia="ru-RU" w:bidi="ar-SA"/>
              </w:rPr>
              <w:t>Тел.: +7 (3842) 64-33-08</w:t>
            </w:r>
          </w:p>
          <w:p>
            <w:pPr>
              <w:pStyle w:val="Normal"/>
              <w:widowControl/>
              <w:spacing w:before="0" w:after="0"/>
              <w:contextualSpacing/>
              <w:jc w:val="both"/>
              <w:rPr>
                <w:sz w:val="22"/>
                <w:szCs w:val="22"/>
              </w:rPr>
            </w:pPr>
            <w:r>
              <w:rPr>
                <w:rFonts w:cs="Times New Roman"/>
                <w:kern w:val="0"/>
                <w:sz w:val="22"/>
                <w:szCs w:val="22"/>
                <w:lang w:val="ru-RU" w:eastAsia="ru-RU" w:bidi="ar-SA"/>
              </w:rPr>
              <w:t>Банковские реквизиты:</w:t>
            </w:r>
          </w:p>
          <w:p>
            <w:pPr>
              <w:pStyle w:val="Normal"/>
              <w:widowControl/>
              <w:spacing w:before="0" w:after="0"/>
              <w:contextualSpacing/>
              <w:jc w:val="both"/>
              <w:rPr>
                <w:sz w:val="22"/>
                <w:szCs w:val="22"/>
              </w:rPr>
            </w:pPr>
            <w:r>
              <w:rPr>
                <w:rFonts w:cs="Times New Roman"/>
                <w:kern w:val="0"/>
                <w:sz w:val="22"/>
                <w:szCs w:val="22"/>
                <w:lang w:val="ru-RU" w:eastAsia="ru-RU" w:bidi="ar-SA"/>
              </w:rPr>
            </w:r>
          </w:p>
          <w:p>
            <w:pPr>
              <w:pStyle w:val="Normal"/>
              <w:widowControl/>
              <w:spacing w:before="0" w:after="0"/>
              <w:contextualSpacing/>
              <w:jc w:val="both"/>
              <w:rPr>
                <w:sz w:val="22"/>
                <w:szCs w:val="22"/>
              </w:rPr>
            </w:pPr>
            <w:r>
              <w:rPr>
                <w:rFonts w:cs="Times New Roman"/>
                <w:kern w:val="0"/>
                <w:sz w:val="22"/>
                <w:szCs w:val="22"/>
                <w:lang w:val="ru-RU" w:eastAsia="ru-RU" w:bidi="ar-SA"/>
              </w:rPr>
              <w:t>Заказчик:</w:t>
            </w:r>
          </w:p>
          <w:p>
            <w:pPr>
              <w:pStyle w:val="Normal"/>
              <w:widowControl/>
              <w:spacing w:before="0" w:after="0"/>
              <w:contextualSpacing/>
              <w:jc w:val="both"/>
              <w:rPr>
                <w:sz w:val="22"/>
                <w:szCs w:val="22"/>
              </w:rPr>
            </w:pPr>
            <w:r>
              <w:rPr>
                <w:rFonts w:cs="Times New Roman"/>
                <w:kern w:val="0"/>
                <w:sz w:val="22"/>
                <w:szCs w:val="22"/>
                <w:lang w:val="ru-RU" w:eastAsia="ru-RU" w:bidi="ar-SA"/>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widowControl/>
              <w:spacing w:before="0" w:after="0"/>
              <w:contextualSpacing/>
              <w:jc w:val="both"/>
              <w:rPr>
                <w:sz w:val="22"/>
                <w:szCs w:val="22"/>
              </w:rPr>
            </w:pPr>
            <w:r>
              <w:rPr>
                <w:rFonts w:cs="Times New Roman"/>
                <w:kern w:val="0"/>
                <w:sz w:val="22"/>
                <w:szCs w:val="22"/>
                <w:lang w:val="ru-RU" w:eastAsia="ru-RU" w:bidi="ar-SA"/>
              </w:rPr>
              <w:t>Юридический и фактический адрес:</w:t>
            </w:r>
          </w:p>
          <w:p>
            <w:pPr>
              <w:pStyle w:val="Normal"/>
              <w:widowControl/>
              <w:spacing w:before="0" w:after="0"/>
              <w:contextualSpacing/>
              <w:jc w:val="both"/>
              <w:rPr>
                <w:sz w:val="22"/>
                <w:szCs w:val="22"/>
              </w:rPr>
            </w:pPr>
            <w:r>
              <w:rPr>
                <w:rFonts w:cs="Times New Roman"/>
                <w:kern w:val="0"/>
                <w:sz w:val="22"/>
                <w:szCs w:val="22"/>
                <w:lang w:val="ru-RU" w:eastAsia="ru-RU" w:bidi="ar-SA"/>
              </w:rPr>
              <w:t>УФК по Новосибирской области (НИИ КПССЗ л/с 20396Х66880)</w:t>
            </w:r>
          </w:p>
          <w:p>
            <w:pPr>
              <w:pStyle w:val="Normal"/>
              <w:widowControl/>
              <w:spacing w:before="0" w:after="0"/>
              <w:contextualSpacing/>
              <w:jc w:val="both"/>
              <w:rPr>
                <w:sz w:val="22"/>
                <w:szCs w:val="22"/>
              </w:rPr>
            </w:pPr>
            <w:r>
              <w:rPr>
                <w:rFonts w:cs="Times New Roman"/>
                <w:kern w:val="0"/>
                <w:sz w:val="22"/>
                <w:szCs w:val="22"/>
                <w:lang w:val="ru-RU" w:eastAsia="ru-RU" w:bidi="ar-SA"/>
              </w:rPr>
              <w:t>УФК по Новосибирской области (НИИ КПССЗ л/с 22396Х66880)</w:t>
            </w:r>
          </w:p>
          <w:p>
            <w:pPr>
              <w:pStyle w:val="Normal"/>
              <w:widowControl/>
              <w:spacing w:before="0" w:after="0"/>
              <w:contextualSpacing/>
              <w:jc w:val="both"/>
              <w:rPr>
                <w:sz w:val="22"/>
                <w:szCs w:val="22"/>
              </w:rPr>
            </w:pPr>
            <w:r>
              <w:rPr>
                <w:rFonts w:cs="Times New Roman"/>
                <w:kern w:val="0"/>
                <w:sz w:val="22"/>
                <w:szCs w:val="22"/>
                <w:lang w:val="ru-RU" w:eastAsia="ru-RU" w:bidi="ar-SA"/>
              </w:rPr>
              <w:t>УФК по Новосибирской области (НИИ КПССЗ л/с 21396Х66880)</w:t>
            </w:r>
          </w:p>
          <w:p>
            <w:pPr>
              <w:pStyle w:val="Normal"/>
              <w:widowControl/>
              <w:spacing w:before="0" w:after="0"/>
              <w:contextualSpacing/>
              <w:jc w:val="both"/>
              <w:rPr>
                <w:sz w:val="22"/>
                <w:szCs w:val="22"/>
              </w:rPr>
            </w:pPr>
            <w:r>
              <w:rPr>
                <w:rFonts w:cs="Times New Roman"/>
                <w:kern w:val="0"/>
                <w:sz w:val="22"/>
                <w:szCs w:val="22"/>
                <w:lang w:val="ru-RU" w:eastAsia="ru-RU" w:bidi="ar-SA"/>
              </w:rPr>
              <w:t>ИНН 4205012290  КПП 420501001</w:t>
            </w:r>
          </w:p>
          <w:p>
            <w:pPr>
              <w:pStyle w:val="Normal"/>
              <w:widowControl/>
              <w:spacing w:before="0" w:after="0"/>
              <w:contextualSpacing/>
              <w:jc w:val="both"/>
              <w:rPr>
                <w:sz w:val="22"/>
                <w:szCs w:val="22"/>
              </w:rPr>
            </w:pPr>
            <w:r>
              <w:rPr>
                <w:rFonts w:cs="Times New Roman"/>
                <w:kern w:val="0"/>
                <w:sz w:val="22"/>
                <w:szCs w:val="22"/>
                <w:lang w:val="ru-RU" w:eastAsia="ru-RU" w:bidi="ar-SA"/>
              </w:rPr>
              <w:t>р/с 03214643000000015106</w:t>
            </w:r>
          </w:p>
          <w:p>
            <w:pPr>
              <w:pStyle w:val="Normal"/>
              <w:widowControl/>
              <w:spacing w:before="0" w:after="0"/>
              <w:contextualSpacing/>
              <w:jc w:val="both"/>
              <w:rPr>
                <w:sz w:val="22"/>
                <w:szCs w:val="22"/>
              </w:rPr>
            </w:pPr>
            <w:r>
              <w:rPr>
                <w:rFonts w:cs="Times New Roman"/>
                <w:kern w:val="0"/>
                <w:sz w:val="22"/>
                <w:szCs w:val="22"/>
                <w:lang w:val="ru-RU" w:eastAsia="ru-RU" w:bidi="ar-SA"/>
              </w:rPr>
              <w:t>ОКЦ № 1 СибГУ Банка России//УФК по Новосибирской области, г. Новосибирск</w:t>
            </w:r>
          </w:p>
          <w:p>
            <w:pPr>
              <w:pStyle w:val="Normal"/>
              <w:widowControl/>
              <w:spacing w:before="0" w:after="0"/>
              <w:contextualSpacing/>
              <w:jc w:val="both"/>
              <w:rPr>
                <w:sz w:val="22"/>
                <w:szCs w:val="22"/>
              </w:rPr>
            </w:pPr>
            <w:r>
              <w:rPr>
                <w:rFonts w:cs="Times New Roman"/>
                <w:kern w:val="0"/>
                <w:sz w:val="22"/>
                <w:szCs w:val="22"/>
                <w:lang w:val="ru-RU" w:eastAsia="ru-RU" w:bidi="ar-SA"/>
              </w:rPr>
              <w:t>БИК 015004950</w:t>
            </w:r>
          </w:p>
          <w:p>
            <w:pPr>
              <w:pStyle w:val="Normal"/>
              <w:widowControl/>
              <w:spacing w:before="0" w:after="0"/>
              <w:contextualSpacing/>
              <w:jc w:val="both"/>
              <w:rPr>
                <w:sz w:val="22"/>
                <w:szCs w:val="22"/>
              </w:rPr>
            </w:pPr>
            <w:r>
              <w:rPr>
                <w:rFonts w:cs="Times New Roman"/>
                <w:kern w:val="0"/>
                <w:sz w:val="22"/>
                <w:szCs w:val="22"/>
                <w:lang w:val="ru-RU" w:eastAsia="ru-RU" w:bidi="ar-SA"/>
              </w:rPr>
              <w:t>к/с 40102810445370000043</w:t>
            </w:r>
          </w:p>
          <w:p>
            <w:pPr>
              <w:pStyle w:val="Normal"/>
              <w:widowControl/>
              <w:spacing w:before="0" w:after="0"/>
              <w:contextualSpacing/>
              <w:jc w:val="both"/>
              <w:rPr>
                <w:sz w:val="22"/>
                <w:szCs w:val="22"/>
              </w:rPr>
            </w:pPr>
            <w:r>
              <w:rPr>
                <w:rFonts w:cs="Times New Roman"/>
                <w:kern w:val="0"/>
                <w:sz w:val="22"/>
                <w:szCs w:val="22"/>
                <w:lang w:val="ru-RU" w:eastAsia="ru-RU" w:bidi="ar-SA"/>
              </w:rPr>
              <w:t>КБК 00000000000000000130</w:t>
            </w:r>
          </w:p>
          <w:p>
            <w:pPr>
              <w:pStyle w:val="Normal"/>
              <w:widowControl/>
              <w:spacing w:before="0" w:after="0"/>
              <w:contextualSpacing/>
              <w:jc w:val="both"/>
              <w:rPr>
                <w:sz w:val="22"/>
                <w:szCs w:val="22"/>
              </w:rPr>
            </w:pPr>
            <w:r>
              <w:rPr>
                <w:rFonts w:cs="Times New Roman"/>
                <w:kern w:val="0"/>
                <w:sz w:val="22"/>
                <w:szCs w:val="22"/>
                <w:lang w:val="ru-RU" w:eastAsia="ru-RU" w:bidi="ar-SA"/>
              </w:rPr>
              <w:t>ОГРН 1034205024479</w:t>
            </w:r>
          </w:p>
          <w:p>
            <w:pPr>
              <w:pStyle w:val="Normal"/>
              <w:widowControl/>
              <w:spacing w:before="0" w:after="0"/>
              <w:contextualSpacing/>
              <w:jc w:val="both"/>
              <w:rPr>
                <w:sz w:val="22"/>
                <w:szCs w:val="22"/>
              </w:rPr>
            </w:pPr>
            <w:r>
              <w:rPr>
                <w:rFonts w:cs="Times New Roman"/>
                <w:kern w:val="0"/>
                <w:sz w:val="22"/>
                <w:szCs w:val="22"/>
                <w:lang w:val="ru-RU" w:eastAsia="ru-RU" w:bidi="ar-SA"/>
              </w:rPr>
              <w:t>ОКПО 55608705</w:t>
            </w:r>
          </w:p>
          <w:p>
            <w:pPr>
              <w:pStyle w:val="Normal"/>
              <w:widowControl/>
              <w:spacing w:before="0" w:after="0"/>
              <w:contextualSpacing/>
              <w:jc w:val="both"/>
              <w:rPr>
                <w:sz w:val="22"/>
                <w:szCs w:val="22"/>
              </w:rPr>
            </w:pPr>
            <w:r>
              <w:rPr>
                <w:rFonts w:cs="Times New Roman"/>
                <w:kern w:val="0"/>
                <w:sz w:val="22"/>
                <w:szCs w:val="22"/>
                <w:lang w:val="ru-RU" w:eastAsia="ru-RU" w:bidi="ar-SA"/>
              </w:rPr>
              <w:t>ОКАТО 32401000000</w:t>
            </w:r>
          </w:p>
          <w:p>
            <w:pPr>
              <w:pStyle w:val="Normal"/>
              <w:widowControl/>
              <w:spacing w:before="0" w:after="0"/>
              <w:contextualSpacing/>
              <w:jc w:val="both"/>
              <w:rPr>
                <w:sz w:val="22"/>
                <w:szCs w:val="22"/>
              </w:rPr>
            </w:pPr>
            <w:r>
              <w:rPr>
                <w:rFonts w:cs="Times New Roman"/>
                <w:kern w:val="0"/>
                <w:sz w:val="22"/>
                <w:szCs w:val="22"/>
                <w:lang w:val="ru-RU" w:eastAsia="ru-RU" w:bidi="ar-SA"/>
              </w:rPr>
              <w:t>ОКТМО 32701000</w:t>
            </w:r>
          </w:p>
          <w:p>
            <w:pPr>
              <w:pStyle w:val="Normal"/>
              <w:widowControl/>
              <w:spacing w:before="0" w:after="0"/>
              <w:contextualSpacing/>
              <w:jc w:val="both"/>
              <w:rPr>
                <w:sz w:val="22"/>
                <w:szCs w:val="22"/>
              </w:rPr>
            </w:pPr>
            <w:r>
              <w:rPr>
                <w:rFonts w:cs="Times New Roman"/>
                <w:kern w:val="0"/>
                <w:sz w:val="22"/>
                <w:szCs w:val="22"/>
                <w:lang w:val="ru-RU" w:eastAsia="ru-RU" w:bidi="ar-SA"/>
              </w:rPr>
              <w:t>ОКОГУ 1330612</w:t>
            </w:r>
          </w:p>
          <w:p>
            <w:pPr>
              <w:pStyle w:val="Normal"/>
              <w:widowControl/>
              <w:spacing w:before="0" w:after="0"/>
              <w:contextualSpacing/>
              <w:jc w:val="both"/>
              <w:rPr>
                <w:sz w:val="22"/>
                <w:szCs w:val="22"/>
              </w:rPr>
            </w:pPr>
            <w:r>
              <w:rPr>
                <w:rFonts w:cs="Times New Roman"/>
                <w:kern w:val="0"/>
                <w:sz w:val="22"/>
                <w:szCs w:val="22"/>
                <w:lang w:val="ru-RU" w:eastAsia="ru-RU" w:bidi="ar-SA"/>
              </w:rPr>
              <w:t>ОКФС 12</w:t>
            </w:r>
          </w:p>
          <w:p>
            <w:pPr>
              <w:pStyle w:val="Normal"/>
              <w:widowControl/>
              <w:spacing w:before="0" w:after="0"/>
              <w:contextualSpacing/>
              <w:jc w:val="both"/>
              <w:rPr>
                <w:sz w:val="22"/>
                <w:szCs w:val="22"/>
              </w:rPr>
            </w:pPr>
            <w:r>
              <w:rPr>
                <w:rFonts w:cs="Times New Roman"/>
                <w:kern w:val="0"/>
                <w:sz w:val="22"/>
                <w:szCs w:val="22"/>
                <w:lang w:val="ru-RU" w:eastAsia="ru-RU" w:bidi="ar-SA"/>
              </w:rPr>
              <w:t>ОКОПФ 75103</w:t>
            </w:r>
          </w:p>
          <w:p>
            <w:pPr>
              <w:pStyle w:val="Normal"/>
              <w:widowControl/>
              <w:spacing w:before="0" w:after="0"/>
              <w:contextualSpacing/>
              <w:jc w:val="both"/>
              <w:rPr>
                <w:sz w:val="22"/>
                <w:szCs w:val="22"/>
              </w:rPr>
            </w:pPr>
            <w:r>
              <w:rPr>
                <w:rFonts w:cs="Times New Roman"/>
                <w:kern w:val="0"/>
                <w:sz w:val="22"/>
                <w:szCs w:val="22"/>
                <w:lang w:val="ru-RU" w:eastAsia="ru-RU" w:bidi="ar-SA"/>
              </w:rPr>
              <w:t>тел. 8(3842)345394 доб. 6132</w:t>
            </w:r>
          </w:p>
          <w:p>
            <w:pPr>
              <w:pStyle w:val="Normal"/>
              <w:widowControl/>
              <w:spacing w:before="0" w:after="0"/>
              <w:contextualSpacing/>
              <w:jc w:val="both"/>
              <w:rPr>
                <w:sz w:val="22"/>
                <w:szCs w:val="22"/>
              </w:rPr>
            </w:pPr>
            <w:r>
              <w:rPr>
                <w:rFonts w:cs="Times New Roman"/>
                <w:kern w:val="0"/>
                <w:sz w:val="22"/>
                <w:szCs w:val="22"/>
                <w:lang w:val="ru-RU" w:eastAsia="ru-RU" w:bidi="ar-SA"/>
              </w:rPr>
            </w:r>
          </w:p>
          <w:p>
            <w:pPr>
              <w:pStyle w:val="Normal"/>
              <w:widowControl/>
              <w:spacing w:before="0" w:after="0"/>
              <w:contextualSpacing/>
              <w:jc w:val="both"/>
              <w:rPr>
                <w:sz w:val="22"/>
                <w:szCs w:val="22"/>
              </w:rPr>
            </w:pPr>
            <w:r>
              <w:rPr>
                <w:rFonts w:cs="Times New Roman"/>
                <w:kern w:val="0"/>
                <w:sz w:val="22"/>
                <w:szCs w:val="22"/>
                <w:lang w:val="ru-RU" w:eastAsia="ru-RU" w:bidi="ar-SA"/>
              </w:rPr>
              <w:t>Начальник отдела обеспечения</w:t>
            </w:r>
          </w:p>
          <w:p>
            <w:pPr>
              <w:pStyle w:val="Normal"/>
              <w:widowControl/>
              <w:spacing w:before="0" w:after="0"/>
              <w:contextualSpacing/>
              <w:jc w:val="both"/>
              <w:rPr>
                <w:sz w:val="22"/>
                <w:szCs w:val="22"/>
              </w:rPr>
            </w:pPr>
            <w:r>
              <w:rPr>
                <w:rFonts w:cs="Times New Roman"/>
                <w:kern w:val="0"/>
                <w:sz w:val="22"/>
                <w:szCs w:val="22"/>
                <w:lang w:val="ru-RU" w:eastAsia="ru-RU" w:bidi="ar-SA"/>
              </w:rPr>
              <w:t>лекарственными изделиями и</w:t>
            </w:r>
          </w:p>
          <w:p>
            <w:pPr>
              <w:pStyle w:val="Normal"/>
              <w:widowControl/>
              <w:spacing w:before="0" w:after="0"/>
              <w:contextualSpacing/>
              <w:jc w:val="both"/>
              <w:rPr>
                <w:sz w:val="22"/>
                <w:szCs w:val="22"/>
              </w:rPr>
            </w:pPr>
            <w:r>
              <w:rPr>
                <w:rFonts w:cs="Times New Roman"/>
                <w:kern w:val="0"/>
                <w:sz w:val="22"/>
                <w:szCs w:val="22"/>
                <w:lang w:val="ru-RU" w:eastAsia="ru-RU" w:bidi="ar-SA"/>
              </w:rPr>
              <w:t>медицинскими изделиями</w:t>
            </w:r>
          </w:p>
          <w:p>
            <w:pPr>
              <w:pStyle w:val="Normal"/>
              <w:widowControl/>
              <w:spacing w:before="0" w:after="0"/>
              <w:contextualSpacing/>
              <w:jc w:val="both"/>
              <w:rPr>
                <w:sz w:val="22"/>
                <w:szCs w:val="22"/>
              </w:rPr>
            </w:pPr>
            <w:r>
              <w:rPr>
                <w:rFonts w:cs="Times New Roman"/>
                <w:kern w:val="0"/>
                <w:sz w:val="22"/>
                <w:szCs w:val="22"/>
                <w:lang w:val="ru-RU" w:eastAsia="ru-RU" w:bidi="ar-SA"/>
              </w:rPr>
            </w:r>
          </w:p>
          <w:p>
            <w:pPr>
              <w:pStyle w:val="Normal"/>
              <w:widowControl/>
              <w:spacing w:before="0" w:after="0"/>
              <w:contextualSpacing/>
              <w:jc w:val="both"/>
              <w:rPr>
                <w:sz w:val="22"/>
                <w:szCs w:val="22"/>
              </w:rPr>
            </w:pPr>
            <w:r>
              <w:rPr>
                <w:rFonts w:cs="Times New Roman"/>
                <w:kern w:val="0"/>
                <w:sz w:val="22"/>
                <w:szCs w:val="22"/>
                <w:lang w:val="ru-RU" w:eastAsia="ru-RU" w:bidi="ar-SA"/>
              </w:rPr>
              <w:t xml:space="preserve">Ковжун </w:t>
            </w:r>
            <w:r>
              <w:rPr>
                <w:rFonts w:cs="Times New Roman"/>
                <w:kern w:val="0"/>
                <w:sz w:val="22"/>
                <w:szCs w:val="22"/>
                <w:lang w:val="ru-RU" w:eastAsia="ru-RU" w:bidi="ar-SA"/>
              </w:rPr>
              <w:t>Наталья Васильевна</w:t>
            </w:r>
          </w:p>
          <w:p>
            <w:pPr>
              <w:pStyle w:val="Normal"/>
              <w:rPr/>
            </w:pPr>
            <w:r>
              <w:rPr/>
            </w:r>
          </w:p>
        </w:tc>
        <w:tc>
          <w:tcPr>
            <w:tcW w:w="4819" w:type="dxa"/>
            <w:tcBorders/>
          </w:tcPr>
          <w:p>
            <w:pPr>
              <w:pStyle w:val="Normal"/>
              <w:jc w:val="both"/>
              <w:rPr/>
            </w:pPr>
            <w:r>
              <w:rPr/>
            </w:r>
          </w:p>
          <w:p>
            <w:pPr>
              <w:pStyle w:val="Normal"/>
              <w:jc w:val="both"/>
              <w:rPr>
                <w:b/>
                <w:bCs/>
              </w:rPr>
            </w:pPr>
            <w:r>
              <w:rPr>
                <w:b/>
                <w:bCs/>
              </w:rPr>
              <w:t>Поставщик:</w:t>
            </w:r>
          </w:p>
          <w:p>
            <w:pPr>
              <w:pStyle w:val="Normal"/>
              <w:rPr/>
            </w:pPr>
            <w:r>
              <w:rPr/>
              <w:t>Наименование поставщика</w:t>
            </w:r>
          </w:p>
          <w:p>
            <w:pPr>
              <w:pStyle w:val="Normal"/>
              <w:rPr/>
            </w:pPr>
            <w:r>
              <w:rPr/>
              <w:t>Юр/факт адрес</w:t>
            </w:r>
          </w:p>
          <w:p>
            <w:pPr>
              <w:pStyle w:val="Normal"/>
              <w:rPr/>
            </w:pPr>
            <w:r>
              <w:rPr/>
              <w:t>Почтовый адрес</w:t>
            </w:r>
          </w:p>
          <w:p>
            <w:pPr>
              <w:pStyle w:val="Normal"/>
              <w:rPr/>
            </w:pPr>
            <w:r>
              <w:rPr/>
              <w:t>Банковские реквизиты</w:t>
            </w:r>
          </w:p>
          <w:p>
            <w:pPr>
              <w:pStyle w:val="Normal"/>
              <w:rPr/>
            </w:pPr>
            <w:r>
              <w:rPr/>
            </w:r>
          </w:p>
          <w:p>
            <w:pPr>
              <w:pStyle w:val="Normal"/>
              <w:rPr/>
            </w:pPr>
            <w:r>
              <w:rPr/>
              <w:t>ИНН / КПП</w:t>
            </w:r>
          </w:p>
          <w:p>
            <w:pPr>
              <w:pStyle w:val="Normal"/>
              <w:rPr/>
            </w:pPr>
            <w:r>
              <w:rPr/>
              <w:t>ОКТМО   ОКПО</w:t>
            </w:r>
          </w:p>
          <w:p>
            <w:pPr>
              <w:pStyle w:val="Normal"/>
              <w:rPr/>
            </w:pPr>
            <w:r>
              <w:rPr/>
              <w:t>ОКАТО 0  ОКОГУ</w:t>
            </w:r>
          </w:p>
          <w:p>
            <w:pPr>
              <w:pStyle w:val="Normal"/>
              <w:rPr/>
            </w:pPr>
            <w:r>
              <w:rPr/>
              <w:t>ОКОПФ 12300  ОКФС  16</w:t>
            </w:r>
          </w:p>
          <w:p>
            <w:pPr>
              <w:pStyle w:val="Normal"/>
              <w:rPr/>
            </w:pPr>
            <w:r>
              <w:rPr/>
              <w:t>Адрес электронной почты</w:t>
            </w:r>
          </w:p>
          <w:p>
            <w:pPr>
              <w:pStyle w:val="Normal"/>
              <w:tabs>
                <w:tab w:val="clear" w:pos="708"/>
                <w:tab w:val="left" w:pos="6240" w:leader="none"/>
              </w:tabs>
              <w:rPr/>
            </w:pPr>
            <w:r>
              <w:rPr/>
              <w:t>Телефон/факс</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Должность  представителя поставщика</w:t>
            </w:r>
          </w:p>
          <w:p>
            <w:pPr>
              <w:pStyle w:val="Normal"/>
              <w:rPr/>
            </w:pPr>
            <w:r>
              <w:rPr/>
            </w:r>
          </w:p>
          <w:p>
            <w:pPr>
              <w:pStyle w:val="Normal"/>
              <w:rPr/>
            </w:pPr>
            <w:r>
              <w:rPr/>
            </w:r>
          </w:p>
          <w:p>
            <w:pPr>
              <w:pStyle w:val="Normal"/>
              <w:rPr/>
            </w:pPr>
            <w:r>
              <w:rPr/>
              <w:t xml:space="preserve">  </w:t>
            </w:r>
            <w:r>
              <w:rPr/>
              <w:t>_______________ФИО</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24576"/>
        </w:sectPr>
      </w:pPr>
    </w:p>
    <w:p>
      <w:pPr>
        <w:pStyle w:val="Normal"/>
        <w:spacing w:before="0" w:after="60"/>
        <w:jc w:val="right"/>
        <w:rPr/>
      </w:pPr>
      <w:r>
        <w:rPr/>
        <w:t xml:space="preserve">Приложение № 1 </w:t>
      </w:r>
    </w:p>
    <w:p>
      <w:pPr>
        <w:pStyle w:val="Normal"/>
        <w:spacing w:before="0" w:after="60"/>
        <w:jc w:val="right"/>
        <w:rPr/>
      </w:pPr>
      <w:r>
        <w:rPr/>
        <w:t xml:space="preserve">                                                                                                                         </w:t>
      </w:r>
      <w:r>
        <w:rPr/>
        <w:t xml:space="preserve">к контракту </w:t>
      </w:r>
      <w:r>
        <w:rPr>
          <w:b/>
          <w:bCs/>
        </w:rPr>
        <w:t>№ 100/26</w:t>
      </w:r>
    </w:p>
    <w:p>
      <w:pPr>
        <w:pStyle w:val="Normal"/>
        <w:spacing w:before="0" w:after="60"/>
        <w:jc w:val="right"/>
        <w:rPr>
          <w:b/>
          <w:bCs/>
        </w:rPr>
      </w:pPr>
      <w:r>
        <w:rPr/>
        <w:t xml:space="preserve">                                                                                                                               </w:t>
      </w:r>
      <w:r>
        <w:rPr/>
        <w:t xml:space="preserve">от </w:t>
      </w:r>
      <w:r>
        <w:rPr>
          <w:rFonts w:eastAsia="Calibri"/>
          <w:lang w:eastAsia="en-US"/>
        </w:rPr>
        <w:t>«   »                          2026г.</w:t>
      </w:r>
      <w:bookmarkStart w:id="8" w:name="_Hlk180496427"/>
      <w:bookmarkEnd w:id="8"/>
    </w:p>
    <w:p>
      <w:pPr>
        <w:pStyle w:val="Normal"/>
        <w:spacing w:before="0" w:after="60"/>
        <w:jc w:val="center"/>
        <w:rPr>
          <w:b/>
          <w:bCs/>
          <w:sz w:val="24"/>
          <w:szCs w:val="24"/>
        </w:rPr>
      </w:pPr>
      <w:r>
        <w:rPr>
          <w:b/>
          <w:bCs/>
          <w:sz w:val="24"/>
          <w:szCs w:val="24"/>
        </w:rPr>
      </w:r>
    </w:p>
    <w:p>
      <w:pPr>
        <w:pStyle w:val="Normal"/>
        <w:spacing w:before="0" w:after="60"/>
        <w:jc w:val="center"/>
        <w:rPr>
          <w:b/>
          <w:bCs/>
        </w:rPr>
      </w:pPr>
      <w:r>
        <w:rPr>
          <w:b/>
          <w:bCs/>
        </w:rPr>
        <w:t>Спецификация</w:t>
      </w:r>
    </w:p>
    <w:tbl>
      <w:tblPr>
        <w:tblW w:w="14100" w:type="dxa"/>
        <w:jc w:val="left"/>
        <w:tblInd w:w="84" w:type="dxa"/>
        <w:tblLayout w:type="fixed"/>
        <w:tblCellMar>
          <w:top w:w="0" w:type="dxa"/>
          <w:left w:w="108" w:type="dxa"/>
          <w:bottom w:w="0" w:type="dxa"/>
          <w:right w:w="108" w:type="dxa"/>
        </w:tblCellMar>
        <w:tblLook w:val="0000" w:noHBand="0" w:noVBand="0" w:firstColumn="0" w:lastRow="0" w:lastColumn="0" w:firstRow="0"/>
      </w:tblPr>
      <w:tblGrid>
        <w:gridCol w:w="503"/>
        <w:gridCol w:w="2635"/>
        <w:gridCol w:w="3387"/>
        <w:gridCol w:w="1060"/>
        <w:gridCol w:w="1221"/>
        <w:gridCol w:w="1998"/>
        <w:gridCol w:w="1147"/>
        <w:gridCol w:w="1157"/>
        <w:gridCol w:w="990"/>
      </w:tblGrid>
      <w:tr>
        <w:trPr>
          <w:trHeight w:val="244" w:hRule="atLeast"/>
        </w:trPr>
        <w:tc>
          <w:tcPr>
            <w:tcW w:w="503" w:type="dxa"/>
            <w:tcBorders>
              <w:top w:val="single" w:sz="4" w:space="0" w:color="000000"/>
              <w:left w:val="single" w:sz="4" w:space="0" w:color="000000"/>
              <w:bottom w:val="single" w:sz="4" w:space="0" w:color="000000"/>
            </w:tcBorders>
          </w:tcPr>
          <w:p>
            <w:pPr>
              <w:pStyle w:val="Normal"/>
              <w:rPr>
                <w:lang w:val="en-US" w:eastAsia="zh-CN"/>
              </w:rPr>
            </w:pPr>
            <w:r>
              <w:rPr>
                <w:lang w:val="en-US" w:eastAsia="zh-CN"/>
              </w:rPr>
              <w:t>№</w:t>
            </w:r>
          </w:p>
        </w:tc>
        <w:tc>
          <w:tcPr>
            <w:tcW w:w="2635" w:type="dxa"/>
            <w:tcBorders>
              <w:top w:val="single" w:sz="4" w:space="0" w:color="000000"/>
              <w:left w:val="single" w:sz="4" w:space="0" w:color="000000"/>
              <w:bottom w:val="single" w:sz="4" w:space="0" w:color="000000"/>
            </w:tcBorders>
          </w:tcPr>
          <w:p>
            <w:pPr>
              <w:pStyle w:val="Normal"/>
              <w:rPr>
                <w:lang w:eastAsia="zh-CN"/>
              </w:rPr>
            </w:pPr>
            <w:r>
              <w:rPr>
                <w:lang w:eastAsia="zh-CN"/>
              </w:rPr>
              <w:t>Международное непатентованное наименование, лекарственная форма, дозировка</w:t>
            </w:r>
          </w:p>
        </w:tc>
        <w:tc>
          <w:tcPr>
            <w:tcW w:w="3387" w:type="dxa"/>
            <w:tcBorders>
              <w:top w:val="single" w:sz="4" w:space="0" w:color="000000"/>
              <w:left w:val="single" w:sz="4" w:space="0" w:color="000000"/>
              <w:bottom w:val="single" w:sz="4" w:space="0" w:color="000000"/>
            </w:tcBorders>
          </w:tcPr>
          <w:p>
            <w:pPr>
              <w:pStyle w:val="Normal"/>
              <w:rPr>
                <w:lang w:eastAsia="zh-CN"/>
              </w:rPr>
            </w:pPr>
            <w:r>
              <w:rPr/>
              <w:t>Торговое наименование, лекарственная форма,  дозировка</w:t>
            </w:r>
            <w:r>
              <w:rPr>
                <w:lang w:eastAsia="zh-CN"/>
              </w:rPr>
              <w:t>, страна происхождения товара</w:t>
            </w:r>
          </w:p>
        </w:tc>
        <w:tc>
          <w:tcPr>
            <w:tcW w:w="1060" w:type="dxa"/>
            <w:tcBorders>
              <w:top w:val="single" w:sz="4" w:space="0" w:color="000000"/>
              <w:left w:val="single" w:sz="4" w:space="0" w:color="000000"/>
              <w:bottom w:val="single" w:sz="4" w:space="0" w:color="000000"/>
            </w:tcBorders>
          </w:tcPr>
          <w:p>
            <w:pPr>
              <w:pStyle w:val="Normal"/>
              <w:jc w:val="center"/>
              <w:rPr>
                <w:lang w:val="en-US" w:eastAsia="zh-CN"/>
              </w:rPr>
            </w:pPr>
            <w:r>
              <w:rPr>
                <w:lang w:val="en-US" w:eastAsia="zh-CN"/>
              </w:rPr>
              <w:t>ед. изм.</w:t>
            </w:r>
          </w:p>
          <w:p>
            <w:pPr>
              <w:pStyle w:val="Normal"/>
              <w:jc w:val="center"/>
              <w:rPr>
                <w:lang w:val="en-US" w:eastAsia="zh-CN"/>
              </w:rPr>
            </w:pPr>
            <w:r>
              <w:rPr>
                <w:lang w:val="en-US" w:eastAsia="zh-CN"/>
              </w:rPr>
            </w:r>
          </w:p>
        </w:tc>
        <w:tc>
          <w:tcPr>
            <w:tcW w:w="1221" w:type="dxa"/>
            <w:tcBorders>
              <w:top w:val="single" w:sz="4" w:space="0" w:color="000000"/>
              <w:left w:val="single" w:sz="4" w:space="0" w:color="000000"/>
              <w:bottom w:val="single" w:sz="4" w:space="0" w:color="000000"/>
            </w:tcBorders>
          </w:tcPr>
          <w:p>
            <w:pPr>
              <w:pStyle w:val="Normal"/>
              <w:rPr>
                <w:lang w:val="en-US" w:eastAsia="zh-CN"/>
              </w:rPr>
            </w:pPr>
            <w:r>
              <w:rPr>
                <w:lang w:eastAsia="zh-CN"/>
              </w:rPr>
              <w:t>Количество</w:t>
            </w:r>
          </w:p>
        </w:tc>
        <w:tc>
          <w:tcPr>
            <w:tcW w:w="1998" w:type="dxa"/>
            <w:tcBorders>
              <w:top w:val="single" w:sz="4" w:space="0" w:color="000000"/>
              <w:left w:val="single" w:sz="4" w:space="0" w:color="000000"/>
              <w:bottom w:val="single" w:sz="4" w:space="0" w:color="000000"/>
            </w:tcBorders>
          </w:tcPr>
          <w:p>
            <w:pPr>
              <w:pStyle w:val="Normal"/>
              <w:rPr>
                <w:lang w:eastAsia="zh-CN"/>
              </w:rPr>
            </w:pPr>
            <w:r>
              <w:rPr>
                <w:lang w:val="en-US" w:eastAsia="zh-CN"/>
              </w:rPr>
              <w:t>ОКПД2/КТРУ</w:t>
            </w:r>
          </w:p>
        </w:tc>
        <w:tc>
          <w:tcPr>
            <w:tcW w:w="1147" w:type="dxa"/>
            <w:tcBorders>
              <w:top w:val="single" w:sz="4" w:space="0" w:color="000000"/>
              <w:left w:val="single" w:sz="4" w:space="0" w:color="000000"/>
              <w:bottom w:val="single" w:sz="4" w:space="0" w:color="000000"/>
            </w:tcBorders>
          </w:tcPr>
          <w:p>
            <w:pPr>
              <w:pStyle w:val="Normal"/>
              <w:rPr>
                <w:lang w:eastAsia="zh-CN"/>
              </w:rPr>
            </w:pPr>
            <w:r>
              <w:rPr>
                <w:lang w:eastAsia="zh-CN"/>
              </w:rPr>
              <w:t>Цена за единицу без НДС, руб.</w:t>
            </w:r>
          </w:p>
        </w:tc>
        <w:tc>
          <w:tcPr>
            <w:tcW w:w="1157" w:type="dxa"/>
            <w:tcBorders>
              <w:top w:val="single" w:sz="4" w:space="0" w:color="000000"/>
              <w:left w:val="single" w:sz="4" w:space="0" w:color="000000"/>
              <w:bottom w:val="single" w:sz="4" w:space="0" w:color="000000"/>
            </w:tcBorders>
          </w:tcPr>
          <w:p>
            <w:pPr>
              <w:pStyle w:val="Normal"/>
              <w:rPr>
                <w:lang w:eastAsia="zh-CN"/>
              </w:rPr>
            </w:pPr>
            <w:r>
              <w:rPr>
                <w:lang w:eastAsia="zh-CN"/>
              </w:rPr>
              <w:t>Цена за единицу с  НДС, руб.</w:t>
            </w:r>
          </w:p>
        </w:tc>
        <w:tc>
          <w:tcPr>
            <w:tcW w:w="990" w:type="dxa"/>
            <w:tcBorders>
              <w:top w:val="single" w:sz="4" w:space="0" w:color="000000"/>
              <w:left w:val="single" w:sz="4" w:space="0" w:color="000000"/>
              <w:bottom w:val="single" w:sz="4" w:space="0" w:color="000000"/>
              <w:right w:val="single" w:sz="4" w:space="0" w:color="000000"/>
            </w:tcBorders>
          </w:tcPr>
          <w:p>
            <w:pPr>
              <w:pStyle w:val="Normal"/>
              <w:rPr>
                <w:lang w:eastAsia="zh-CN"/>
              </w:rPr>
            </w:pPr>
            <w:r>
              <w:rPr>
                <w:lang w:eastAsia="zh-CN"/>
              </w:rPr>
              <w:t>Общая стоимость с НДС, руб.</w:t>
            </w:r>
          </w:p>
        </w:tc>
      </w:tr>
      <w:tr>
        <w:trPr>
          <w:trHeight w:val="578" w:hRule="atLeast"/>
        </w:trPr>
        <w:tc>
          <w:tcPr>
            <w:tcW w:w="50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color w:val="000000"/>
                <w:lang w:val="en-US" w:eastAsia="zh-CN"/>
              </w:rPr>
              <w:t>1</w:t>
            </w:r>
          </w:p>
        </w:tc>
        <w:tc>
          <w:tcPr>
            <w:tcW w:w="2635" w:type="dxa"/>
            <w:tcBorders>
              <w:top w:val="single" w:sz="4" w:space="0" w:color="000000"/>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ПРОКАИН, РАСТВОР ДЛЯ ИНЪЕКЦИЙ, 2.5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top w:val="single" w:sz="4" w:space="0" w:color="000000"/>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Флаконы по 200 мл</w:t>
            </w:r>
          </w:p>
        </w:tc>
        <w:tc>
          <w:tcPr>
            <w:tcW w:w="1060" w:type="dxa"/>
            <w:tcBorders>
              <w:top w:val="single" w:sz="4" w:space="0" w:color="000000"/>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top w:val="single" w:sz="4" w:space="0" w:color="000000"/>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67200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998" w:type="dxa"/>
            <w:tcBorders>
              <w:top w:val="single" w:sz="4" w:space="0" w:color="000000"/>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21.20.10.231-000001-1-00062-0000000000000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7" w:type="dxa"/>
            <w:tcBorders>
              <w:top w:val="single" w:sz="4" w:space="0" w:color="000000"/>
              <w:left w:val="single" w:sz="4" w:space="0" w:color="000000"/>
              <w:bottom w:val="single" w:sz="4" w:space="0" w:color="000000"/>
            </w:tcBorders>
          </w:tcPr>
          <w:p>
            <w:pPr>
              <w:pStyle w:val="Normal"/>
              <w:snapToGrid w:val="false"/>
              <w:rPr/>
            </w:pPr>
            <w:r>
              <w:rPr/>
            </w:r>
          </w:p>
        </w:tc>
        <w:tc>
          <w:tcPr>
            <w:tcW w:w="1157" w:type="dxa"/>
            <w:tcBorders>
              <w:top w:val="single" w:sz="4" w:space="0" w:color="000000"/>
              <w:left w:val="single" w:sz="4" w:space="0" w:color="000000"/>
              <w:bottom w:val="single" w:sz="4" w:space="0" w:color="000000"/>
            </w:tcBorders>
          </w:tcPr>
          <w:p>
            <w:pPr>
              <w:pStyle w:val="Normal"/>
              <w:snapToGrid w:val="false"/>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2</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ФАМОТИДИН, ЛИОФИЛИЗАТ ДЛЯ ПРИГОТОВЛЕНИЯ РАСТВОРА ДЛЯ ВНУТРИВЕННОГО ВВЕДЕНИЯ, 20 мг</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мг</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5000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21.20.10.112-000002-1-00108-0000000000000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7" w:type="dxa"/>
            <w:tcBorders>
              <w:left w:val="single" w:sz="4" w:space="0" w:color="000000"/>
              <w:bottom w:val="single" w:sz="4" w:space="0" w:color="000000"/>
            </w:tcBorders>
          </w:tcPr>
          <w:p>
            <w:pPr>
              <w:pStyle w:val="Normal"/>
              <w:snapToGrid w:val="false"/>
              <w:rPr/>
            </w:pPr>
            <w:r>
              <w:rPr/>
            </w:r>
          </w:p>
        </w:tc>
        <w:tc>
          <w:tcPr>
            <w:tcW w:w="1157" w:type="dxa"/>
            <w:tcBorders>
              <w:left w:val="single" w:sz="4" w:space="0" w:color="000000"/>
              <w:bottom w:val="single" w:sz="4" w:space="0" w:color="000000"/>
            </w:tcBorders>
          </w:tcPr>
          <w:p>
            <w:pPr>
              <w:pStyle w:val="Normal"/>
              <w:snapToGrid w:val="false"/>
              <w:rPr/>
            </w:pPr>
            <w:r>
              <w:rPr/>
            </w:r>
          </w:p>
        </w:tc>
        <w:tc>
          <w:tcPr>
            <w:tcW w:w="990"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3</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ПЛАТИФИЛЛИН, РАСТВОР ДЛЯ ПОДКОЖНОГО ВВЕДЕНИЯ, 2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Ампулы по 1 мл</w:t>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200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21.20.10.113-000003-1-00055-0000000000000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7" w:type="dxa"/>
            <w:tcBorders>
              <w:left w:val="single" w:sz="4" w:space="0" w:color="000000"/>
              <w:bottom w:val="single" w:sz="4" w:space="0" w:color="000000"/>
            </w:tcBorders>
          </w:tcPr>
          <w:p>
            <w:pPr>
              <w:pStyle w:val="Normal"/>
              <w:snapToGrid w:val="false"/>
              <w:rPr/>
            </w:pPr>
            <w:r>
              <w:rPr/>
            </w:r>
          </w:p>
        </w:tc>
        <w:tc>
          <w:tcPr>
            <w:tcW w:w="1157" w:type="dxa"/>
            <w:tcBorders>
              <w:left w:val="single" w:sz="4" w:space="0" w:color="000000"/>
              <w:bottom w:val="single" w:sz="4" w:space="0" w:color="000000"/>
            </w:tcBorders>
          </w:tcPr>
          <w:p>
            <w:pPr>
              <w:pStyle w:val="Normal"/>
              <w:snapToGrid w:val="false"/>
              <w:rPr/>
            </w:pPr>
            <w:r>
              <w:rPr/>
            </w:r>
          </w:p>
        </w:tc>
        <w:tc>
          <w:tcPr>
            <w:tcW w:w="990"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4</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КАЛЬЦИЯ ГЛЮКОНАТ, РАСТВОР ДЛЯ ВНУТРИВЕННОГО И ВНУТРИМЫШЕЧНОГО ВВЕДЕНИЯ, 100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Ампулы по 10 мл</w:t>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15000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21.20.10.121-000010-1-00033-0000000000000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7" w:type="dxa"/>
            <w:tcBorders>
              <w:left w:val="single" w:sz="4" w:space="0" w:color="000000"/>
              <w:bottom w:val="single" w:sz="4" w:space="0" w:color="000000"/>
            </w:tcBorders>
          </w:tcPr>
          <w:p>
            <w:pPr>
              <w:pStyle w:val="Normal"/>
              <w:snapToGrid w:val="false"/>
              <w:rPr/>
            </w:pPr>
            <w:r>
              <w:rPr/>
            </w:r>
          </w:p>
        </w:tc>
        <w:tc>
          <w:tcPr>
            <w:tcW w:w="1157" w:type="dxa"/>
            <w:tcBorders>
              <w:left w:val="single" w:sz="4" w:space="0" w:color="000000"/>
              <w:bottom w:val="single" w:sz="4" w:space="0" w:color="000000"/>
            </w:tcBorders>
          </w:tcPr>
          <w:p>
            <w:pPr>
              <w:pStyle w:val="Normal"/>
              <w:snapToGrid w:val="false"/>
              <w:rPr/>
            </w:pPr>
            <w:r>
              <w:rPr/>
            </w:r>
          </w:p>
        </w:tc>
        <w:tc>
          <w:tcPr>
            <w:tcW w:w="990" w:type="dxa"/>
            <w:tcBorders>
              <w:left w:val="single" w:sz="4" w:space="0" w:color="000000"/>
              <w:bottom w:val="single" w:sz="4" w:space="0" w:color="000000"/>
              <w:right w:val="single" w:sz="4" w:space="0" w:color="000000"/>
            </w:tcBorders>
          </w:tcPr>
          <w:p>
            <w:pPr>
              <w:pStyle w:val="Normal"/>
              <w:snapToGrid w:val="false"/>
              <w:rPr/>
            </w:pPr>
            <w:r>
              <w:rPr/>
            </w:r>
          </w:p>
        </w:tc>
      </w:tr>
    </w:tbl>
    <w:p>
      <w:pPr>
        <w:pStyle w:val="Normal"/>
        <w:spacing w:before="0" w:after="60"/>
        <w:rPr>
          <w:b/>
          <w:bCs/>
          <w:sz w:val="24"/>
          <w:szCs w:val="24"/>
        </w:rPr>
      </w:pPr>
      <w:r>
        <w:rPr>
          <w:b/>
          <w:bCs/>
          <w:sz w:val="24"/>
          <w:szCs w:val="24"/>
        </w:rPr>
        <w:tab/>
        <w:t>Заказчик:                                                                                                                 Поставщик:</w:t>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settings.xml><?xml version="1.0" encoding="utf-8"?>
<w:settings xmlns:w="http://schemas.openxmlformats.org/wordprocessingml/2006/main">
  <w:zoom w:percent="14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user">
    <w:name w:val="Символ сноски (user)"/>
    <w:qFormat/>
    <w:rPr>
      <w:vertAlign w:val="superscript"/>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unhideWhenUsed/>
    <w:qFormat/>
    <w:rPr>
      <w:vertAlign w:val="superscript"/>
    </w:rPr>
  </w:style>
  <w:style w:type="character" w:styleId="Style10" w:customStyle="1">
    <w:name w:val="Текст концевой сноски Знак"/>
    <w:uiPriority w:val="99"/>
    <w:qFormat/>
    <w:rPr>
      <w:sz w:val="20"/>
    </w:rPr>
  </w:style>
  <w:style w:type="character" w:styleId="user1">
    <w:name w:val="Символ концевой сноски (user)"/>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uiPriority w:val="99"/>
    <w:semiHidden/>
    <w:qFormat/>
    <w:rPr>
      <w:rFonts w:ascii="Times New Roman" w:hAnsi="Times New Roman" w:eastAsia="Times New Roman"/>
      <w:b/>
      <w:bCs/>
    </w:rPr>
  </w:style>
  <w:style w:type="character" w:styleId="Style17" w:customStyle="1">
    <w:name w:val="Текст выноски Знак"/>
    <w:basedOn w:val="DefaultParagraphFont"/>
    <w:uiPriority w:val="99"/>
    <w:semiHidden/>
    <w:qFormat/>
    <w:rPr>
      <w:rFonts w:ascii="Tahoma" w:hAnsi="Tahoma" w:eastAsia="Times New Roman" w:cs="Tahoma"/>
      <w:sz w:val="16"/>
      <w:szCs w:val="16"/>
    </w:rPr>
  </w:style>
  <w:style w:type="character" w:styleId="Style18" w:customStyle="1">
    <w:name w:val="Без интервала Знак"/>
    <w:uiPriority w:val="99"/>
    <w:qFormat/>
    <w:rPr>
      <w:sz w:val="24"/>
      <w:szCs w:val="24"/>
    </w:rPr>
  </w:style>
  <w:style w:type="character" w:styleId="11" w:customStyle="1">
    <w:name w:val="Гиперссылка1"/>
    <w:basedOn w:val="DefaultParagraphFont"/>
    <w:uiPriority w:val="99"/>
    <w:unhideWhenUsed/>
    <w:qFormat/>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Title">
    <w:name w:val="Title"/>
    <w:basedOn w:val="Normal"/>
    <w:next w:val="BodyText"/>
    <w:uiPriority w:val="10"/>
    <w:qFormat/>
    <w:pPr>
      <w:spacing w:before="300" w:after="200"/>
      <w:contextualSpacing/>
    </w:pPr>
    <w:rPr>
      <w:sz w:val="48"/>
      <w:szCs w:val="4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pPr>
      <w:spacing w:before="0" w:after="0"/>
      <w:ind w:left="720"/>
      <w:contextualSpacing/>
    </w:pPr>
    <w:rPr/>
  </w:style>
  <w:style w:type="paragraph" w:styleId="Subtitle">
    <w:name w:val="Subtitle"/>
    <w:basedOn w:val="Normal"/>
    <w:next w:val="Normal"/>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BodyTextIndent">
    <w:name w:val="Body Text Indent"/>
    <w:basedOn w:val="Normal"/>
    <w:uiPriority w:val="99"/>
    <w:pPr>
      <w:ind w:firstLine="709"/>
      <w:jc w:val="both"/>
    </w:pPr>
    <w:rPr>
      <w:rFonts w:eastAsia="Calibri"/>
      <w:lang w:val="en-US"/>
    </w:rPr>
  </w:style>
  <w:style w:type="paragraph" w:styleId="ConsPlusNormal1" w:customStyle="1">
    <w:name w:val="ConsPlusNormal"/>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customStyle="1">
    <w:name w:val="Верхний и нижний колонтитулы"/>
    <w:basedOn w:val="Normal"/>
    <w:qFormat/>
    <w:pPr/>
    <w:rPr/>
  </w:style>
  <w:style w:type="paragraph" w:styleId="user4">
    <w:name w:val="Колонтитулы (user)"/>
    <w:basedOn w:val="Normal"/>
    <w:qFormat/>
    <w:pPr/>
    <w:rPr/>
  </w:style>
  <w:style w:type="paragraph" w:styleId="Style22">
    <w:name w:val="Колонтитулы"/>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CommentText">
    <w:name w:val="annotation text"/>
    <w:basedOn w:val="Normal"/>
    <w:uiPriority w:val="99"/>
    <w:unhideWhenUsed/>
    <w:qFormat/>
    <w:pPr/>
    <w:rPr/>
  </w:style>
  <w:style w:type="paragraph" w:styleId="annotationsubject">
    <w:name w:val="annotation subject"/>
    <w:basedOn w:val="CommentText"/>
    <w:next w:val="CommentText"/>
    <w:uiPriority w:val="99"/>
    <w:semiHidden/>
    <w:unhideWhenUsed/>
    <w:qFormat/>
    <w:pPr/>
    <w:rPr>
      <w:b/>
      <w:bCs/>
    </w:rPr>
  </w:style>
  <w:style w:type="paragraph" w:styleId="BalloonText">
    <w:name w:val="Balloon Text"/>
    <w:basedOn w:val="Normal"/>
    <w:uiPriority w:val="99"/>
    <w:semiHidden/>
    <w:unhideWhenUsed/>
    <w:qFormat/>
    <w:pPr/>
    <w:rPr>
      <w:rFonts w:ascii="Tahoma" w:hAnsi="Tahoma" w:cs="Tahoma"/>
      <w:sz w:val="16"/>
      <w:szCs w:val="16"/>
    </w:rPr>
  </w:style>
  <w:style w:type="paragraph" w:styleId="NoSpacing">
    <w:name w:val="No Spacing"/>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2"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user5" w:customStyle="1">
    <w:name w:val="Содержимое врезки (user)"/>
    <w:basedOn w:val="Normal"/>
    <w:qFormat/>
    <w:pPr/>
    <w:rPr/>
  </w:style>
  <w:style w:type="paragraph" w:styleId="user6" w:customStyle="1">
    <w:name w:val="Содержимое таблицы (user)"/>
    <w:basedOn w:val="Normal"/>
    <w:qFormat/>
    <w:pPr>
      <w:widowControl w:val="false"/>
      <w:suppressLineNumbers/>
    </w:pPr>
    <w:rPr/>
  </w:style>
  <w:style w:type="paragraph" w:styleId="user7" w:customStyle="1">
    <w:name w:val="Заголовок таблицы (user)"/>
    <w:basedOn w:val="user6"/>
    <w:qFormat/>
    <w:pPr>
      <w:jc w:val="center"/>
    </w:pPr>
    <w:rPr>
      <w:b/>
      <w:bCs/>
    </w:rPr>
  </w:style>
  <w:style w:type="numbering" w:styleId="user8"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0">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0">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0">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1445</TotalTime>
  <Application>LibreOffice/25.2.6.2$Linux_X86_64 LibreOffice_project/520$Build-2</Application>
  <AppVersion>15.0000</AppVersion>
  <Pages>7</Pages>
  <Words>3306</Words>
  <Characters>24010</Characters>
  <CharactersWithSpaces>28033</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2025-03-27T01:41:00Z</dcterms:created>
  <dc:creator>Захаров Никита Сергеевич</dc:creator>
  <dc:description/>
  <dc:language>ru-RU</dc:language>
  <cp:lastModifiedBy/>
  <cp:lastPrinted>2025-03-27T01:49:00Z</cp:lastPrinted>
  <dcterms:modified xsi:type="dcterms:W3CDTF">2026-06-23T08:37:20Z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