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F90B77">
        <w:tblPrEx>
          <w:tblCellMar>
            <w:top w:w="0" w:type="dxa"/>
            <w:left w:w="0" w:type="dxa"/>
            <w:bottom w:w="0" w:type="dxa"/>
            <w:right w:w="0" w:type="dxa"/>
          </w:tblCellMar>
        </w:tblPrEx>
        <w:tc>
          <w:tcPr>
            <w:tcW w:w="2834" w:type="dxa"/>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F90B77" w:rsidRDefault="00F90B77">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ДОГОВОР № </w:t>
            </w:r>
            <w:r w:rsidR="006A1B93">
              <w:rPr>
                <w:rFonts w:ascii="Times" w:hAnsi="Times" w:cs="Times"/>
                <w:b/>
                <w:bCs/>
                <w:color w:val="000000"/>
              </w:rPr>
              <w:t>__</w:t>
            </w:r>
          </w:p>
          <w:p w:rsidR="00F90B77" w:rsidRDefault="00F90B7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«Контур.Экстерн» и оказание услуг по сопровождению (технической поддержке)</w:t>
            </w:r>
          </w:p>
        </w:tc>
        <w:tc>
          <w:tcPr>
            <w:tcW w:w="2834" w:type="dxa"/>
            <w:tcBorders>
              <w:top w:val="nil"/>
              <w:left w:val="nil"/>
              <w:bottom w:val="nil"/>
              <w:right w:val="nil"/>
            </w:tcBorders>
          </w:tcPr>
          <w:p w:rsidR="00F90B77" w:rsidRDefault="0032514C">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extent cx="5429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r>
      <w:tr w:rsidR="00F90B77">
        <w:tblPrEx>
          <w:tblCellMar>
            <w:top w:w="0" w:type="dxa"/>
            <w:left w:w="0" w:type="dxa"/>
            <w:bottom w:w="0" w:type="dxa"/>
            <w:right w:w="0" w:type="dxa"/>
          </w:tblCellMar>
        </w:tblPrEx>
        <w:tc>
          <w:tcPr>
            <w:tcW w:w="5187" w:type="dxa"/>
            <w:gridSpan w:val="2"/>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г</w:t>
            </w:r>
          </w:p>
        </w:tc>
        <w:tc>
          <w:tcPr>
            <w:tcW w:w="5187" w:type="dxa"/>
            <w:gridSpan w:val="2"/>
            <w:tcBorders>
              <w:top w:val="nil"/>
              <w:left w:val="nil"/>
              <w:bottom w:val="nil"/>
              <w:right w:val="nil"/>
            </w:tcBorders>
          </w:tcPr>
          <w:p w:rsidR="00F90B77" w:rsidRDefault="006A1B93">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w:t>
            </w:r>
            <w:r w:rsidR="00F90B77">
              <w:rPr>
                <w:rFonts w:ascii="Times" w:hAnsi="Times" w:cs="Times"/>
                <w:color w:val="000000"/>
                <w:sz w:val="18"/>
                <w:szCs w:val="18"/>
              </w:rPr>
              <w:t>2026</w:t>
            </w:r>
          </w:p>
        </w:tc>
      </w:tr>
    </w:tbl>
    <w:p w:rsidR="00F90B77" w:rsidRDefault="006A1B9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w:t>
      </w:r>
      <w:r w:rsidR="00F90B77">
        <w:rPr>
          <w:rFonts w:ascii="Times" w:hAnsi="Times" w:cs="Times"/>
          <w:color w:val="000000"/>
          <w:sz w:val="18"/>
          <w:szCs w:val="18"/>
        </w:rPr>
        <w:t>, именуемое в дальнейшем ОПЕРАТОР, в лице ⁠      ⁠, действующ⁠      ⁠ на основании ⁠      ⁠, с одной стороны, и Оренбургстат, именуем в дальнейшем АБОНЕНТ, в лице , действующ на основании , с другой стороны, совместно именуемые в дальнейшем Стороны, заключили Договор о нижеследующем.</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Абоненту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Договору)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Лицензионный договор (Приложение № 2 к Договору)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Сублицензионный договор на использование программы для ЭВМ СКЗИ «КриптоПро CSP» (Приложение № 3 к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Договора, если приобретаются лицензии на право использования СКЗИ.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 Прайс-лист − документ (неотъемлемая часть Договора), отражающий ценовую политику Оператора и состав Тарифных планов. Действующая редакция основного Прайс-листа публикуется по адресу </w:t>
      </w:r>
      <w:hyperlink r:id="rId6" w:history="1">
        <w:r>
          <w:rPr>
            <w:rFonts w:ascii="Times" w:hAnsi="Times" w:cs="Times"/>
            <w:color w:val="0000CD"/>
            <w:sz w:val="18"/>
            <w:szCs w:val="18"/>
          </w:rPr>
          <w:t>https://www.kontur-extern.ru</w:t>
        </w:r>
      </w:hyperlink>
      <w:r>
        <w:rPr>
          <w:rFonts w:ascii="Times" w:hAnsi="Times" w:cs="Times"/>
          <w:color w:val="000000"/>
          <w:sz w:val="18"/>
          <w:szCs w:val="18"/>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hyperlink r:id="rId7" w:history="1">
        <w:r>
          <w:rPr>
            <w:rFonts w:ascii="Times" w:hAnsi="Times" w:cs="Times"/>
            <w:color w:val="0000CD"/>
            <w:sz w:val="18"/>
            <w:szCs w:val="18"/>
          </w:rPr>
          <w:t>https://ca.kontur.ru</w:t>
        </w:r>
      </w:hyperlink>
      <w:r>
        <w:rPr>
          <w:rFonts w:ascii="Times" w:hAnsi="Times" w:cs="Times"/>
          <w:color w:val="000000"/>
          <w:sz w:val="18"/>
          <w:szCs w:val="18"/>
        </w:rPr>
        <w:t>. Заключением Договора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Пользовательская документация – справочный текст, размещенный по адресу </w:t>
      </w:r>
      <w:hyperlink r:id="rId8" w:history="1">
        <w:r>
          <w:rPr>
            <w:rFonts w:ascii="Times" w:hAnsi="Times" w:cs="Times"/>
            <w:color w:val="0000CD"/>
            <w:sz w:val="18"/>
            <w:szCs w:val="18"/>
          </w:rPr>
          <w:t>https://support.kontur.ru/extern</w:t>
        </w:r>
      </w:hyperlink>
      <w:r>
        <w:rPr>
          <w:rFonts w:ascii="Times" w:hAnsi="Times" w:cs="Times"/>
          <w:color w:val="000000"/>
          <w:sz w:val="18"/>
          <w:szCs w:val="18"/>
        </w:rPr>
        <w:t xml:space="preserve"> и описывающий порядок работы с Продуктом.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Программный интерфейс API (Application Programming Interface) – интерфейс прикладного программирования Продукта, позволяющий провести интеграцию Продукта с информационной системой Абонента.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Субъект персональных данных – физическое лицо, персональные данные которого Абонент обрабатывает с использованием Продукта.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во взаимоотношениях с Абонентом. Список Сервисных центров публикуется на сайте </w:t>
      </w:r>
      <w:hyperlink r:id="rId9" w:history="1">
        <w:r>
          <w:rPr>
            <w:rFonts w:ascii="Times" w:hAnsi="Times" w:cs="Times"/>
            <w:color w:val="0000CD"/>
            <w:sz w:val="18"/>
            <w:szCs w:val="18"/>
          </w:rPr>
          <w:t>https://kontur.ru/contacts/all</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Оператор обязуется предоставить Абоненту простую (неисключительную) лицензию на право использования Продукта в пределах, предусмотренных Договором,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Договором.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Если Абоненту требуется СКЗИ, то Оператор обязуется возмездно передать простые (неисключительные) лицензии на право использования СКЗИ на условиях Сублицензионного договора на срок, установленный выбранным Тарифным планом.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При необходимости Абоненту могут быть возмездно предоставлены лицензии на иное программное обеспечение, оказаны иные услуги, выполнены работы, предусмотренные Прайс-листом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Оператор либо Сервисный центр могут дополнительно возмездно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ОПЕРАТОРОМ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w:t>
      </w:r>
      <w:r w:rsidR="006A1B93" w:rsidRPr="006A1B93">
        <w:rPr>
          <w:rFonts w:ascii="Times" w:hAnsi="Times" w:cs="Times"/>
          <w:color w:val="000000"/>
          <w:sz w:val="18"/>
          <w:szCs w:val="18"/>
          <w:highlight w:val="green"/>
        </w:rPr>
        <w:t xml:space="preserve">В течение 5 (пяти) рабочих дней с даты заключения настоящего Договора Оператор предоставляет Абоненту право использования Продукта на срок </w:t>
      </w:r>
      <w:r w:rsidR="005B48CC">
        <w:rPr>
          <w:rFonts w:ascii="Times" w:hAnsi="Times" w:cs="Times"/>
          <w:color w:val="000000"/>
          <w:sz w:val="18"/>
          <w:szCs w:val="18"/>
          <w:highlight w:val="green"/>
        </w:rPr>
        <w:t xml:space="preserve">до </w:t>
      </w:r>
      <w:r w:rsidR="006A1B93" w:rsidRPr="006A1B93">
        <w:rPr>
          <w:rFonts w:ascii="Times" w:hAnsi="Times" w:cs="Times"/>
          <w:color w:val="000000"/>
          <w:sz w:val="18"/>
          <w:szCs w:val="18"/>
          <w:highlight w:val="green"/>
        </w:rPr>
        <w:t>03.08.2027 путем: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Реализация Абонентом доступа к Продукту осуществляется путем установки и </w:t>
      </w:r>
      <w:r>
        <w:rPr>
          <w:rFonts w:ascii="Times" w:hAnsi="Times" w:cs="Times"/>
          <w:color w:val="000000"/>
          <w:sz w:val="18"/>
          <w:szCs w:val="18"/>
        </w:rPr>
        <w:lastRenderedPageBreak/>
        <w:t xml:space="preserve">настройки необходимых для функционирования Продукта дистрибутивов программных компонентов согласно инструкции на сайте </w:t>
      </w:r>
      <w:hyperlink r:id="rId10" w:history="1">
        <w:r>
          <w:rPr>
            <w:rFonts w:ascii="Times" w:hAnsi="Times" w:cs="Times"/>
            <w:color w:val="0000CD"/>
            <w:sz w:val="18"/>
            <w:szCs w:val="18"/>
          </w:rPr>
          <w:t>https://www.kontur-extern.ru/support/start</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1" w:history="1">
        <w:r>
          <w:rPr>
            <w:rFonts w:ascii="Times" w:hAnsi="Times" w:cs="Times"/>
            <w:color w:val="0000CD"/>
            <w:sz w:val="18"/>
            <w:szCs w:val="18"/>
          </w:rPr>
          <w:t>https://www.kontur.ru/extern</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Абоненту Ключа разработчика для интеграции Продукта с информационными системами при помощи API.</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Необходимым условием использования Продукта является наличие у Абонента: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3.2.1. подключения к сети Интернет;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3.2.2. учетной записи на сервере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3.2.3. действующего Сертификата;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3.2.4. СКЗИ.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Передача права использования Продукта осуществляется в момент открытия доступа Абоненту к серверу Продукта.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Техническая поддержка Продукта и СКЗИ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8-800-500-50-80 без ограничения по времени и количеству обращений.</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заявленной функциональности, описанной в Пользовательской документации;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Абонентом Продукта;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Оператора, от несанкционированного доступа;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4.1.6. наличие всех необходимых лицензий для исполнения обязательств по Договору. Место публикации лицензий Оператора </w:t>
      </w:r>
      <w:hyperlink r:id="rId12" w:history="1">
        <w:r>
          <w:rPr>
            <w:rFonts w:ascii="Times" w:hAnsi="Times" w:cs="Times"/>
            <w:color w:val="0000CD"/>
            <w:sz w:val="18"/>
            <w:szCs w:val="18"/>
          </w:rPr>
          <w:t>https://kontur.ru/about/licences</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4.1.7. обеспечение конфиденциальности данных, размещенных Абонентом в Продукте, на весь период их нахождения на сервере;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осуществление обязанностей Оператора электронного документооборота.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Абонента: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Оператора в порядке и сроки, установленные Договором;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Оператору всех сведений и документов, необходимых для исполнения Оператором обязательств по Договору;</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4.2.5. самостоятельное подключение компьютера к сети Интернет;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4.2.6. самостоятельная комплектация рабочего места в соответствии с требованиями, размещенными на сайте </w:t>
      </w:r>
      <w:hyperlink r:id="rId13" w:history="1">
        <w:r>
          <w:rPr>
            <w:rFonts w:ascii="Times" w:hAnsi="Times" w:cs="Times"/>
            <w:color w:val="0000CD"/>
            <w:sz w:val="18"/>
            <w:szCs w:val="18"/>
          </w:rPr>
          <w:t>https://support.kontur.ru/extern</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отказ от попыток копировать, модифицировать, декомпилировать, деассемблировать Продукт;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4.2.8. отказ от попыток получения доступа к информации третьих лиц, хранящейся в Продукте;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4.2.11. самостоятельное осуществление интеграции информационных систем Абонента с Продуктом с использованием API.</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заключение с третьими лицами любых договоров о предоставлении права использования Продукта, в том числе на условиях, аналогичных условиям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Абонента: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Оператору.</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Оператора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Оператора определяется Прайс-листом Оператора и устанавливается в Спецификации без учета НДС. НДС начисляется и предъявляется Абоненту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w:t>
      </w:r>
      <w:r w:rsidRPr="006A1B93">
        <w:rPr>
          <w:rFonts w:ascii="Times" w:hAnsi="Times" w:cs="Times"/>
          <w:color w:val="000000"/>
          <w:sz w:val="18"/>
          <w:szCs w:val="18"/>
          <w:highlight w:val="green"/>
        </w:rPr>
        <w:t>Абонент оплачивает выставленный Оператором счет в течение 10 (десяти) рабочих дней с момента подписания Сторонами УПД</w:t>
      </w:r>
      <w:r w:rsidR="006A1B93" w:rsidRPr="006A1B93">
        <w:rPr>
          <w:rFonts w:ascii="Times" w:hAnsi="Times" w:cs="Times"/>
          <w:color w:val="000000"/>
          <w:sz w:val="18"/>
          <w:szCs w:val="18"/>
          <w:highlight w:val="green"/>
        </w:rPr>
        <w:t xml:space="preserve"> с соблюдением сроков, установленных в п. 5.9-5.10 Договора</w:t>
      </w:r>
      <w:r w:rsidRPr="006A1B93">
        <w:rPr>
          <w:rFonts w:ascii="Times" w:hAnsi="Times" w:cs="Times"/>
          <w:color w:val="000000"/>
          <w:sz w:val="18"/>
          <w:szCs w:val="18"/>
          <w:highlight w:val="green"/>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Договору осуществляются в российских рублях путем безналичного перечисления денежных средств на расчетный счет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Абонента по оплате счета считается исполненным с момента поступления денежных средств на расчетный счет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5.7. Общая цена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Договору путем подписания УПД. Абонент обязан вернуть Оператору подписанный экземпляр УПД до момента окончания срока, установленного пп. 5.9-5.10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Абонентом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Договором, в части их соответствия его условиям, Абонент по собственной инициативе и за свой счет может провести экспертизу.</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ДОГОВОРА. ПОРЯДОК ИЗМЕНЕНИЯ, ДОПОЛНЕНИЯ И РАСТОРЖЕНИЯ. ПОРЯДОК РАЗРЕШЕНИЯ СПОРОВ</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Договора Стороны понимают: подписание Абонентом Договора,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Договору оформляются дополнительным соглашением, которое подписывается обеими Сторонами в том же порядке, что и Договор.</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Абонентом условий Договора Оператор вправе незамедлительно блокировать доступ к Продукту без предварительного уведомления Абонента, а также досрочно расторгнуть Договор.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Договор расторгается в случаях, предусмотренных законодательством Российской Федерации и Договором.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Оператор не будет нести ответственность за невозможность использования Продукта по причинам, не зависящим от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Договору в течение одного года, предшествующего моменту возникновения убытков.</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Оператор не будет нести ответственность за содержание и достоверность информации, циркулирующей в Продукте.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Договором.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Оператор не будет нести ответственность за действия, совершаемые пользователями Абонента в Продукте.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Факт заключения Договора не является конфиденциальной информацией.</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7.16.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w:t>
      </w:r>
      <w:r>
        <w:rPr>
          <w:rFonts w:ascii="Times" w:hAnsi="Times" w:cs="Times"/>
          <w:color w:val="000000"/>
          <w:sz w:val="18"/>
          <w:szCs w:val="18"/>
        </w:rPr>
        <w:lastRenderedPageBreak/>
        <w:t>подкуп, а также иные действия, нарушающие требования законодательства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Договора и/или неполучения другой Стороной информации об итогах рассмотрения уведомления о нарушении другая Сторона имеет право отказаться от Договора, направив письменное уведомление.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не нарушает каких-либо прав на объекты интеллектуальной собственности или иных имущественных прав какого-либо третьего лица;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Договора и блокированию Абоненту доступа к Продукту.</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ОБЯЗАТЕЛЬСТВА СТОРОН В ОБЛАСТИ ОБРАБОТКИ ПЕРСОНАЛЬНЫХ ДАННЫХ</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Заключение Договора рассматривается Сторонами как поручение Оператора персональных данных (Абонента по Договору)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Договором.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Абонент гарантирует: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Оператор гарантирует: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9.3.1. соблюдение конфиденциальности и обеспечение безопасности обрабатываемых персональных данных;</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9.3.2. обработку персональных данных на территории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определение угроз безопасности персональных данных при их обработке;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установление правил доступа к обрабатываемым персональным данным;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обнаружение фактов несанкционированного доступа к персональным данным и принятие мер по их пресечению;</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проведение оценки эффективности принимаемых мер по обеспечению безопасности персональных данных и контроля за принимаемыми мерами.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hyperlink r:id="rId14" w:history="1">
        <w:r>
          <w:rPr>
            <w:rFonts w:ascii="Times" w:hAnsi="Times" w:cs="Times"/>
            <w:color w:val="0000CD"/>
            <w:sz w:val="18"/>
            <w:szCs w:val="18"/>
          </w:rPr>
          <w:t>https://kontur.ru</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В случае прекращения действия Договора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Оператор обязуется: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Принимая условия Договора, Абонент заверяет (по смыслу ст. 431.2 Гражданского кодекса Российской Федерации) о наличии согласий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на обработку принадлежащих им персональных данных, в том числе на передачу персональных данных Оператору и Сервисным центрам в целях исполнения Договора, включая совершение массовых и (или) автоматических вызовов (все вызовы Оператора, совершаемые с его АТС).</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ДОПОЛНИТЕЛЬНЫЕ УСЛОВИЯ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Приложениями к Договору являются: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Сублицензионный договор.</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Стороны договорились о возможности использования факсимиле подписи уполномоченного лица Оператора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«Контур.Диадок», правообладателем которой является Оператор и использование которой для целей обмена электронными документами с Оператором в рамках Договора не будет тарифицироваться для Абонента.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Договора,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Договора адресу электронной почты и телефону.</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Принимая условия Договора, Абонент подтверждает наличие у него законных оснований для обработки с использованием Продукта принадлежащей ему информации.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Договора, Абонент соглашается на массовые и (или) автоматические телефонные вызовы (все вызовы Оператора,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Оператора на номер подвижной мобильной связи или адрес электронной почты, с которых произведено обращение, либо указанные уполномоченным лицом Абонента. Согласие распространяется в том числе, но не ограничиваясь на информирование о результатах обращения в Федеральный контакт-центр Оператора, о результатах выполнения работ, оказания услуг, о необходимости обновления/проведения необходимых доработок интеграционных модулей.</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Абонент подтверждает, что по смыслу п. 4 ст. 185 Гражданского кодекса Российской Федерации все действия, совершаемые пользователями Абонента в Продукте, признаются Сторонами совершаемыми от имени и в интересах Абонента.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Оператор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Абонента.</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СВЕДЕНИЯ ОБ ОПЕРАТОРЕ</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F90B77">
        <w:tblPrEx>
          <w:tblCellMar>
            <w:top w:w="0" w:type="dxa"/>
            <w:left w:w="0" w:type="dxa"/>
            <w:bottom w:w="0" w:type="dxa"/>
            <w:right w:w="0" w:type="dxa"/>
          </w:tblCellMar>
        </w:tblPrEx>
        <w:tc>
          <w:tcPr>
            <w:tcW w:w="10372" w:type="dxa"/>
            <w:gridSpan w:val="4"/>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p>
        </w:tc>
      </w:tr>
      <w:tr w:rsidR="00F90B77">
        <w:tblPrEx>
          <w:tblCellMar>
            <w:top w:w="0" w:type="dxa"/>
            <w:left w:w="0" w:type="dxa"/>
            <w:bottom w:w="0" w:type="dxa"/>
            <w:right w:w="0" w:type="dxa"/>
          </w:tblCellMar>
        </w:tblPrEx>
        <w:tc>
          <w:tcPr>
            <w:tcW w:w="10372" w:type="dxa"/>
            <w:gridSpan w:val="4"/>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t>12. СВЕДЕНИЯ ОБ АБОНЕНТЕ</w:t>
            </w:r>
          </w:p>
          <w:p w:rsidR="00F90B77" w:rsidRDefault="00F90B7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Наименование: Оренбургстат</w:t>
            </w:r>
          </w:p>
          <w:p w:rsidR="00F90B77" w:rsidRDefault="00F90B7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Юридический адрес: 460024, Оренбургская обл, г. Оренбург, ул. Туркестанская, д. 15</w:t>
            </w:r>
          </w:p>
          <w:p w:rsidR="0032514C" w:rsidRPr="0032514C" w:rsidRDefault="00F90B77" w:rsidP="0032514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ИНН 5610006066 КПП 561001001</w:t>
            </w:r>
            <w:r w:rsidR="0032514C" w:rsidRPr="0032514C">
              <w:rPr>
                <w:rFonts w:ascii="Times" w:hAnsi="Times" w:cs="Times"/>
                <w:color w:val="000000"/>
                <w:sz w:val="18"/>
                <w:szCs w:val="18"/>
              </w:rPr>
              <w:t>Наименование</w:t>
            </w:r>
          </w:p>
          <w:p w:rsidR="0032514C" w:rsidRPr="0032514C"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УФК по Новосибирской области</w:t>
            </w:r>
          </w:p>
          <w:p w:rsidR="0032514C" w:rsidRPr="0032514C"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Адрес</w:t>
            </w:r>
          </w:p>
          <w:p w:rsidR="0032514C" w:rsidRPr="0032514C"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630008, Новосибирская обл, г Новосибирск, Октябрьский р-н, ул Кирова, д 3/1</w:t>
            </w:r>
          </w:p>
          <w:p w:rsidR="0032514C" w:rsidRPr="0032514C"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БИК</w:t>
            </w:r>
          </w:p>
          <w:p w:rsidR="0032514C" w:rsidRPr="0032514C"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045081100</w:t>
            </w:r>
          </w:p>
          <w:p w:rsidR="0032514C" w:rsidRPr="0032514C"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Корреспондентский счет</w:t>
            </w:r>
          </w:p>
          <w:p w:rsidR="0032514C" w:rsidRPr="0032514C"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40102810445370000043</w:t>
            </w:r>
          </w:p>
          <w:p w:rsidR="0032514C" w:rsidRPr="0032514C"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Счет в банке</w:t>
            </w:r>
          </w:p>
          <w:p w:rsidR="00F90B77" w:rsidRDefault="0032514C" w:rsidP="0032514C">
            <w:pPr>
              <w:widowControl w:val="0"/>
              <w:autoSpaceDE w:val="0"/>
              <w:autoSpaceDN w:val="0"/>
              <w:adjustRightInd w:val="0"/>
              <w:spacing w:after="0" w:line="240" w:lineRule="auto"/>
              <w:rPr>
                <w:rFonts w:ascii="Times" w:hAnsi="Times" w:cs="Times"/>
                <w:color w:val="000000"/>
                <w:sz w:val="18"/>
                <w:szCs w:val="18"/>
              </w:rPr>
            </w:pPr>
            <w:r w:rsidRPr="0032514C">
              <w:rPr>
                <w:rFonts w:ascii="Times" w:hAnsi="Times" w:cs="Times"/>
                <w:color w:val="000000"/>
                <w:sz w:val="18"/>
                <w:szCs w:val="18"/>
              </w:rPr>
              <w:t>03211643000000015112</w:t>
            </w:r>
          </w:p>
          <w:p w:rsidR="00F90B77" w:rsidRDefault="00F90B7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F90B77">
        <w:tblPrEx>
          <w:tblCellMar>
            <w:top w:w="0" w:type="dxa"/>
            <w:left w:w="0" w:type="dxa"/>
            <w:bottom w:w="0" w:type="dxa"/>
            <w:right w:w="0" w:type="dxa"/>
          </w:tblCellMar>
        </w:tblPrEx>
        <w:trPr>
          <w:gridAfter w:val="3"/>
          <w:wAfter w:w="7779" w:type="dxa"/>
        </w:trPr>
        <w:tc>
          <w:tcPr>
            <w:tcW w:w="2593" w:type="dxa"/>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b/>
                <w:bCs/>
                <w:color w:val="000000"/>
                <w:sz w:val="18"/>
                <w:szCs w:val="18"/>
              </w:rPr>
            </w:pPr>
            <w:r>
              <w:rPr>
                <w:rFonts w:ascii="Times" w:hAnsi="Times" w:cs="Times"/>
                <w:b/>
                <w:bCs/>
                <w:color w:val="000000"/>
                <w:sz w:val="18"/>
                <w:szCs w:val="18"/>
              </w:rPr>
              <w:lastRenderedPageBreak/>
              <w:t>13. ПОДПИСИ СТОРОН</w:t>
            </w:r>
          </w:p>
        </w:tc>
      </w:tr>
      <w:tr w:rsidR="00F90B77">
        <w:tblPrEx>
          <w:tblCellMar>
            <w:top w:w="0" w:type="dxa"/>
            <w:left w:w="0" w:type="dxa"/>
            <w:bottom w:w="0" w:type="dxa"/>
            <w:right w:w="0" w:type="dxa"/>
          </w:tblCellMar>
        </w:tblPrEx>
        <w:tc>
          <w:tcPr>
            <w:tcW w:w="5186" w:type="dxa"/>
            <w:gridSpan w:val="2"/>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ОПЕРАТОР</w:t>
            </w:r>
          </w:p>
        </w:tc>
        <w:tc>
          <w:tcPr>
            <w:tcW w:w="5186" w:type="dxa"/>
            <w:gridSpan w:val="2"/>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АБОНЕНТ</w:t>
            </w:r>
          </w:p>
        </w:tc>
      </w:tr>
      <w:tr w:rsidR="00F90B77">
        <w:tblPrEx>
          <w:tblCellMar>
            <w:top w:w="0" w:type="dxa"/>
            <w:left w:w="0" w:type="dxa"/>
            <w:bottom w:w="0" w:type="dxa"/>
            <w:right w:w="0" w:type="dxa"/>
          </w:tblCellMar>
        </w:tblPrEx>
        <w:trPr>
          <w:trHeight w:val="170"/>
        </w:trPr>
        <w:tc>
          <w:tcPr>
            <w:tcW w:w="2593" w:type="dxa"/>
            <w:tcBorders>
              <w:top w:val="nil"/>
              <w:left w:val="nil"/>
              <w:bottom w:val="single" w:sz="6" w:space="0" w:color="000000"/>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c>
          <w:tcPr>
            <w:tcW w:w="2593" w:type="dxa"/>
            <w:tcBorders>
              <w:top w:val="nil"/>
              <w:left w:val="nil"/>
              <w:bottom w:val="single" w:sz="6" w:space="0" w:color="000000"/>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p>
        </w:tc>
        <w:tc>
          <w:tcPr>
            <w:tcW w:w="2593" w:type="dxa"/>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8"/>
                <w:szCs w:val="18"/>
              </w:rPr>
            </w:pPr>
          </w:p>
        </w:tc>
      </w:tr>
      <w:tr w:rsidR="00F90B77">
        <w:tblPrEx>
          <w:tblCellMar>
            <w:top w:w="0" w:type="dxa"/>
            <w:left w:w="0" w:type="dxa"/>
            <w:bottom w:w="0" w:type="dxa"/>
            <w:right w:w="0" w:type="dxa"/>
          </w:tblCellMar>
        </w:tblPrEx>
        <w:trPr>
          <w:trHeight w:val="170"/>
        </w:trPr>
        <w:tc>
          <w:tcPr>
            <w:tcW w:w="5186" w:type="dxa"/>
            <w:gridSpan w:val="2"/>
            <w:tcBorders>
              <w:top w:val="nil"/>
              <w:left w:val="nil"/>
              <w:bottom w:val="nil"/>
              <w:right w:val="nil"/>
            </w:tcBorders>
          </w:tcPr>
          <w:p w:rsidR="00F90B77" w:rsidRDefault="00F90B77">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c>
          <w:tcPr>
            <w:tcW w:w="5186" w:type="dxa"/>
            <w:gridSpan w:val="2"/>
            <w:tcBorders>
              <w:top w:val="nil"/>
              <w:left w:val="nil"/>
              <w:bottom w:val="nil"/>
              <w:right w:val="nil"/>
            </w:tcBorders>
          </w:tcPr>
          <w:p w:rsidR="00F90B77" w:rsidRDefault="00F90B77">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F90B77" w:rsidRDefault="00F90B77">
      <w:pPr>
        <w:widowControl w:val="0"/>
        <w:autoSpaceDE w:val="0"/>
        <w:autoSpaceDN w:val="0"/>
        <w:adjustRightInd w:val="0"/>
        <w:spacing w:after="0" w:line="240" w:lineRule="auto"/>
        <w:rPr>
          <w:rFonts w:ascii="Arial" w:hAnsi="Arial" w:cs="Arial"/>
          <w:sz w:val="24"/>
          <w:szCs w:val="24"/>
        </w:rPr>
        <w:sectPr w:rsidR="00F90B77">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F90B77" w:rsidRPr="0032514C">
        <w:tblPrEx>
          <w:tblCellMar>
            <w:top w:w="0" w:type="dxa"/>
            <w:left w:w="0" w:type="dxa"/>
            <w:bottom w:w="0" w:type="dxa"/>
            <w:right w:w="0" w:type="dxa"/>
          </w:tblCellMar>
        </w:tblPrEx>
        <w:tc>
          <w:tcPr>
            <w:tcW w:w="1133" w:type="dxa"/>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p>
        </w:tc>
        <w:tc>
          <w:tcPr>
            <w:tcW w:w="9467" w:type="dxa"/>
            <w:tcBorders>
              <w:top w:val="nil"/>
              <w:left w:val="nil"/>
              <w:bottom w:val="nil"/>
              <w:right w:val="nil"/>
            </w:tcBorders>
          </w:tcPr>
          <w:p w:rsidR="00F90B77" w:rsidRPr="0032514C" w:rsidRDefault="00F90B77">
            <w:pPr>
              <w:widowControl w:val="0"/>
              <w:autoSpaceDE w:val="0"/>
              <w:autoSpaceDN w:val="0"/>
              <w:adjustRightInd w:val="0"/>
              <w:spacing w:after="0" w:line="240" w:lineRule="auto"/>
              <w:jc w:val="right"/>
              <w:rPr>
                <w:rFonts w:ascii="Times New Roman" w:hAnsi="Times New Roman"/>
                <w:b/>
                <w:bCs/>
                <w:color w:val="000000"/>
                <w:sz w:val="17"/>
                <w:szCs w:val="17"/>
              </w:rPr>
            </w:pPr>
            <w:r w:rsidRPr="0032514C">
              <w:rPr>
                <w:rFonts w:ascii="Times New Roman" w:hAnsi="Times New Roman"/>
                <w:b/>
                <w:bCs/>
                <w:color w:val="000000"/>
                <w:sz w:val="17"/>
                <w:szCs w:val="17"/>
              </w:rPr>
              <w:t>Приложение 1</w:t>
            </w:r>
          </w:p>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7"/>
                <w:szCs w:val="17"/>
              </w:rPr>
            </w:pPr>
            <w:r w:rsidRPr="0032514C">
              <w:rPr>
                <w:rFonts w:ascii="Times New Roman" w:hAnsi="Times New Roman"/>
                <w:color w:val="000000"/>
                <w:sz w:val="17"/>
                <w:szCs w:val="17"/>
              </w:rPr>
              <w:t>к Договору № </w:t>
            </w:r>
            <w:r w:rsidR="006A1B93" w:rsidRPr="0032514C">
              <w:rPr>
                <w:rFonts w:ascii="Times New Roman" w:hAnsi="Times New Roman"/>
                <w:color w:val="000000"/>
                <w:sz w:val="17"/>
                <w:szCs w:val="17"/>
              </w:rPr>
              <w:t>_</w:t>
            </w:r>
          </w:p>
        </w:tc>
      </w:tr>
      <w:tr w:rsidR="00F90B77" w:rsidRPr="0032514C">
        <w:tblPrEx>
          <w:tblCellMar>
            <w:top w:w="0" w:type="dxa"/>
            <w:left w:w="0" w:type="dxa"/>
            <w:bottom w:w="0" w:type="dxa"/>
            <w:right w:w="0" w:type="dxa"/>
          </w:tblCellMar>
        </w:tblPrEx>
        <w:tc>
          <w:tcPr>
            <w:tcW w:w="10600" w:type="dxa"/>
            <w:gridSpan w:val="2"/>
            <w:tcBorders>
              <w:top w:val="nil"/>
              <w:left w:val="nil"/>
              <w:bottom w:val="nil"/>
              <w:right w:val="nil"/>
            </w:tcBorders>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7"/>
                <w:szCs w:val="17"/>
              </w:rPr>
            </w:pPr>
            <w:r w:rsidRPr="0032514C">
              <w:rPr>
                <w:rFonts w:ascii="Times New Roman" w:hAnsi="Times New Roman"/>
                <w:b/>
                <w:bCs/>
                <w:color w:val="000000"/>
                <w:sz w:val="17"/>
                <w:szCs w:val="17"/>
              </w:rPr>
              <w:t xml:space="preserve">Спецификация №1 от </w:t>
            </w:r>
            <w:r w:rsidR="006A1B93" w:rsidRPr="0032514C">
              <w:rPr>
                <w:rFonts w:ascii="Times New Roman" w:hAnsi="Times New Roman"/>
                <w:b/>
                <w:bCs/>
                <w:color w:val="000000"/>
                <w:sz w:val="17"/>
                <w:szCs w:val="17"/>
              </w:rPr>
              <w:t>_</w:t>
            </w:r>
            <w:r w:rsidRPr="0032514C">
              <w:rPr>
                <w:rFonts w:ascii="Times New Roman" w:hAnsi="Times New Roman"/>
                <w:b/>
                <w:bCs/>
                <w:color w:val="000000"/>
                <w:sz w:val="17"/>
                <w:szCs w:val="17"/>
              </w:rPr>
              <w:t>.2026</w:t>
            </w:r>
          </w:p>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7"/>
                <w:szCs w:val="17"/>
              </w:rPr>
            </w:pPr>
            <w:r w:rsidRPr="0032514C">
              <w:rPr>
                <w:rFonts w:ascii="Times New Roman" w:hAnsi="Times New Roman"/>
                <w:color w:val="000000"/>
                <w:sz w:val="17"/>
                <w:szCs w:val="17"/>
              </w:rPr>
              <w:t>с Оренбургстат (ИНН 5610006066; КПП 561001001)</w:t>
            </w:r>
          </w:p>
        </w:tc>
      </w:tr>
    </w:tbl>
    <w:p w:rsidR="00F90B77" w:rsidRPr="0032514C" w:rsidRDefault="00F90B77">
      <w:pPr>
        <w:widowControl w:val="0"/>
        <w:autoSpaceDE w:val="0"/>
        <w:autoSpaceDN w:val="0"/>
        <w:adjustRightInd w:val="0"/>
        <w:spacing w:before="226" w:after="113" w:line="240" w:lineRule="auto"/>
        <w:rPr>
          <w:rFonts w:ascii="Times New Roman" w:hAnsi="Times New Roman"/>
          <w:color w:val="000000"/>
          <w:sz w:val="17"/>
          <w:szCs w:val="17"/>
        </w:rPr>
      </w:pPr>
      <w:r w:rsidRPr="0032514C">
        <w:rPr>
          <w:rFonts w:ascii="Times New Roman" w:hAnsi="Times New Roman"/>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F90B77" w:rsidRPr="0032514C">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Стоимость с налогом</w:t>
            </w:r>
          </w:p>
        </w:tc>
      </w:tr>
      <w:tr w:rsidR="00F90B77" w:rsidRPr="0032514C">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rPr>
                <w:rFonts w:ascii="Times New Roman" w:hAnsi="Times New Roman"/>
                <w:color w:val="000000"/>
                <w:sz w:val="16"/>
                <w:szCs w:val="16"/>
              </w:rPr>
            </w:pPr>
            <w:bookmarkStart w:id="0" w:name="_GoBack"/>
            <w:r w:rsidRPr="0032514C">
              <w:rPr>
                <w:rFonts w:ascii="Times New Roman" w:hAnsi="Times New Roman"/>
                <w:color w:val="000000"/>
                <w:sz w:val="16"/>
                <w:szCs w:val="16"/>
              </w:rPr>
              <w:t xml:space="preserve">Право использования программы для ЭВМ “Контур.Экстерн” по тарифному плану “Бюджетник максимальный” </w:t>
            </w:r>
            <w:r w:rsidR="006A1B93" w:rsidRPr="0032514C">
              <w:rPr>
                <w:rFonts w:ascii="Times New Roman" w:hAnsi="Times New Roman"/>
                <w:color w:val="000000"/>
                <w:sz w:val="16"/>
                <w:szCs w:val="16"/>
                <w:highlight w:val="green"/>
              </w:rPr>
              <w:t>до 03.08.2027</w:t>
            </w:r>
            <w:r w:rsidRPr="0032514C">
              <w:rPr>
                <w:rFonts w:ascii="Times New Roman" w:hAnsi="Times New Roman"/>
                <w:color w:val="000000"/>
                <w:sz w:val="16"/>
                <w:szCs w:val="16"/>
              </w:rPr>
              <w:t>, с применением встроенных в сертификат/ключевой контейнер СКЗИ “КриптоПро CSP”</w:t>
            </w:r>
            <w:bookmarkEnd w:id="0"/>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6"/>
                <w:szCs w:val="16"/>
              </w:rPr>
            </w:pPr>
            <w:r w:rsidRPr="0032514C">
              <w:rPr>
                <w:rFonts w:ascii="Times New Roman" w:hAnsi="Times New Roman"/>
                <w:color w:val="000000"/>
                <w:sz w:val="16"/>
                <w:szCs w:val="16"/>
              </w:rPr>
              <w:t>16781,61</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6"/>
                <w:szCs w:val="16"/>
              </w:rPr>
            </w:pPr>
            <w:r w:rsidRPr="0032514C">
              <w:rPr>
                <w:rFonts w:ascii="Times New Roman" w:hAnsi="Times New Roman"/>
                <w:color w:val="000000"/>
                <w:sz w:val="16"/>
                <w:szCs w:val="16"/>
              </w:rPr>
              <w:t>16781,61</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6"/>
                <w:szCs w:val="16"/>
              </w:rPr>
            </w:pPr>
            <w:r w:rsidRPr="0032514C">
              <w:rPr>
                <w:rFonts w:ascii="Times New Roman" w:hAnsi="Times New Roman"/>
                <w:color w:val="000000"/>
                <w:sz w:val="16"/>
                <w:szCs w:val="16"/>
              </w:rPr>
              <w:t>16781,61</w:t>
            </w:r>
          </w:p>
        </w:tc>
      </w:tr>
      <w:tr w:rsidR="00F90B77" w:rsidRPr="0032514C">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b/>
                <w:bCs/>
                <w:color w:val="000000"/>
                <w:sz w:val="16"/>
                <w:szCs w:val="16"/>
              </w:rPr>
            </w:pPr>
            <w:r w:rsidRPr="0032514C">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b/>
                <w:bCs/>
                <w:color w:val="000000"/>
                <w:sz w:val="16"/>
                <w:szCs w:val="16"/>
              </w:rPr>
            </w:pPr>
            <w:r w:rsidRPr="0032514C">
              <w:rPr>
                <w:rFonts w:ascii="Times New Roman" w:hAnsi="Times New Roman"/>
                <w:b/>
                <w:bCs/>
                <w:color w:val="000000"/>
                <w:sz w:val="16"/>
                <w:szCs w:val="16"/>
              </w:rPr>
              <w:t>Без НДС</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b/>
                <w:bCs/>
                <w:color w:val="000000"/>
                <w:sz w:val="16"/>
                <w:szCs w:val="16"/>
              </w:rPr>
            </w:pPr>
            <w:r w:rsidRPr="0032514C">
              <w:rPr>
                <w:rFonts w:ascii="Times New Roman" w:hAnsi="Times New Roman"/>
                <w:b/>
                <w:bCs/>
                <w:color w:val="000000"/>
                <w:sz w:val="16"/>
                <w:szCs w:val="16"/>
              </w:rPr>
              <w:t>16781,61</w:t>
            </w:r>
          </w:p>
        </w:tc>
      </w:tr>
    </w:tbl>
    <w:p w:rsidR="00F90B77" w:rsidRPr="0032514C" w:rsidRDefault="00F90B77">
      <w:pPr>
        <w:widowControl w:val="0"/>
        <w:autoSpaceDE w:val="0"/>
        <w:autoSpaceDN w:val="0"/>
        <w:adjustRightInd w:val="0"/>
        <w:spacing w:before="226" w:after="113" w:line="240" w:lineRule="auto"/>
        <w:rPr>
          <w:rFonts w:ascii="Times New Roman" w:hAnsi="Times New Roman"/>
          <w:color w:val="000000"/>
          <w:sz w:val="17"/>
          <w:szCs w:val="17"/>
        </w:rPr>
      </w:pPr>
      <w:r w:rsidRPr="0032514C">
        <w:rPr>
          <w:rFonts w:ascii="Times New Roman" w:hAnsi="Times New Roman"/>
          <w:color w:val="000000"/>
          <w:sz w:val="17"/>
          <w:szCs w:val="17"/>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F90B77" w:rsidRPr="0032514C">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b/>
                <w:bCs/>
                <w:color w:val="000000"/>
                <w:sz w:val="18"/>
                <w:szCs w:val="18"/>
              </w:rPr>
            </w:pPr>
            <w:r w:rsidRPr="0032514C">
              <w:rPr>
                <w:rFonts w:ascii="Times New Roman" w:hAnsi="Times New Roman"/>
                <w:b/>
                <w:bCs/>
                <w:color w:val="000000"/>
                <w:sz w:val="18"/>
                <w:szCs w:val="18"/>
              </w:rPr>
              <w:t>Стоимость с налогом</w:t>
            </w:r>
          </w:p>
        </w:tc>
      </w:tr>
      <w:tr w:rsidR="00F90B77" w:rsidRPr="0032514C">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rPr>
                <w:rFonts w:ascii="Times New Roman" w:hAnsi="Times New Roman"/>
                <w:color w:val="000000"/>
                <w:sz w:val="16"/>
                <w:szCs w:val="16"/>
              </w:rPr>
            </w:pPr>
            <w:r w:rsidRPr="0032514C">
              <w:rPr>
                <w:rFonts w:ascii="Times New Roman" w:hAnsi="Times New Roman"/>
                <w:color w:val="000000"/>
                <w:sz w:val="16"/>
                <w:szCs w:val="16"/>
              </w:rPr>
              <w:t xml:space="preserve">Услуги по сопровождению программы для ЭВМ “Контур.Экстерн” (техническая поддержка в виде абонентского обслуживания) по тарифному плану “Бюджетник максимальный” </w:t>
            </w:r>
            <w:r w:rsidR="006A1B93" w:rsidRPr="0032514C">
              <w:rPr>
                <w:rFonts w:ascii="Times New Roman" w:hAnsi="Times New Roman"/>
                <w:color w:val="000000"/>
                <w:sz w:val="16"/>
                <w:szCs w:val="16"/>
                <w:highlight w:val="green"/>
              </w:rPr>
              <w:t>до 03.08.2027</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6"/>
                <w:szCs w:val="16"/>
              </w:rPr>
            </w:pPr>
            <w:r w:rsidRPr="0032514C">
              <w:rPr>
                <w:rFonts w:ascii="Times New Roman" w:hAnsi="Times New Roman"/>
                <w:color w:val="000000"/>
                <w:sz w:val="16"/>
                <w:szCs w:val="16"/>
              </w:rPr>
              <w:t>4195,40</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6"/>
                <w:szCs w:val="16"/>
              </w:rPr>
            </w:pPr>
            <w:r w:rsidRPr="0032514C">
              <w:rPr>
                <w:rFonts w:ascii="Times New Roman" w:hAnsi="Times New Roman"/>
                <w:color w:val="000000"/>
                <w:sz w:val="16"/>
                <w:szCs w:val="16"/>
              </w:rPr>
              <w:t>4195,40</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22</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center"/>
              <w:rPr>
                <w:rFonts w:ascii="Times New Roman" w:hAnsi="Times New Roman"/>
                <w:color w:val="000000"/>
                <w:sz w:val="16"/>
                <w:szCs w:val="16"/>
              </w:rPr>
            </w:pPr>
            <w:r w:rsidRPr="0032514C">
              <w:rPr>
                <w:rFonts w:ascii="Times New Roman" w:hAnsi="Times New Roman"/>
                <w:color w:val="000000"/>
                <w:sz w:val="16"/>
                <w:szCs w:val="16"/>
              </w:rPr>
              <w:t>922,99</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6"/>
                <w:szCs w:val="16"/>
              </w:rPr>
            </w:pPr>
            <w:r w:rsidRPr="0032514C">
              <w:rPr>
                <w:rFonts w:ascii="Times New Roman" w:hAnsi="Times New Roman"/>
                <w:color w:val="000000"/>
                <w:sz w:val="16"/>
                <w:szCs w:val="16"/>
              </w:rPr>
              <w:t>5118,39</w:t>
            </w:r>
          </w:p>
        </w:tc>
      </w:tr>
      <w:tr w:rsidR="00F90B77" w:rsidRPr="0032514C">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b/>
                <w:bCs/>
                <w:color w:val="000000"/>
                <w:sz w:val="16"/>
                <w:szCs w:val="16"/>
              </w:rPr>
            </w:pPr>
            <w:r w:rsidRPr="0032514C">
              <w:rPr>
                <w:rFonts w:ascii="Times New Roman" w:hAnsi="Times New Roman"/>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b/>
                <w:bCs/>
                <w:color w:val="000000"/>
                <w:sz w:val="16"/>
                <w:szCs w:val="16"/>
              </w:rPr>
            </w:pPr>
            <w:r w:rsidRPr="0032514C">
              <w:rPr>
                <w:rFonts w:ascii="Times New Roman" w:hAnsi="Times New Roman"/>
                <w:b/>
                <w:bCs/>
                <w:color w:val="000000"/>
                <w:sz w:val="16"/>
                <w:szCs w:val="16"/>
              </w:rPr>
              <w:t>922,99</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90B77" w:rsidRPr="0032514C" w:rsidRDefault="00F90B77">
            <w:pPr>
              <w:widowControl w:val="0"/>
              <w:autoSpaceDE w:val="0"/>
              <w:autoSpaceDN w:val="0"/>
              <w:adjustRightInd w:val="0"/>
              <w:spacing w:after="0" w:line="240" w:lineRule="auto"/>
              <w:jc w:val="right"/>
              <w:rPr>
                <w:rFonts w:ascii="Times New Roman" w:hAnsi="Times New Roman"/>
                <w:b/>
                <w:bCs/>
                <w:color w:val="000000"/>
                <w:sz w:val="16"/>
                <w:szCs w:val="16"/>
              </w:rPr>
            </w:pPr>
            <w:r w:rsidRPr="0032514C">
              <w:rPr>
                <w:rFonts w:ascii="Times New Roman" w:hAnsi="Times New Roman"/>
                <w:b/>
                <w:bCs/>
                <w:color w:val="000000"/>
                <w:sz w:val="16"/>
                <w:szCs w:val="16"/>
              </w:rPr>
              <w:t>5118,39</w:t>
            </w:r>
          </w:p>
        </w:tc>
      </w:tr>
    </w:tbl>
    <w:p w:rsidR="00F90B77" w:rsidRPr="0032514C" w:rsidRDefault="00F90B77">
      <w:pPr>
        <w:widowControl w:val="0"/>
        <w:autoSpaceDE w:val="0"/>
        <w:autoSpaceDN w:val="0"/>
        <w:adjustRightInd w:val="0"/>
        <w:spacing w:before="226" w:after="0" w:line="240" w:lineRule="auto"/>
        <w:rPr>
          <w:rFonts w:ascii="Times New Roman" w:hAnsi="Times New Roman"/>
          <w:color w:val="000000"/>
          <w:sz w:val="17"/>
          <w:szCs w:val="17"/>
        </w:rPr>
      </w:pPr>
      <w:r w:rsidRPr="0032514C">
        <w:rPr>
          <w:rFonts w:ascii="Times New Roman" w:hAnsi="Times New Roman"/>
          <w:color w:val="000000"/>
          <w:sz w:val="17"/>
          <w:szCs w:val="17"/>
        </w:rPr>
        <w:t>Общая стоимость Спецификации по п.1 составляет: 21900,00 руб. (двадцать одна тысяча девятьсот рублей 00 копеек), НДС, исчисленный по ставке, установленной п. 3 ст. 164 Налогового кодекса Российской Федерации, составляет: девятьсот двадцать два рубля 99 копеек</w:t>
      </w:r>
    </w:p>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r w:rsidRPr="0032514C">
        <w:rPr>
          <w:rFonts w:ascii="Times New Roman" w:hAnsi="Times New Roman"/>
          <w:color w:val="000000"/>
          <w:sz w:val="17"/>
          <w:szCs w:val="17"/>
        </w:rPr>
        <w:t>  </w:t>
      </w:r>
    </w:p>
    <w:p w:rsidR="00F90B77" w:rsidRPr="0032514C" w:rsidRDefault="00F90B77">
      <w:pPr>
        <w:widowControl w:val="0"/>
        <w:autoSpaceDE w:val="0"/>
        <w:autoSpaceDN w:val="0"/>
        <w:adjustRightInd w:val="0"/>
        <w:spacing w:before="226" w:after="226" w:line="240" w:lineRule="auto"/>
        <w:rPr>
          <w:rFonts w:ascii="Times New Roman" w:hAnsi="Times New Roman"/>
          <w:b/>
          <w:bCs/>
          <w:color w:val="000000"/>
          <w:sz w:val="17"/>
          <w:szCs w:val="17"/>
        </w:rPr>
      </w:pPr>
      <w:r w:rsidRPr="0032514C">
        <w:rPr>
          <w:rFonts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r w:rsidRPr="0032514C">
        <w:rPr>
          <w:rFonts w:ascii="Times New Roman" w:hAnsi="Times New Roman"/>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F90B77" w:rsidRPr="0032514C">
        <w:tblPrEx>
          <w:tblCellMar>
            <w:top w:w="0" w:type="dxa"/>
            <w:left w:w="0" w:type="dxa"/>
            <w:bottom w:w="0" w:type="dxa"/>
            <w:right w:w="0" w:type="dxa"/>
          </w:tblCellMar>
        </w:tblPrEx>
        <w:tc>
          <w:tcPr>
            <w:tcW w:w="5300" w:type="dxa"/>
            <w:gridSpan w:val="2"/>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b/>
                <w:bCs/>
                <w:color w:val="000000"/>
                <w:sz w:val="17"/>
                <w:szCs w:val="17"/>
              </w:rPr>
            </w:pPr>
            <w:r w:rsidRPr="0032514C">
              <w:rPr>
                <w:rFonts w:ascii="Times New Roman" w:hAnsi="Times New Roman"/>
                <w:b/>
                <w:bCs/>
                <w:color w:val="000000"/>
                <w:sz w:val="17"/>
                <w:szCs w:val="17"/>
              </w:rPr>
              <w:t>ОПЕРАТОР</w:t>
            </w:r>
          </w:p>
        </w:tc>
        <w:tc>
          <w:tcPr>
            <w:tcW w:w="5300" w:type="dxa"/>
            <w:gridSpan w:val="2"/>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b/>
                <w:bCs/>
                <w:color w:val="000000"/>
                <w:sz w:val="17"/>
                <w:szCs w:val="17"/>
              </w:rPr>
            </w:pPr>
            <w:r w:rsidRPr="0032514C">
              <w:rPr>
                <w:rFonts w:ascii="Times New Roman" w:hAnsi="Times New Roman"/>
                <w:b/>
                <w:bCs/>
                <w:color w:val="000000"/>
                <w:sz w:val="17"/>
                <w:szCs w:val="17"/>
              </w:rPr>
              <w:t>АБОНЕНТ</w:t>
            </w:r>
          </w:p>
        </w:tc>
      </w:tr>
      <w:tr w:rsidR="00F90B77" w:rsidRPr="0032514C">
        <w:tblPrEx>
          <w:tblCellMar>
            <w:top w:w="0" w:type="dxa"/>
            <w:left w:w="0" w:type="dxa"/>
            <w:bottom w:w="0" w:type="dxa"/>
            <w:right w:w="0" w:type="dxa"/>
          </w:tblCellMar>
        </w:tblPrEx>
        <w:tc>
          <w:tcPr>
            <w:tcW w:w="5300" w:type="dxa"/>
            <w:gridSpan w:val="2"/>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p>
        </w:tc>
        <w:tc>
          <w:tcPr>
            <w:tcW w:w="5300" w:type="dxa"/>
            <w:gridSpan w:val="2"/>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r w:rsidRPr="0032514C">
              <w:rPr>
                <w:rFonts w:ascii="Times New Roman" w:hAnsi="Times New Roman"/>
                <w:color w:val="000000"/>
                <w:sz w:val="17"/>
                <w:szCs w:val="17"/>
              </w:rPr>
              <w:t>Оренбургстат</w:t>
            </w:r>
          </w:p>
        </w:tc>
      </w:tr>
      <w:tr w:rsidR="00F90B77" w:rsidRPr="0032514C">
        <w:tblPrEx>
          <w:tblCellMar>
            <w:top w:w="0" w:type="dxa"/>
            <w:left w:w="0" w:type="dxa"/>
            <w:bottom w:w="0" w:type="dxa"/>
            <w:right w:w="0" w:type="dxa"/>
          </w:tblCellMar>
        </w:tblPrEx>
        <w:tc>
          <w:tcPr>
            <w:tcW w:w="5300" w:type="dxa"/>
            <w:gridSpan w:val="2"/>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r w:rsidRPr="0032514C">
              <w:rPr>
                <w:rFonts w:ascii="Times New Roman" w:hAnsi="Times New Roman"/>
                <w:color w:val="000000"/>
                <w:sz w:val="17"/>
                <w:szCs w:val="17"/>
              </w:rPr>
              <w:t>⁠      ⁠</w:t>
            </w:r>
          </w:p>
        </w:tc>
        <w:tc>
          <w:tcPr>
            <w:tcW w:w="5300" w:type="dxa"/>
            <w:gridSpan w:val="2"/>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p>
        </w:tc>
      </w:tr>
      <w:tr w:rsidR="00F90B77" w:rsidRPr="0032514C">
        <w:tblPrEx>
          <w:tblCellMar>
            <w:top w:w="0" w:type="dxa"/>
            <w:left w:w="0" w:type="dxa"/>
            <w:bottom w:w="0" w:type="dxa"/>
            <w:right w:w="0" w:type="dxa"/>
          </w:tblCellMar>
        </w:tblPrEx>
        <w:tc>
          <w:tcPr>
            <w:tcW w:w="2650" w:type="dxa"/>
            <w:tcBorders>
              <w:top w:val="nil"/>
              <w:left w:val="nil"/>
              <w:bottom w:val="single" w:sz="6" w:space="0" w:color="000000"/>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r w:rsidRPr="0032514C">
              <w:rPr>
                <w:rFonts w:ascii="Times New Roman" w:hAnsi="Times New Roman"/>
                <w:color w:val="000000"/>
                <w:sz w:val="17"/>
                <w:szCs w:val="17"/>
              </w:rPr>
              <w:t>⁠      ⁠</w:t>
            </w:r>
          </w:p>
        </w:tc>
        <w:tc>
          <w:tcPr>
            <w:tcW w:w="2650" w:type="dxa"/>
            <w:tcBorders>
              <w:top w:val="nil"/>
              <w:left w:val="nil"/>
              <w:bottom w:val="single" w:sz="6" w:space="0" w:color="000000"/>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p>
        </w:tc>
      </w:tr>
      <w:tr w:rsidR="00F90B77" w:rsidRPr="0032514C">
        <w:tblPrEx>
          <w:tblCellMar>
            <w:top w:w="0" w:type="dxa"/>
            <w:left w:w="0" w:type="dxa"/>
            <w:bottom w:w="0" w:type="dxa"/>
            <w:right w:w="0" w:type="dxa"/>
          </w:tblCellMar>
        </w:tblPrEx>
        <w:tc>
          <w:tcPr>
            <w:tcW w:w="2650" w:type="dxa"/>
            <w:tcBorders>
              <w:top w:val="nil"/>
              <w:left w:val="nil"/>
              <w:bottom w:val="nil"/>
              <w:right w:val="nil"/>
            </w:tcBorders>
          </w:tcPr>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7"/>
                <w:szCs w:val="17"/>
              </w:rPr>
            </w:pPr>
            <w:r w:rsidRPr="0032514C">
              <w:rPr>
                <w:rFonts w:ascii="Times New Roman" w:hAnsi="Times New Roman"/>
                <w:color w:val="000000"/>
                <w:sz w:val="17"/>
                <w:szCs w:val="17"/>
              </w:rPr>
              <w:t>М.П.</w:t>
            </w:r>
          </w:p>
        </w:tc>
        <w:tc>
          <w:tcPr>
            <w:tcW w:w="2650" w:type="dxa"/>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p>
        </w:tc>
        <w:tc>
          <w:tcPr>
            <w:tcW w:w="2650" w:type="dxa"/>
            <w:tcBorders>
              <w:top w:val="nil"/>
              <w:left w:val="nil"/>
              <w:bottom w:val="nil"/>
              <w:right w:val="nil"/>
            </w:tcBorders>
          </w:tcPr>
          <w:p w:rsidR="00F90B77" w:rsidRPr="0032514C" w:rsidRDefault="00F90B77">
            <w:pPr>
              <w:widowControl w:val="0"/>
              <w:autoSpaceDE w:val="0"/>
              <w:autoSpaceDN w:val="0"/>
              <w:adjustRightInd w:val="0"/>
              <w:spacing w:after="0" w:line="240" w:lineRule="auto"/>
              <w:jc w:val="right"/>
              <w:rPr>
                <w:rFonts w:ascii="Times New Roman" w:hAnsi="Times New Roman"/>
                <w:color w:val="000000"/>
                <w:sz w:val="17"/>
                <w:szCs w:val="17"/>
              </w:rPr>
            </w:pPr>
            <w:r w:rsidRPr="0032514C">
              <w:rPr>
                <w:rFonts w:ascii="Times New Roman" w:hAnsi="Times New Roman"/>
                <w:color w:val="000000"/>
                <w:sz w:val="17"/>
                <w:szCs w:val="17"/>
              </w:rPr>
              <w:t>М.П.</w:t>
            </w:r>
          </w:p>
        </w:tc>
        <w:tc>
          <w:tcPr>
            <w:tcW w:w="2650" w:type="dxa"/>
            <w:tcBorders>
              <w:top w:val="nil"/>
              <w:left w:val="nil"/>
              <w:bottom w:val="nil"/>
              <w:right w:val="nil"/>
            </w:tcBorders>
          </w:tcPr>
          <w:p w:rsidR="00F90B77" w:rsidRPr="0032514C" w:rsidRDefault="00F90B77">
            <w:pPr>
              <w:widowControl w:val="0"/>
              <w:autoSpaceDE w:val="0"/>
              <w:autoSpaceDN w:val="0"/>
              <w:adjustRightInd w:val="0"/>
              <w:spacing w:after="0" w:line="240" w:lineRule="auto"/>
              <w:rPr>
                <w:rFonts w:ascii="Times New Roman" w:hAnsi="Times New Roman"/>
                <w:color w:val="000000"/>
                <w:sz w:val="17"/>
                <w:szCs w:val="17"/>
              </w:rPr>
            </w:pPr>
          </w:p>
        </w:tc>
      </w:tr>
    </w:tbl>
    <w:p w:rsidR="00F90B77" w:rsidRPr="0032514C" w:rsidRDefault="00F90B77">
      <w:pPr>
        <w:widowControl w:val="0"/>
        <w:autoSpaceDE w:val="0"/>
        <w:autoSpaceDN w:val="0"/>
        <w:adjustRightInd w:val="0"/>
        <w:spacing w:after="0" w:line="240" w:lineRule="auto"/>
        <w:rPr>
          <w:rFonts w:ascii="Times New Roman" w:hAnsi="Times New Roman"/>
          <w:sz w:val="24"/>
          <w:szCs w:val="24"/>
        </w:rPr>
        <w:sectPr w:rsidR="00F90B77" w:rsidRPr="0032514C">
          <w:pgSz w:w="11905" w:h="16837"/>
          <w:pgMar w:top="623" w:right="623" w:bottom="623" w:left="907" w:header="720" w:footer="720" w:gutter="0"/>
          <w:cols w:space="720"/>
          <w:noEndnote/>
        </w:sectPr>
      </w:pPr>
    </w:p>
    <w:p w:rsidR="00F90B77" w:rsidRDefault="00F90B7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2</w:t>
      </w:r>
    </w:p>
    <w:p w:rsidR="00F90B77" w:rsidRDefault="00F90B7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ЛИЦЕНЗИОННЫЙ ДОГОВОР № </w:t>
      </w:r>
      <w:r w:rsidR="000E4070">
        <w:rPr>
          <w:rFonts w:ascii="Times" w:hAnsi="Times" w:cs="Times"/>
          <w:b/>
          <w:bCs/>
          <w:color w:val="000000"/>
          <w:sz w:val="18"/>
          <w:szCs w:val="18"/>
        </w:rPr>
        <w:t>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90B77">
        <w:tblPrEx>
          <w:tblCellMar>
            <w:top w:w="0" w:type="dxa"/>
            <w:left w:w="0" w:type="dxa"/>
            <w:bottom w:w="0" w:type="dxa"/>
            <w:right w:w="0" w:type="dxa"/>
          </w:tblCellMar>
        </w:tblPrEx>
        <w:tc>
          <w:tcPr>
            <w:tcW w:w="8277" w:type="dxa"/>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г</w:t>
            </w:r>
          </w:p>
        </w:tc>
        <w:tc>
          <w:tcPr>
            <w:tcW w:w="2097" w:type="dxa"/>
            <w:tcBorders>
              <w:top w:val="nil"/>
              <w:left w:val="nil"/>
              <w:bottom w:val="nil"/>
              <w:right w:val="nil"/>
            </w:tcBorders>
          </w:tcPr>
          <w:p w:rsidR="00F90B77" w:rsidRDefault="000E407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w:t>
            </w:r>
            <w:r w:rsidR="00F90B77">
              <w:rPr>
                <w:rFonts w:ascii="Times" w:hAnsi="Times" w:cs="Times"/>
                <w:color w:val="000000"/>
                <w:sz w:val="16"/>
                <w:szCs w:val="16"/>
              </w:rPr>
              <w:t>.2026</w:t>
            </w:r>
          </w:p>
        </w:tc>
      </w:tr>
    </w:tbl>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Лицензионный договор является офертой </w:t>
      </w:r>
      <w:r w:rsidR="000E4070">
        <w:rPr>
          <w:rFonts w:ascii="Times" w:hAnsi="Times" w:cs="Times"/>
          <w:color w:val="000000"/>
          <w:sz w:val="18"/>
          <w:szCs w:val="18"/>
        </w:rPr>
        <w:t>__</w:t>
      </w:r>
      <w:r>
        <w:rPr>
          <w:rFonts w:ascii="Times" w:hAnsi="Times" w:cs="Times"/>
          <w:color w:val="000000"/>
          <w:sz w:val="18"/>
          <w:szCs w:val="18"/>
        </w:rPr>
        <w:t xml:space="preserve">, именуемого в дальнейшем Лицензиар, Пользователю − юридическому лицу, именуемому в дальнейшем Лицензиат, заключающему с </w:t>
      </w:r>
      <w:r w:rsidR="000E4070">
        <w:rPr>
          <w:rFonts w:ascii="Times" w:hAnsi="Times" w:cs="Times"/>
          <w:color w:val="000000"/>
          <w:sz w:val="18"/>
          <w:szCs w:val="18"/>
        </w:rPr>
        <w:t>__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Договору, в зависимости от того, какое событие наступит раньше.</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Контур.Экстерн – результат интеллектуальной деятельности – программа для ЭВМ «Контур.Экстерн» (в том числе интеграционные и иные Модули, предусмотренные Прайс-листом и позволяющие Лицензиату использовать дополнительную функциональность Контур.Экстерна) (далее – Продукт), предназначенная для формирования и представления отчетности, организации электронного документооборота и иных целей.</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предоставляет Лицензиату право использования Продукта на условиях простой (неисключительной) лицензии.</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Исключительные права на Продукт принадлежат Лицензиару и охраняются как объект интеллектуальной собственности.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Свидетельство о государственной регистрации прав на Продукт официально публикуется на сайте Лицензиара </w:t>
      </w:r>
      <w:hyperlink r:id="rId15" w:history="1">
        <w:r>
          <w:rPr>
            <w:rFonts w:ascii="Times" w:hAnsi="Times" w:cs="Times"/>
            <w:color w:val="0000CD"/>
            <w:sz w:val="18"/>
            <w:szCs w:val="18"/>
          </w:rPr>
          <w:t>https://kontur.ru/about/licences</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Продукт внесен в единый реестр российских программ для электронных вычислительных машин и баз данных 29.04.2016, регистрационный номер 523.</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Гарантии Лицензиара. Условия использования (объем предоставляемых прав)</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Лицензиар гарантирует: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что Продукт сертифицирован в соответствии с законодательством Российской Федерации. Данные по сертификации расположены на сайте по адресу </w:t>
      </w:r>
      <w:hyperlink r:id="rId16" w:history="1">
        <w:r>
          <w:rPr>
            <w:rFonts w:ascii="Times" w:hAnsi="Times" w:cs="Times"/>
            <w:color w:val="0000CD"/>
            <w:sz w:val="18"/>
            <w:szCs w:val="18"/>
          </w:rPr>
          <w:t>https://kontur.ru</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4.1.3. что Продукт будет соответствовать функциональности, описанной в Пользовательской документации, публикуемой на сайте </w:t>
      </w:r>
      <w:hyperlink r:id="rId17" w:history="1">
        <w:r>
          <w:rPr>
            <w:rFonts w:ascii="Times" w:hAnsi="Times" w:cs="Times"/>
            <w:color w:val="0000CD"/>
            <w:sz w:val="18"/>
            <w:szCs w:val="18"/>
          </w:rPr>
          <w:t>https://support.kontur.ru/extern</w:t>
        </w:r>
      </w:hyperlink>
      <w:r>
        <w:rPr>
          <w:rFonts w:ascii="Times" w:hAnsi="Times" w:cs="Times"/>
          <w:color w:val="000000"/>
          <w:sz w:val="18"/>
          <w:szCs w:val="18"/>
        </w:rPr>
        <w:t>;</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защиту информации, обрабатываемой на сервере Лицензиара, от несанкционированного доступа;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своевременное обновление вспомогательного программного обеспечения на сервере Лицензиара;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круглосуточную доступность сервера Лицензиара, за исключением времени проведения профилактических работ.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Лицензиату предоставляется право не отправлять отчеты об использовании Продукта Лицензиару.</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Порядок предоставления доступа и способы использования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При этом Лицензиат может использовать Продукт следующими способами: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самостоятельно осуществлять интеграцию информационных систем Лицензиата с Продуктом с использованием API;</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все функциональные возможности Продукта, описанные Тарифным планом в Прайс-листе Лицензиара;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размножать Пользовательскую документацию Продукта для личного использования;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Лицензиат не вправе: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законодательства;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копировать, модифицировать, декомпилировать, деассемблировать Продукт;</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использовать Продукт в нарушение Пользовательской документации;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Территория действия Лицензионного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действует на всей территории Российской Федерации.</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Срок действия Лицензионного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Лицензионный договор действует с момента его акцепта Лицензиатом в течение срока действия Договора на право использования программы для ЭВМ «Контур.Экстерн» и оказание услуг по сопровождению (технической поддержке).</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Вознаграждение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Лицензиат уплачивает по Лицензионному договору вознаграждение Лицензиару в размере и на условиях согласно Договору на право использования программы для ЭВМ «Контур.Экстерн» и оказание услуг по сопровождению (технической поддержке).</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Прочие условия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Все иные условия, не урегулированные Лицензионным договором, регулируются Договором на право использования программы для ЭВМ «Контур.Экстерн» и оказание услуг по сопровождению (технической поддержке).</w:t>
      </w:r>
    </w:p>
    <w:p w:rsidR="00F90B77" w:rsidRDefault="00F90B77">
      <w:pPr>
        <w:widowControl w:val="0"/>
        <w:autoSpaceDE w:val="0"/>
        <w:autoSpaceDN w:val="0"/>
        <w:adjustRightInd w:val="0"/>
        <w:spacing w:after="0" w:line="240" w:lineRule="auto"/>
        <w:rPr>
          <w:rFonts w:ascii="Arial" w:hAnsi="Arial" w:cs="Arial"/>
          <w:sz w:val="24"/>
          <w:szCs w:val="24"/>
        </w:rPr>
        <w:sectPr w:rsidR="00F90B77">
          <w:pgSz w:w="11905" w:h="16837"/>
          <w:pgMar w:top="623" w:right="623" w:bottom="623" w:left="907" w:header="720" w:footer="720" w:gutter="0"/>
          <w:cols w:space="720"/>
          <w:noEndnote/>
        </w:sectPr>
      </w:pPr>
    </w:p>
    <w:p w:rsidR="00F90B77" w:rsidRDefault="00F90B7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lastRenderedPageBreak/>
        <w:t>Приложение 3</w:t>
      </w:r>
    </w:p>
    <w:p w:rsidR="00F90B77" w:rsidRDefault="00F90B7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 xml:space="preserve">СУБЛИЦЕНЗИОННЫЙ ДОГОВОР № </w:t>
      </w:r>
      <w:r w:rsidR="000E4070">
        <w:rPr>
          <w:rFonts w:ascii="Times" w:hAnsi="Times" w:cs="Times"/>
          <w:b/>
          <w:bCs/>
          <w:color w:val="000000"/>
          <w:sz w:val="18"/>
          <w:szCs w:val="18"/>
        </w:rPr>
        <w:t>_</w:t>
      </w:r>
    </w:p>
    <w:p w:rsidR="00F90B77" w:rsidRDefault="00F90B77">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использование программы для ЭВМ СКЗИ «КриптоПро»</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F90B77">
        <w:tblPrEx>
          <w:tblCellMar>
            <w:top w:w="0" w:type="dxa"/>
            <w:left w:w="0" w:type="dxa"/>
            <w:bottom w:w="0" w:type="dxa"/>
            <w:right w:w="0" w:type="dxa"/>
          </w:tblCellMar>
        </w:tblPrEx>
        <w:tc>
          <w:tcPr>
            <w:tcW w:w="8277" w:type="dxa"/>
            <w:tcBorders>
              <w:top w:val="nil"/>
              <w:left w:val="nil"/>
              <w:bottom w:val="nil"/>
              <w:right w:val="nil"/>
            </w:tcBorders>
          </w:tcPr>
          <w:p w:rsidR="00F90B77" w:rsidRDefault="00F90B77">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г</w:t>
            </w:r>
          </w:p>
        </w:tc>
        <w:tc>
          <w:tcPr>
            <w:tcW w:w="2097" w:type="dxa"/>
            <w:tcBorders>
              <w:top w:val="nil"/>
              <w:left w:val="nil"/>
              <w:bottom w:val="nil"/>
              <w:right w:val="nil"/>
            </w:tcBorders>
          </w:tcPr>
          <w:p w:rsidR="00F90B77" w:rsidRDefault="000E4070">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_</w:t>
            </w:r>
            <w:r w:rsidR="00F90B77">
              <w:rPr>
                <w:rFonts w:ascii="Times" w:hAnsi="Times" w:cs="Times"/>
                <w:color w:val="000000"/>
                <w:sz w:val="16"/>
                <w:szCs w:val="16"/>
              </w:rPr>
              <w:t>2026</w:t>
            </w:r>
          </w:p>
        </w:tc>
      </w:tr>
    </w:tbl>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Сублицензионный договор является офертой </w:t>
      </w:r>
      <w:r w:rsidR="000E4070">
        <w:rPr>
          <w:rFonts w:ascii="Times" w:hAnsi="Times" w:cs="Times"/>
          <w:color w:val="000000"/>
          <w:sz w:val="18"/>
          <w:szCs w:val="18"/>
        </w:rPr>
        <w:t>__</w:t>
      </w:r>
      <w:r>
        <w:rPr>
          <w:rFonts w:ascii="Times" w:hAnsi="Times" w:cs="Times"/>
          <w:color w:val="000000"/>
          <w:sz w:val="18"/>
          <w:szCs w:val="18"/>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0E4070">
        <w:rPr>
          <w:rFonts w:ascii="Times" w:hAnsi="Times" w:cs="Times"/>
          <w:color w:val="000000"/>
          <w:sz w:val="18"/>
          <w:szCs w:val="18"/>
        </w:rPr>
        <w:t>_</w:t>
      </w:r>
      <w:r>
        <w:rPr>
          <w:rFonts w:ascii="Times" w:hAnsi="Times" w:cs="Times"/>
          <w:color w:val="000000"/>
          <w:sz w:val="18"/>
          <w:szCs w:val="18"/>
        </w:rPr>
        <w:t xml:space="preserve"> Договор на право использования программы для ЭВМ «Контур.Экстерн» и оказание услуг по сопровождению (технической поддержке) (далее – Договор). Сублицензионный договор признается заключенным с момента его акцепта Сублицензиатом. Под акцептом в целях Сублицензионного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«КриптоПро», либо факт передачи Лицензиатом Сублицензиату лицензии на использование программы для ЭВМ СКЗИ «КриптоПро», в зависимости от того какое событие наступит раньше.</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Сублицензионного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дизассемблировать (анализировать и исследовать объектный код), декомпилировать (преобразовывать объектный код в исходный текст), адаптировать и модифицировать СКЗИ;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Территория действия Сублицензионного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Сублицензионный договор действует на территории всего мира.</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Сублицензионного договора и передаваемых прав использования (лицензии)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расшифрования и проверки электронной подписи.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Вознаграждение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F90B77" w:rsidRDefault="00F90B77">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F90B77" w:rsidRDefault="00F90B7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F90B77">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imes">
    <w:altName w:val="Times New Roman"/>
    <w:panose1 w:val="02020603060405020304"/>
    <w:charset w:val="00"/>
    <w:family w:val="roman"/>
    <w:pitch w:val="variable"/>
    <w:sig w:usb0="00000007" w:usb1="00000000" w:usb2="00000000" w:usb3="00000000" w:csb0="00000093"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B93"/>
    <w:rsid w:val="000E4070"/>
    <w:rsid w:val="0032514C"/>
    <w:rsid w:val="005B48CC"/>
    <w:rsid w:val="006A1B93"/>
    <w:rsid w:val="00F90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kontur.ru/extern" TargetMode="External"/><Relationship Id="rId13" Type="http://schemas.openxmlformats.org/officeDocument/2006/relationships/hyperlink" Target="https://support.kontur.ru/exter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kontur.ru" TargetMode="External"/><Relationship Id="rId12" Type="http://schemas.openxmlformats.org/officeDocument/2006/relationships/hyperlink" Target="https://kontur.ru/about/licences" TargetMode="External"/><Relationship Id="rId17" Type="http://schemas.openxmlformats.org/officeDocument/2006/relationships/hyperlink" Target="https://support.kontur.ru/extern" TargetMode="External"/><Relationship Id="rId2" Type="http://schemas.microsoft.com/office/2007/relationships/stylesWithEffects" Target="stylesWithEffects.xml"/><Relationship Id="rId16" Type="http://schemas.openxmlformats.org/officeDocument/2006/relationships/hyperlink" Target="https://kontur.ru" TargetMode="External"/><Relationship Id="rId1" Type="http://schemas.openxmlformats.org/officeDocument/2006/relationships/styles" Target="styles.xml"/><Relationship Id="rId6" Type="http://schemas.openxmlformats.org/officeDocument/2006/relationships/hyperlink" Target="https://www.kontur-extern.ru" TargetMode="External"/><Relationship Id="rId11" Type="http://schemas.openxmlformats.org/officeDocument/2006/relationships/hyperlink" Target="https://www.kontur.ru/extern" TargetMode="External"/><Relationship Id="rId5" Type="http://schemas.openxmlformats.org/officeDocument/2006/relationships/image" Target="media/image1.png"/><Relationship Id="rId15" Type="http://schemas.openxmlformats.org/officeDocument/2006/relationships/hyperlink" Target="https://kontur.ru/about/licences" TargetMode="External"/><Relationship Id="rId10" Type="http://schemas.openxmlformats.org/officeDocument/2006/relationships/hyperlink" Target="https://www.kontur-extern.ru/support/star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ontur.ru/contacts/all" TargetMode="External"/><Relationship Id="rId14"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7487</Words>
  <Characters>42680</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56.MailibaevaIUG</dc:creator>
  <cp:lastModifiedBy>56.MailibaevaIUG</cp:lastModifiedBy>
  <cp:revision>2</cp:revision>
  <dcterms:created xsi:type="dcterms:W3CDTF">2026-08-21T04:49:00Z</dcterms:created>
  <dcterms:modified xsi:type="dcterms:W3CDTF">2026-08-21T04:49:00Z</dcterms:modified>
</cp:coreProperties>
</file>