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«УТВЕРЖДАЮ»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Зам. начальника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ФКУ Упрдор «Новороссия</w:t>
      </w:r>
      <w:r>
        <w:rPr>
          <w:sz w:val="22"/>
          <w:szCs w:val="22"/>
        </w:rPr>
        <w:t xml:space="preserve">»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6"/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6"/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_____________________ </w:t>
      </w:r>
      <w:r>
        <w:rPr>
          <w:sz w:val="22"/>
          <w:szCs w:val="22"/>
        </w:rPr>
        <w:t xml:space="preserve">О.Н. Гулый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tabs>
          <w:tab w:val="left" w:pos="709" w:leader="none"/>
        </w:tabs>
        <w:rPr>
          <w:b/>
          <w:bCs/>
          <w:sz w:val="22"/>
          <w:szCs w:val="22"/>
        </w:rPr>
      </w:pPr>
      <w:r>
        <w:rPr>
          <w:b/>
          <w:sz w:val="22"/>
          <w:szCs w:val="22"/>
          <w:highlight w:val="none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center"/>
        <w:tabs>
          <w:tab w:val="left" w:pos="709" w:leader="none"/>
        </w:tabs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tabs>
          <w:tab w:val="left" w:pos="709" w:leader="none"/>
        </w:tabs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tabs>
          <w:tab w:val="left" w:pos="709" w:leader="none"/>
        </w:tabs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ТЕХНИЧЕСКОЕ ЗАДАНИЕ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Оказание услуг</w:t>
      </w:r>
      <w:r>
        <w:rPr>
          <w:b/>
          <w:sz w:val="22"/>
          <w:szCs w:val="22"/>
        </w:rPr>
        <w:t xml:space="preserve"> по страхованию ОСАГО автомобилей </w:t>
      </w:r>
      <w:r>
        <w:rPr>
          <w:b/>
          <w:bCs/>
          <w:sz w:val="22"/>
          <w:szCs w:val="22"/>
        </w:rPr>
        <w:t xml:space="preserve">ФКУ Упрдор «Новороссия»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r/>
      <w:r/>
    </w:p>
    <w:p>
      <w:pPr>
        <w:numPr>
          <w:ilvl w:val="0"/>
          <w:numId w:val="2"/>
        </w:numPr>
        <w:ind w:left="0"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Наименование услуги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Оказание услуг по страхованию ОСАГО автомобилей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ФКУ Упрдор «</w:t>
      </w:r>
      <w:r>
        <w:rPr>
          <w:bCs/>
          <w:sz w:val="22"/>
          <w:szCs w:val="22"/>
        </w:rPr>
        <w:t xml:space="preserve">Новороссия</w:t>
      </w:r>
      <w:r>
        <w:rPr>
          <w:bCs/>
          <w:sz w:val="22"/>
          <w:szCs w:val="22"/>
        </w:rPr>
        <w:t xml:space="preserve">».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numPr>
          <w:ilvl w:val="0"/>
          <w:numId w:val="2"/>
        </w:numPr>
        <w:ind w:left="0"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Место и сроки (периоды) оказания услуг: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срок выдачи</w:t>
      </w:r>
      <w:r>
        <w:rPr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 xml:space="preserve">страховых полисов ОСАГО </w:t>
      </w:r>
      <w:r>
        <w:rPr>
          <w:sz w:val="22"/>
          <w:szCs w:val="22"/>
        </w:rPr>
        <w:t xml:space="preserve">- в течение 10-ти рабочих дней с момента заключения контракта.</w:t>
      </w:r>
      <w:r>
        <w:rPr>
          <w:rFonts w:eastAsia="Calibri"/>
          <w:sz w:val="22"/>
          <w:szCs w:val="22"/>
        </w:rPr>
        <w:t xml:space="preserve"> Даты начала действия полисов указаны в Таблице №1 – Перечень транспортных средств.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Срок исполнения Страховщиком своих обязательств по контракту на каждое транспортное средство - 12 месяцев. 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ind w:left="426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Место оказания услуг: г. </w:t>
      </w:r>
      <w:r>
        <w:rPr>
          <w:sz w:val="22"/>
          <w:szCs w:val="22"/>
        </w:rPr>
        <w:t xml:space="preserve">Ростов-на-Дону</w:t>
      </w:r>
      <w:r>
        <w:rPr>
          <w:sz w:val="22"/>
          <w:szCs w:val="22"/>
        </w:rPr>
        <w:t xml:space="preserve">.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numPr>
          <w:ilvl w:val="0"/>
          <w:numId w:val="2"/>
        </w:numPr>
        <w:ind w:left="0"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Условия </w:t>
      </w:r>
      <w:r>
        <w:rPr>
          <w:b/>
          <w:bCs/>
          <w:sz w:val="22"/>
          <w:szCs w:val="22"/>
        </w:rPr>
        <w:t xml:space="preserve">оказания</w:t>
      </w:r>
      <w:r>
        <w:rPr>
          <w:b/>
          <w:bCs/>
          <w:sz w:val="22"/>
          <w:szCs w:val="22"/>
        </w:rPr>
        <w:t xml:space="preserve"> услуг: </w:t>
      </w:r>
      <w:r>
        <w:rPr>
          <w:sz w:val="22"/>
          <w:szCs w:val="22"/>
        </w:rPr>
        <w:t xml:space="preserve">Оказание услуг должно осуществляться в полном соответствии с Федеральным законом 25.04.2002 № 40-ФЗ</w:t>
      </w:r>
      <w:r>
        <w:rPr>
          <w:sz w:val="22"/>
          <w:szCs w:val="22"/>
        </w:rPr>
        <w:t xml:space="preserve"> «Об обязательном страховании гражданской ответственности владельцев транспортных средств», Правилами обязательного страхования гражданской ответственности владельцев транспортных средств, утвержденными Постановлением правительства РФ от 07.05.2003 №263, П</w:t>
      </w:r>
      <w:r>
        <w:rPr>
          <w:sz w:val="22"/>
          <w:szCs w:val="22"/>
        </w:rPr>
        <w:t xml:space="preserve">остановлением Правительства РФ от 08.12.2005 №739 «Об утверждении страховых тарифов по обязательному страхованию гражданской ответственности владельцев транспортных средств, их структуры и порядка применения страховщиками при определении страховой премии».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Действие страхового полиса распространяется на территорию Российской Федерации. Срок действия страхового полиса – 1 (один) год.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Информация о наличии либо отсутствии страховых выплат при наступлении страховых случаев, происшедших в период действия предыдущих договоров ОСАГО, сообщается Страхователем дополнительно на момент оформления страхового полиса.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Обязательное закрепление сотрудника Страховщика за Страхователем с выездом по адресу Страхователя для оформления страховых полисов.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Принятие на страхование и оформление полисов ОСАГО на основании сообщений, переданных Страхователем по факсу или электронной почте.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Передачу оформленных надлежащим образом страховых полисов Страхователю не позднее чем за 2 (два) дня до начала периода страхования соответствующего транспортного средства.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Предоставление скидок за отсутствие страховых случаев.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Предоставление Страхователю возможности на бесплатную эвакуацию повреждённого автотранспорта с места ДТП неограниченное число раз за период действия договора страхования.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Организацию сбора необходимого пакета документов сотрудниками Страховщика для получения выплаты по страховому случаю (за исключением случаев, требующих личного присутствия).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Оперативное урегулирование убытков и проведение экспертизы - не более 30 (тридцать) дней с момента предоставления всех необходимых документов. Оплата стоимости оценки страховой экспертизы за счёт Страховщика.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Наличие круглосуточного информационно-диспетчерского обслуживания по сопровождению страховых случаев.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Наличие филиалов и центров урегулирования убытков на всей территории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4.</w:t>
      </w:r>
      <w:r>
        <w:rPr>
          <w:b/>
          <w:sz w:val="22"/>
          <w:szCs w:val="22"/>
        </w:rPr>
        <w:tab/>
        <w:t xml:space="preserve">Требования к исполнителю:</w:t>
      </w:r>
      <w:r>
        <w:rPr>
          <w:sz w:val="22"/>
          <w:szCs w:val="22"/>
        </w:rPr>
        <w:t xml:space="preserve"> представить документы, подтверждающие соответствие</w:t>
      </w:r>
      <w:r>
        <w:rPr>
          <w:sz w:val="22"/>
          <w:szCs w:val="22"/>
        </w:rPr>
        <w:t xml:space="preserve"> требованиям, устанавливаемым</w:t>
      </w:r>
      <w:r>
        <w:rPr>
          <w:sz w:val="22"/>
          <w:szCs w:val="22"/>
        </w:rPr>
        <w:t xml:space="preserve"> в соответствии с законодательством Российской Федерации к лицам, осуществляющим оказание услу</w:t>
      </w:r>
      <w:r>
        <w:rPr>
          <w:sz w:val="22"/>
          <w:szCs w:val="22"/>
        </w:rPr>
        <w:t xml:space="preserve">г, являющихся предметом контракта</w:t>
      </w:r>
      <w:r>
        <w:rPr>
          <w:sz w:val="22"/>
          <w:szCs w:val="22"/>
        </w:rPr>
        <w:t xml:space="preserve">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лицензию от Федеральной службы страхового надзора на осуществление страховой деятельности;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лицензию на страхование автотранспортных средств, подлежащих обязательному страхованию автогражданской ответственности (ОСАГО);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свидетельство о членстве в Российском Союзе автостраховщиков (РСА).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tabs>
          <w:tab w:val="left" w:pos="4080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tabs>
          <w:tab w:val="left" w:pos="4080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-360" w:firstLine="240"/>
        <w:jc w:val="right"/>
        <w:tabs>
          <w:tab w:val="left" w:pos="408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Таблица №1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-360" w:firstLine="240"/>
        <w:jc w:val="right"/>
        <w:tabs>
          <w:tab w:val="left" w:pos="4080" w:leader="none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Перечень транспортных </w:t>
      </w:r>
      <w:r>
        <w:rPr>
          <w:b/>
          <w:sz w:val="22"/>
          <w:szCs w:val="22"/>
        </w:rPr>
        <w:t xml:space="preserve">средств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tbl>
      <w:tblPr>
        <w:tblW w:w="10051" w:type="dxa"/>
        <w:jc w:val="center"/>
        <w:tblInd w:w="131" w:type="dxa"/>
        <w:tblLayout w:type="fixed"/>
        <w:tblLook w:val="04A0" w:firstRow="1" w:lastRow="0" w:firstColumn="1" w:lastColumn="0" w:noHBand="0" w:noVBand="1"/>
      </w:tblPr>
      <w:tblGrid>
        <w:gridCol w:w="517"/>
        <w:gridCol w:w="1033"/>
        <w:gridCol w:w="1033"/>
        <w:gridCol w:w="2370"/>
        <w:gridCol w:w="1008"/>
        <w:gridCol w:w="755"/>
        <w:gridCol w:w="1404"/>
        <w:gridCol w:w="792"/>
        <w:gridCol w:w="1140"/>
      </w:tblGrid>
      <w:tr>
        <w:trPr>
          <w:jc w:val="center"/>
          <w:trHeight w:val="922"/>
        </w:trPr>
        <w:tc>
          <w:tcPr>
            <w:shd w:val="clear" w:color="ffffff" w:fill="c0c0c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7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t xml:space="preserve">№ п/п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c0c0c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t xml:space="preserve">Марка, модель ТС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c0c0c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t xml:space="preserve">Гос. номер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shd w:val="clear" w:color="ffffff" w:fill="c0c0c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70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t xml:space="preserve">Идентификационный номер VIN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c0c0c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08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t xml:space="preserve">Год выпуска а/м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c0c0c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55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t xml:space="preserve">Мощность, л/с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c0c0c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t xml:space="preserve">Тип двигателя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c0c0c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2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t xml:space="preserve">Категория ТС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c0c0c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4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Дата начала действия полиса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92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vMerge w:val="restart"/>
            <w:textDirection w:val="lrTb"/>
            <w:noWrap w:val="false"/>
          </w:tcPr>
          <w:p>
            <w:pPr>
              <w:pStyle w:val="836"/>
              <w:jc w:val="center"/>
              <w:spacing w:line="25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Toyota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6"/>
              <w:jc w:val="center"/>
              <w:spacing w:line="25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t xml:space="preserve"> «</w:t>
            </w:r>
            <w:r>
              <w:rPr>
                <w:sz w:val="20"/>
                <w:szCs w:val="20"/>
                <w:lang w:val="en-US" w:eastAsia="en-US"/>
              </w:rPr>
              <w:t xml:space="preserve">Camry</w:t>
            </w:r>
            <w:r>
              <w:rPr>
                <w:sz w:val="20"/>
                <w:szCs w:val="20"/>
                <w:lang w:eastAsia="en-US"/>
              </w:rPr>
              <w:t xml:space="preserve">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b w:val="0"/>
                <w:bCs w:val="0"/>
                <w:sz w:val="24"/>
                <w:szCs w:val="24"/>
                <w:lang w:val="en-US" w:eastAsia="en-US"/>
                <w14:ligatures w14:val="none"/>
              </w:rPr>
            </w:pPr>
            <w:r>
              <w:rPr>
                <w:sz w:val="20"/>
                <w:szCs w:val="20"/>
                <w:lang w:val="en-US" w:eastAsia="en-US"/>
              </w:rPr>
            </w:r>
            <w:r>
              <w:rPr>
                <w:sz w:val="20"/>
                <w:szCs w:val="20"/>
                <w:lang w:val="en-US" w:eastAsia="en-US"/>
              </w:rPr>
              <w:t xml:space="preserve">Н469ВХ761</w:t>
            </w:r>
            <w:r>
              <w:rPr>
                <w:b w:val="0"/>
                <w:bCs w:val="0"/>
                <w:sz w:val="24"/>
                <w:szCs w:val="24"/>
                <w:lang w:val="en-US" w:eastAsia="en-US"/>
                <w14:ligatures w14:val="none"/>
              </w:rPr>
            </w:r>
            <w:r>
              <w:rPr>
                <w:b w:val="0"/>
                <w:bCs w:val="0"/>
                <w:sz w:val="24"/>
                <w:szCs w:val="24"/>
                <w:lang w:val="en-US" w:eastAsia="en-US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70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 w:eastAsia="en-US"/>
              </w:rPr>
              <w:t xml:space="preserve">XW7BF4HK90S169273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0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t xml:space="preserve">2020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55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181</w:t>
            </w:r>
            <w:r>
              <w:rPr>
                <w:rFonts w:eastAsia="Calibri"/>
                <w:color w:val="auto"/>
                <w:sz w:val="20"/>
                <w:szCs w:val="20"/>
              </w:rPr>
            </w:r>
            <w:r>
              <w:rPr>
                <w:rFonts w:eastAsia="Calibri"/>
                <w:color w:val="auto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t xml:space="preserve">бензиновый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t xml:space="preserve">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18.09.2026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92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/>
              </w:rPr>
            </w: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Москвич 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sz w:val="20"/>
                <w:szCs w:val="20"/>
                <w:lang w:val="en-US" w:eastAsia="en-US"/>
              </w:rPr>
            </w:r>
            <w:r>
              <w:rPr>
                <w:sz w:val="20"/>
                <w:szCs w:val="20"/>
                <w:lang w:val="en-US" w:eastAsia="en-US"/>
              </w:rPr>
              <w:t xml:space="preserve">К247КА</w:t>
            </w:r>
            <w:r>
              <w:rPr>
                <w:sz w:val="20"/>
                <w:szCs w:val="20"/>
                <w:lang w:val="en-US" w:eastAsia="en-US"/>
                <w14:ligatures w14:val="none"/>
              </w:rPr>
            </w:r>
            <w:r>
              <w:rPr>
                <w:sz w:val="20"/>
                <w:szCs w:val="20"/>
                <w:lang w:val="en-US" w:eastAsia="en-US"/>
                <w14:ligatures w14:val="none"/>
              </w:rPr>
            </w:r>
          </w:p>
          <w:p>
            <w:pPr>
              <w:jc w:val="center"/>
              <w:spacing w:line="256" w:lineRule="auto"/>
              <w:rPr>
                <w:b w:val="0"/>
                <w:bCs w:val="0"/>
                <w:sz w:val="24"/>
                <w:szCs w:val="24"/>
                <w:lang w:val="en-US" w:eastAsia="en-US"/>
                <w14:ligatures w14:val="none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761</w:t>
            </w:r>
            <w:r>
              <w:rPr>
                <w:b w:val="0"/>
                <w:bCs w:val="0"/>
                <w:sz w:val="24"/>
                <w:szCs w:val="24"/>
                <w:lang w:val="en-US" w:eastAsia="en-US"/>
                <w14:ligatures w14:val="none"/>
              </w:rPr>
            </w:r>
            <w:r>
              <w:rPr>
                <w:b w:val="0"/>
                <w:bCs w:val="0"/>
                <w:sz w:val="24"/>
                <w:szCs w:val="24"/>
                <w:lang w:val="en-US" w:eastAsia="en-US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70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eastAsia="Calibri"/>
                <w:color w:val="auto"/>
              </w:rPr>
            </w:pPr>
            <w:r>
              <w:rPr>
                <w:sz w:val="20"/>
                <w:szCs w:val="20"/>
                <w:lang w:val="en-US"/>
              </w:rPr>
              <w:t xml:space="preserve">XTC213505PWB05846</w:t>
            </w:r>
            <w:r>
              <w:rPr>
                <w:rFonts w:eastAsia="Calibri"/>
                <w:color w:val="auto"/>
              </w:rPr>
            </w:r>
            <w:r>
              <w:rPr>
                <w:rFonts w:eastAsia="Calibri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0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t xml:space="preserve">2023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55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150</w:t>
            </w:r>
            <w:r>
              <w:rPr>
                <w:rFonts w:eastAsia="Calibri"/>
                <w:color w:val="auto"/>
              </w:rPr>
            </w:r>
            <w:r>
              <w:rPr>
                <w:rFonts w:eastAsia="Calibri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t xml:space="preserve">бензиновый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t xml:space="preserve">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4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t xml:space="preserve">17.10.2026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492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/>
              </w:rPr>
            </w: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Москвич 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К342КА</w:t>
            </w:r>
            <w:r>
              <w:rPr>
                <w:sz w:val="20"/>
                <w:szCs w:val="20"/>
                <w:lang w:val="en-US" w:eastAsia="en-US"/>
                <w14:ligatures w14:val="none"/>
              </w:rPr>
            </w:r>
            <w:r>
              <w:rPr>
                <w:sz w:val="20"/>
                <w:szCs w:val="20"/>
                <w:lang w:val="en-US" w:eastAsia="en-US"/>
                <w14:ligatures w14:val="none"/>
              </w:rPr>
            </w:r>
          </w:p>
          <w:p>
            <w:pPr>
              <w:jc w:val="center"/>
              <w:spacing w:line="256" w:lineRule="auto"/>
              <w:rPr>
                <w:b w:val="0"/>
                <w:bCs w:val="0"/>
                <w:sz w:val="24"/>
                <w:szCs w:val="24"/>
                <w:lang w:val="en-US" w:eastAsia="en-US"/>
                <w14:ligatures w14:val="none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761</w:t>
            </w:r>
            <w:r>
              <w:rPr>
                <w:b w:val="0"/>
                <w:bCs w:val="0"/>
                <w:sz w:val="24"/>
                <w:szCs w:val="24"/>
                <w:lang w:val="en-US" w:eastAsia="en-US"/>
                <w14:ligatures w14:val="none"/>
              </w:rPr>
            </w:r>
            <w:r>
              <w:rPr>
                <w:b w:val="0"/>
                <w:bCs w:val="0"/>
                <w:sz w:val="24"/>
                <w:szCs w:val="24"/>
                <w:lang w:val="en-US" w:eastAsia="en-US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70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color w:val="auto"/>
              </w:rPr>
            </w:pPr>
            <w:r>
              <w:rPr>
                <w:sz w:val="20"/>
                <w:szCs w:val="20"/>
                <w:lang w:val="en-US"/>
              </w:rPr>
              <w:t xml:space="preserve">XTC213505PWB05880</w:t>
            </w:r>
            <w:r>
              <w:rPr>
                <w:rFonts w:eastAsia="Calibri"/>
                <w:color w:val="auto"/>
              </w:rPr>
            </w:r>
            <w:r>
              <w:rPr>
                <w:rFonts w:eastAsia="Calibri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0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t xml:space="preserve">2023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55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150</w:t>
            </w:r>
            <w:r>
              <w:rPr>
                <w:rFonts w:eastAsia="Calibri"/>
                <w:color w:val="auto"/>
              </w:rPr>
            </w:r>
            <w:r>
              <w:rPr>
                <w:rFonts w:eastAsia="Calibri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t xml:space="preserve">бензиновый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t xml:space="preserve">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4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17.10.2026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92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/>
              </w:rPr>
            </w: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Москвич 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К261КА</w:t>
            </w:r>
            <w:r>
              <w:rPr>
                <w:sz w:val="20"/>
                <w:szCs w:val="20"/>
                <w:lang w:val="en-US" w:eastAsia="en-US"/>
                <w14:ligatures w14:val="none"/>
              </w:rPr>
            </w:r>
            <w:r>
              <w:rPr>
                <w:sz w:val="20"/>
                <w:szCs w:val="20"/>
                <w:lang w:val="en-US" w:eastAsia="en-US"/>
                <w14:ligatures w14:val="none"/>
              </w:rPr>
            </w:r>
          </w:p>
          <w:p>
            <w:pPr>
              <w:jc w:val="center"/>
              <w:spacing w:line="256" w:lineRule="auto"/>
              <w:rPr>
                <w:b w:val="0"/>
                <w:bCs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761</w:t>
            </w:r>
            <w:r>
              <w:rPr>
                <w:b w:val="0"/>
                <w:bCs w:val="0"/>
                <w:sz w:val="20"/>
                <w:szCs w:val="20"/>
                <w:lang w:val="en-US" w:eastAsia="en-US"/>
                <w14:ligatures w14:val="none"/>
              </w:rPr>
            </w:r>
            <w:r>
              <w:rPr>
                <w:b w:val="0"/>
                <w:bCs w:val="0"/>
                <w:sz w:val="20"/>
                <w:szCs w:val="20"/>
                <w:lang w:val="en-US" w:eastAsia="en-US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70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eastAsia="Calibri"/>
                <w:color w:val="auto"/>
              </w:rPr>
            </w:pPr>
            <w:r>
              <w:rPr>
                <w:sz w:val="20"/>
                <w:szCs w:val="20"/>
                <w:lang w:val="en-US"/>
              </w:rPr>
              <w:t xml:space="preserve">XTC213505PWB07415</w:t>
            </w:r>
            <w:r>
              <w:rPr>
                <w:rFonts w:eastAsia="Calibri"/>
                <w:color w:val="auto"/>
              </w:rPr>
            </w:r>
            <w:r>
              <w:rPr>
                <w:rFonts w:eastAsia="Calibri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0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t xml:space="preserve">2023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55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150</w:t>
            </w:r>
            <w:r>
              <w:rPr>
                <w:rFonts w:eastAsia="Calibri"/>
                <w:color w:val="auto"/>
              </w:rPr>
            </w:r>
            <w:r>
              <w:rPr>
                <w:rFonts w:eastAsia="Calibri"/>
                <w:color w:val="auto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t xml:space="preserve">бензиновый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t xml:space="preserve">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4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t xml:space="preserve">17.10.2026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492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LADA LARGUS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sz w:val="20"/>
                <w:szCs w:val="20"/>
                <w:lang w:val="en-US" w:eastAsia="en-US"/>
              </w:rPr>
            </w:r>
            <w:r>
              <w:rPr>
                <w:sz w:val="20"/>
                <w:szCs w:val="20"/>
                <w:lang w:val="en-US" w:eastAsia="en-US"/>
              </w:rPr>
              <w:t xml:space="preserve">Т220КМ761</w:t>
            </w:r>
            <w:r>
              <w:rPr>
                <w:sz w:val="20"/>
                <w:szCs w:val="20"/>
                <w:lang w:val="en-US" w:eastAsia="en-US"/>
                <w14:ligatures w14:val="none"/>
              </w:rPr>
            </w:r>
            <w:r>
              <w:rPr>
                <w:sz w:val="20"/>
                <w:szCs w:val="20"/>
                <w:lang w:val="en-US" w:eastAsia="en-US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XTA</w:t>
            </w:r>
            <w:r>
              <w:rPr>
                <w:sz w:val="20"/>
                <w:szCs w:val="20"/>
              </w:rPr>
              <w:t xml:space="preserve">KS045LR1482696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0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t xml:space="preserve">2024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5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t xml:space="preserve">106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t xml:space="preserve">бензиновый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t xml:space="preserve">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0"/>
                <w:szCs w:val="20"/>
                <w:lang w:eastAsia="en-US"/>
              </w:rPr>
              <w:t xml:space="preserve">11.11.2026</w:t>
            </w:r>
            <w:r/>
          </w:p>
        </w:tc>
      </w:tr>
      <w:tr>
        <w:trPr>
          <w:jc w:val="center"/>
          <w:trHeight w:val="492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LADA VESTA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b w:val="0"/>
                <w:bCs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sz w:val="20"/>
                <w:szCs w:val="20"/>
                <w:lang w:val="en-US" w:eastAsia="en-US"/>
              </w:rPr>
            </w:r>
            <w:r>
              <w:rPr>
                <w:sz w:val="20"/>
                <w:szCs w:val="20"/>
                <w:lang w:val="en-US" w:eastAsia="en-US"/>
              </w:rPr>
              <w:t xml:space="preserve">К243КВ</w:t>
            </w:r>
            <w:r>
              <w:rPr>
                <w:b w:val="0"/>
                <w:bCs w:val="0"/>
                <w:sz w:val="20"/>
                <w:szCs w:val="20"/>
                <w:lang w:val="en-US" w:eastAsia="en-US"/>
                <w14:ligatures w14:val="none"/>
              </w:rPr>
            </w:r>
            <w:r>
              <w:rPr>
                <w:b w:val="0"/>
                <w:bCs w:val="0"/>
                <w:sz w:val="20"/>
                <w:szCs w:val="20"/>
                <w:lang w:val="en-US" w:eastAsia="en-US"/>
                <w14:ligatures w14:val="none"/>
              </w:rPr>
            </w:r>
          </w:p>
          <w:p>
            <w:pPr>
              <w:jc w:val="center"/>
              <w:spacing w:line="256" w:lineRule="auto"/>
              <w:rPr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761</w:t>
            </w:r>
            <w:r>
              <w:rPr>
                <w:sz w:val="20"/>
                <w:szCs w:val="20"/>
                <w:lang w:val="en-US" w:eastAsia="en-US"/>
                <w14:ligatures w14:val="none"/>
              </w:rPr>
            </w:r>
            <w:r>
              <w:rPr>
                <w:sz w:val="20"/>
                <w:szCs w:val="20"/>
                <w:lang w:val="en-US" w:eastAsia="en-US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70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XTAGFL110R0707793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08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t xml:space="preserve">2023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55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t xml:space="preserve">106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t xml:space="preserve">бензиновый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2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t xml:space="preserve">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4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27.11.2026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jc w:val="center"/>
          <w:trHeight w:val="4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LADA VESTA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b w:val="0"/>
                <w:bCs w:val="0"/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sz w:val="20"/>
                <w:szCs w:val="20"/>
                <w:lang w:val="en-US" w:eastAsia="en-US"/>
              </w:rPr>
            </w:r>
            <w:r>
              <w:rPr>
                <w:sz w:val="20"/>
                <w:szCs w:val="20"/>
                <w:lang w:val="en-US" w:eastAsia="en-US"/>
              </w:rPr>
              <w:t xml:space="preserve">К292КВ</w:t>
            </w:r>
            <w:r>
              <w:rPr>
                <w:b w:val="0"/>
                <w:bCs w:val="0"/>
                <w:sz w:val="20"/>
                <w:szCs w:val="20"/>
                <w:lang w:val="en-US" w:eastAsia="en-US"/>
                <w14:ligatures w14:val="none"/>
              </w:rPr>
            </w:r>
            <w:r>
              <w:rPr>
                <w:b w:val="0"/>
                <w:bCs w:val="0"/>
                <w:sz w:val="20"/>
                <w:szCs w:val="20"/>
                <w:lang w:val="en-US" w:eastAsia="en-US"/>
                <w14:ligatures w14:val="none"/>
              </w:rPr>
            </w:r>
          </w:p>
          <w:p>
            <w:pPr>
              <w:jc w:val="center"/>
              <w:spacing w:line="256" w:lineRule="auto"/>
              <w:rPr>
                <w:sz w:val="20"/>
                <w:szCs w:val="20"/>
                <w:lang w:val="en-US" w:eastAsia="en-US"/>
                <w14:ligatures w14:val="none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761</w:t>
            </w:r>
            <w:r>
              <w:rPr>
                <w:sz w:val="20"/>
                <w:szCs w:val="20"/>
                <w:lang w:val="en-US" w:eastAsia="en-US"/>
                <w14:ligatures w14:val="none"/>
              </w:rPr>
            </w:r>
            <w:r>
              <w:rPr>
                <w:sz w:val="20"/>
                <w:szCs w:val="20"/>
                <w:lang w:val="en-US" w:eastAsia="en-US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70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XTAGFL110R0707784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08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t xml:space="preserve">2023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55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t xml:space="preserve">106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t xml:space="preserve">бензиновый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92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t xml:space="preserve">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4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t xml:space="preserve">27.11.2026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  <w:highlight w:val="none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426"/>
        <w:jc w:val="both"/>
        <w:tabs>
          <w:tab w:val="left" w:pos="426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  Порядок формирования цены контракта:</w:t>
      </w:r>
      <w:r>
        <w:rPr>
          <w:sz w:val="22"/>
          <w:szCs w:val="22"/>
        </w:rPr>
        <w:t xml:space="preserve"> в цену включена стоимость всего комплекса услуг, затраты на уплату налогов, сборов и иных обязательных платежей, связанных с оказанием услуг. Изменение Правительством Российской Федерации страховых тарифов, действовавших на момент заключения нас</w:t>
      </w:r>
      <w:r>
        <w:rPr>
          <w:sz w:val="22"/>
          <w:szCs w:val="22"/>
        </w:rPr>
        <w:t xml:space="preserve">тоящего Контракта</w:t>
      </w:r>
      <w:r>
        <w:rPr>
          <w:sz w:val="22"/>
          <w:szCs w:val="22"/>
        </w:rPr>
        <w:t xml:space="preserve"> не влечёт за собой изменение страховой премии.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426"/>
        <w:jc w:val="both"/>
        <w:rPr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6.   Срок и условия оплаты: </w:t>
      </w:r>
      <w:r>
        <w:rPr>
          <w:rFonts w:eastAsia="Calibri"/>
          <w:sz w:val="22"/>
          <w:szCs w:val="22"/>
        </w:rPr>
        <w:t xml:space="preserve">Страховая премия уплачивается Страхователем после получения страховых полисов ОСАГО путём перечисления денежных средств на расчётный счёт Страховщика единовременным платежом в течение 10-ти (десяти)</w:t>
      </w:r>
      <w:r>
        <w:rPr>
          <w:rFonts w:eastAsia="Calibri"/>
          <w:sz w:val="22"/>
          <w:szCs w:val="22"/>
        </w:rPr>
        <w:t xml:space="preserve"> рабочих</w:t>
      </w:r>
      <w:r>
        <w:rPr>
          <w:rFonts w:eastAsia="Calibri"/>
          <w:sz w:val="22"/>
          <w:szCs w:val="22"/>
        </w:rPr>
        <w:t xml:space="preserve"> дней со дня выставления Страховщиком счёт-фактуры (счёта), акта </w:t>
      </w:r>
      <w:r>
        <w:rPr>
          <w:rFonts w:eastAsia="Calibri"/>
          <w:sz w:val="22"/>
          <w:szCs w:val="22"/>
        </w:rPr>
        <w:t xml:space="preserve">оказанных услуг</w:t>
      </w:r>
      <w:r>
        <w:rPr>
          <w:rFonts w:eastAsia="Calibri"/>
          <w:sz w:val="22"/>
          <w:szCs w:val="22"/>
        </w:rPr>
        <w:t xml:space="preserve"> на уплату страховой премии.</w:t>
      </w:r>
      <w:r>
        <w:t xml:space="preserve"> </w:t>
      </w:r>
      <w:r>
        <w:rPr>
          <w:sz w:val="22"/>
          <w:szCs w:val="22"/>
        </w:rPr>
        <w:t xml:space="preserve">Оплата будет осуществляться из средств федерального бюджета Российской Федерации в безналичном порядке путем перечисления денежных средств в российских рублях на расчетный счет Страховщика.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426"/>
        <w:jc w:val="both"/>
        <w:rPr>
          <w:b/>
          <w:bCs/>
          <w:sz w:val="22"/>
          <w:szCs w:val="22"/>
        </w:rPr>
      </w:pPr>
      <w:r>
        <w:rPr>
          <w:rFonts w:eastAsia="Calibri"/>
          <w:b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850" w:bottom="1134" w:left="709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6"/>
    <w:next w:val="836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basedOn w:val="837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6"/>
    <w:next w:val="836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basedOn w:val="837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6"/>
    <w:next w:val="836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basedOn w:val="837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6"/>
    <w:next w:val="836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basedOn w:val="837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6"/>
    <w:next w:val="836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basedOn w:val="837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6"/>
    <w:next w:val="836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basedOn w:val="837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6"/>
    <w:next w:val="836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basedOn w:val="837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6"/>
    <w:next w:val="836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basedOn w:val="837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6"/>
    <w:next w:val="836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basedOn w:val="837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List Paragraph"/>
    <w:basedOn w:val="836"/>
    <w:uiPriority w:val="34"/>
    <w:qFormat/>
    <w:pPr>
      <w:contextualSpacing/>
      <w:ind w:left="720"/>
    </w:pPr>
  </w:style>
  <w:style w:type="paragraph" w:styleId="677">
    <w:name w:val="No Spacing"/>
    <w:uiPriority w:val="1"/>
    <w:qFormat/>
    <w:pPr>
      <w:spacing w:before="0" w:after="0" w:line="240" w:lineRule="auto"/>
    </w:pPr>
  </w:style>
  <w:style w:type="paragraph" w:styleId="678">
    <w:name w:val="Title"/>
    <w:basedOn w:val="836"/>
    <w:next w:val="836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>
    <w:name w:val="Title Char"/>
    <w:basedOn w:val="837"/>
    <w:link w:val="678"/>
    <w:uiPriority w:val="10"/>
    <w:rPr>
      <w:sz w:val="48"/>
      <w:szCs w:val="48"/>
    </w:rPr>
  </w:style>
  <w:style w:type="paragraph" w:styleId="680">
    <w:name w:val="Subtitle"/>
    <w:basedOn w:val="836"/>
    <w:next w:val="836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basedOn w:val="837"/>
    <w:link w:val="680"/>
    <w:uiPriority w:val="11"/>
    <w:rPr>
      <w:sz w:val="24"/>
      <w:szCs w:val="24"/>
    </w:rPr>
  </w:style>
  <w:style w:type="paragraph" w:styleId="682">
    <w:name w:val="Quote"/>
    <w:basedOn w:val="836"/>
    <w:next w:val="836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6"/>
    <w:next w:val="836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paragraph" w:styleId="686">
    <w:name w:val="Header"/>
    <w:basedOn w:val="836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Header Char"/>
    <w:basedOn w:val="837"/>
    <w:link w:val="686"/>
    <w:uiPriority w:val="99"/>
  </w:style>
  <w:style w:type="paragraph" w:styleId="688">
    <w:name w:val="Footer"/>
    <w:basedOn w:val="836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Footer Char"/>
    <w:basedOn w:val="837"/>
    <w:link w:val="688"/>
    <w:uiPriority w:val="99"/>
  </w:style>
  <w:style w:type="paragraph" w:styleId="690">
    <w:name w:val="Caption"/>
    <w:basedOn w:val="836"/>
    <w:next w:val="83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>
    <w:name w:val="Caption Char"/>
    <w:basedOn w:val="690"/>
    <w:link w:val="688"/>
    <w:uiPriority w:val="99"/>
  </w:style>
  <w:style w:type="table" w:styleId="692">
    <w:name w:val="Table Grid"/>
    <w:basedOn w:val="8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2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3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4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5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6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7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4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5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6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7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8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9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6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7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8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9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0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1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4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5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7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9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0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1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92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3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4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5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96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7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9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0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1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2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3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4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6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7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8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9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10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1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2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3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4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5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6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7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8">
    <w:name w:val="Hyperlink"/>
    <w:uiPriority w:val="99"/>
    <w:unhideWhenUsed/>
    <w:rPr>
      <w:color w:val="0000ff" w:themeColor="hyperlink"/>
      <w:u w:val="single"/>
    </w:rPr>
  </w:style>
  <w:style w:type="paragraph" w:styleId="819">
    <w:name w:val="footnote text"/>
    <w:basedOn w:val="836"/>
    <w:link w:val="820"/>
    <w:uiPriority w:val="99"/>
    <w:semiHidden/>
    <w:unhideWhenUsed/>
    <w:pPr>
      <w:spacing w:after="40" w:line="240" w:lineRule="auto"/>
    </w:pPr>
    <w:rPr>
      <w:sz w:val="18"/>
    </w:rPr>
  </w:style>
  <w:style w:type="character" w:styleId="820">
    <w:name w:val="Footnote Text Char"/>
    <w:link w:val="819"/>
    <w:uiPriority w:val="99"/>
    <w:rPr>
      <w:sz w:val="18"/>
    </w:rPr>
  </w:style>
  <w:style w:type="character" w:styleId="821">
    <w:name w:val="footnote reference"/>
    <w:basedOn w:val="837"/>
    <w:uiPriority w:val="99"/>
    <w:unhideWhenUsed/>
    <w:rPr>
      <w:vertAlign w:val="superscript"/>
    </w:rPr>
  </w:style>
  <w:style w:type="paragraph" w:styleId="822">
    <w:name w:val="endnote text"/>
    <w:basedOn w:val="836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>
    <w:name w:val="Endnote Text Char"/>
    <w:link w:val="822"/>
    <w:uiPriority w:val="99"/>
    <w:rPr>
      <w:sz w:val="20"/>
    </w:rPr>
  </w:style>
  <w:style w:type="character" w:styleId="824">
    <w:name w:val="endnote reference"/>
    <w:basedOn w:val="837"/>
    <w:uiPriority w:val="99"/>
    <w:semiHidden/>
    <w:unhideWhenUsed/>
    <w:rPr>
      <w:vertAlign w:val="superscript"/>
    </w:rPr>
  </w:style>
  <w:style w:type="paragraph" w:styleId="825">
    <w:name w:val="toc 1"/>
    <w:basedOn w:val="836"/>
    <w:next w:val="836"/>
    <w:uiPriority w:val="39"/>
    <w:unhideWhenUsed/>
    <w:pPr>
      <w:ind w:left="0" w:right="0" w:firstLine="0"/>
      <w:spacing w:after="57"/>
    </w:pPr>
  </w:style>
  <w:style w:type="paragraph" w:styleId="826">
    <w:name w:val="toc 2"/>
    <w:basedOn w:val="836"/>
    <w:next w:val="836"/>
    <w:uiPriority w:val="39"/>
    <w:unhideWhenUsed/>
    <w:pPr>
      <w:ind w:left="283" w:right="0" w:firstLine="0"/>
      <w:spacing w:after="57"/>
    </w:pPr>
  </w:style>
  <w:style w:type="paragraph" w:styleId="827">
    <w:name w:val="toc 3"/>
    <w:basedOn w:val="836"/>
    <w:next w:val="836"/>
    <w:uiPriority w:val="39"/>
    <w:unhideWhenUsed/>
    <w:pPr>
      <w:ind w:left="567" w:right="0" w:firstLine="0"/>
      <w:spacing w:after="57"/>
    </w:pPr>
  </w:style>
  <w:style w:type="paragraph" w:styleId="828">
    <w:name w:val="toc 4"/>
    <w:basedOn w:val="836"/>
    <w:next w:val="836"/>
    <w:uiPriority w:val="39"/>
    <w:unhideWhenUsed/>
    <w:pPr>
      <w:ind w:left="850" w:right="0" w:firstLine="0"/>
      <w:spacing w:after="57"/>
    </w:pPr>
  </w:style>
  <w:style w:type="paragraph" w:styleId="829">
    <w:name w:val="toc 5"/>
    <w:basedOn w:val="836"/>
    <w:next w:val="836"/>
    <w:uiPriority w:val="39"/>
    <w:unhideWhenUsed/>
    <w:pPr>
      <w:ind w:left="1134" w:right="0" w:firstLine="0"/>
      <w:spacing w:after="57"/>
    </w:pPr>
  </w:style>
  <w:style w:type="paragraph" w:styleId="830">
    <w:name w:val="toc 6"/>
    <w:basedOn w:val="836"/>
    <w:next w:val="836"/>
    <w:uiPriority w:val="39"/>
    <w:unhideWhenUsed/>
    <w:pPr>
      <w:ind w:left="1417" w:right="0" w:firstLine="0"/>
      <w:spacing w:after="57"/>
    </w:pPr>
  </w:style>
  <w:style w:type="paragraph" w:styleId="831">
    <w:name w:val="toc 7"/>
    <w:basedOn w:val="836"/>
    <w:next w:val="836"/>
    <w:uiPriority w:val="39"/>
    <w:unhideWhenUsed/>
    <w:pPr>
      <w:ind w:left="1701" w:right="0" w:firstLine="0"/>
      <w:spacing w:after="57"/>
    </w:pPr>
  </w:style>
  <w:style w:type="paragraph" w:styleId="832">
    <w:name w:val="toc 8"/>
    <w:basedOn w:val="836"/>
    <w:next w:val="836"/>
    <w:uiPriority w:val="39"/>
    <w:unhideWhenUsed/>
    <w:pPr>
      <w:ind w:left="1984" w:right="0" w:firstLine="0"/>
      <w:spacing w:after="57"/>
    </w:pPr>
  </w:style>
  <w:style w:type="paragraph" w:styleId="833">
    <w:name w:val="toc 9"/>
    <w:basedOn w:val="836"/>
    <w:next w:val="836"/>
    <w:uiPriority w:val="39"/>
    <w:unhideWhenUsed/>
    <w:pPr>
      <w:ind w:left="2268" w:right="0" w:firstLine="0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836"/>
    <w:next w:val="836"/>
    <w:uiPriority w:val="99"/>
    <w:unhideWhenUsed/>
    <w:pPr>
      <w:spacing w:after="0" w:afterAutospacing="0"/>
    </w:pPr>
  </w:style>
  <w:style w:type="paragraph" w:styleId="836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37" w:default="1">
    <w:name w:val="Default Paragraph Font"/>
    <w:uiPriority w:val="1"/>
    <w:semiHidden/>
    <w:unhideWhenUsed/>
  </w:style>
  <w:style w:type="table" w:styleId="8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character" w:styleId="840" w:customStyle="1">
    <w:name w:val="Обычный (веб) Знак1"/>
    <w:link w:val="841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1">
    <w:name w:val="Normal (Web)"/>
    <w:basedOn w:val="836"/>
    <w:link w:val="840"/>
    <w:semiHidden/>
    <w:unhideWhenUsed/>
    <w:pPr>
      <w:tabs>
        <w:tab w:val="center" w:pos="4677" w:leader="none"/>
        <w:tab w:val="right" w:pos="9355" w:leader="none"/>
      </w:tabs>
    </w:pPr>
  </w:style>
  <w:style w:type="character" w:styleId="842">
    <w:name w:val="annotation reference"/>
    <w:basedOn w:val="837"/>
    <w:uiPriority w:val="99"/>
    <w:semiHidden/>
    <w:unhideWhenUsed/>
    <w:rPr>
      <w:sz w:val="16"/>
      <w:szCs w:val="16"/>
    </w:rPr>
  </w:style>
  <w:style w:type="paragraph" w:styleId="843">
    <w:name w:val="annotation text"/>
    <w:basedOn w:val="836"/>
    <w:link w:val="844"/>
    <w:uiPriority w:val="99"/>
    <w:semiHidden/>
    <w:unhideWhenUsed/>
    <w:rPr>
      <w:sz w:val="20"/>
      <w:szCs w:val="20"/>
    </w:rPr>
  </w:style>
  <w:style w:type="character" w:styleId="844" w:customStyle="1">
    <w:name w:val="Текст примечания Знак"/>
    <w:basedOn w:val="837"/>
    <w:link w:val="843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45">
    <w:name w:val="annotation subject"/>
    <w:basedOn w:val="843"/>
    <w:next w:val="843"/>
    <w:link w:val="846"/>
    <w:uiPriority w:val="99"/>
    <w:semiHidden/>
    <w:unhideWhenUsed/>
    <w:rPr>
      <w:b/>
      <w:bCs/>
    </w:rPr>
  </w:style>
  <w:style w:type="character" w:styleId="846" w:customStyle="1">
    <w:name w:val="Тема примечания Знак"/>
    <w:basedOn w:val="844"/>
    <w:link w:val="845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847">
    <w:name w:val="Balloon Text"/>
    <w:basedOn w:val="836"/>
    <w:link w:val="848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48" w:customStyle="1">
    <w:name w:val="Текст выноски Знак"/>
    <w:basedOn w:val="837"/>
    <w:link w:val="847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17</cp:revision>
  <dcterms:created xsi:type="dcterms:W3CDTF">2023-09-01T06:55:00Z</dcterms:created>
  <dcterms:modified xsi:type="dcterms:W3CDTF">2026-07-29T12:24:03Z</dcterms:modified>
</cp:coreProperties>
</file>