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2"/>
          <w:szCs w:val="22"/>
        </w:rPr>
      </w:pPr>
      <w:r>
        <w:rPr>
          <w:rFonts w:eastAsia="Times New Roman" w:cs="Times New Roman"/>
          <w:i w:val="false"/>
          <w:iCs w:val="false"/>
          <w:sz w:val="22"/>
          <w:szCs w:val="22"/>
        </w:rPr>
        <w:t>Приложение  __</w:t>
      </w:r>
    </w:p>
    <w:p>
      <w:pPr>
        <w:pStyle w:val="Normal"/>
        <w:jc w:val="right"/>
        <w:rPr>
          <w:sz w:val="22"/>
          <w:szCs w:val="22"/>
        </w:rPr>
      </w:pPr>
      <w:r>
        <w:rPr>
          <w:rFonts w:eastAsia="Times New Roman" w:cs="Times New Roman"/>
          <w:i w:val="false"/>
          <w:iCs w:val="false"/>
          <w:sz w:val="22"/>
          <w:szCs w:val="22"/>
        </w:rPr>
        <w:t xml:space="preserve">к государственному контракту </w:t>
      </w:r>
    </w:p>
    <w:p>
      <w:pPr>
        <w:pStyle w:val="Normal"/>
        <w:jc w:val="right"/>
        <w:rPr>
          <w:sz w:val="22"/>
          <w:szCs w:val="22"/>
        </w:rPr>
      </w:pPr>
      <w:r>
        <w:rPr>
          <w:i w:val="false"/>
          <w:iCs w:val="false"/>
          <w:sz w:val="22"/>
          <w:szCs w:val="22"/>
        </w:rPr>
        <w:t>№</w:t>
      </w:r>
      <w:r>
        <w:rPr>
          <w:i w:val="false"/>
          <w:iCs w:val="false"/>
          <w:sz w:val="22"/>
          <w:szCs w:val="22"/>
        </w:rPr>
        <w:t>_____________________</w:t>
      </w:r>
    </w:p>
    <w:p>
      <w:pPr>
        <w:pStyle w:val="Normal"/>
        <w:jc w:val="right"/>
        <w:rPr>
          <w:sz w:val="22"/>
          <w:szCs w:val="22"/>
        </w:rPr>
      </w:pPr>
      <w:r>
        <w:rPr>
          <w:i w:val="false"/>
          <w:iCs w:val="false"/>
          <w:sz w:val="22"/>
          <w:szCs w:val="22"/>
        </w:rPr>
        <w:t xml:space="preserve">от «___» ________ 2026 г. </w:t>
      </w:r>
    </w:p>
    <w:p>
      <w:pPr>
        <w:pStyle w:val="Normal"/>
        <w:spacing w:before="0" w:after="100"/>
        <w:jc w:val="right"/>
        <w:rPr>
          <w:rFonts w:eastAsia="Times New Roman" w:cs="Times New Roman"/>
          <w:b/>
          <w:bCs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</w:rPr>
      </w:r>
    </w:p>
    <w:p>
      <w:pPr>
        <w:pStyle w:val="Normal"/>
        <w:spacing w:before="0" w:after="100"/>
        <w:jc w:val="right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</w:r>
    </w:p>
    <w:p>
      <w:pPr>
        <w:pStyle w:val="Normal"/>
        <w:spacing w:lineRule="auto" w:line="240" w:before="0" w:after="100"/>
        <w:jc w:val="center"/>
        <w:rPr>
          <w:b w:val="false"/>
          <w:bCs w:val="false"/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 xml:space="preserve">ОПИСАНИЕ ОБЪЕКТА ЗАКУПКИ </w:t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>Оказание услуг</w:t>
      </w:r>
      <w:r>
        <w:rPr>
          <w:rFonts w:eastAsia="Times New Roman" w:cs="Times New Roman"/>
          <w:b w:val="false"/>
          <w:bCs w:val="false"/>
          <w:sz w:val="24"/>
          <w:szCs w:val="24"/>
        </w:rPr>
        <w:t xml:space="preserve"> по установке </w:t>
      </w:r>
      <w:r>
        <w:rPr>
          <w:rFonts w:eastAsia="Times New Roman" w:cs="Times New Roman"/>
          <w:b w:val="false"/>
          <w:bCs w:val="false"/>
          <w:sz w:val="24"/>
          <w:szCs w:val="24"/>
        </w:rPr>
        <w:t>(монтажу)</w:t>
      </w:r>
      <w:r>
        <w:rPr>
          <w:rFonts w:eastAsia="Times New Roman" w:cs="Times New Roman"/>
          <w:b w:val="false"/>
          <w:bCs w:val="false"/>
          <w:sz w:val="24"/>
          <w:szCs w:val="24"/>
        </w:rPr>
        <w:t xml:space="preserve"> охранного освещения</w:t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>на объектах безопасности ГУФССП России по г. Москве</w:t>
      </w:r>
    </w:p>
    <w:p>
      <w:pPr>
        <w:pStyle w:val="Normal"/>
        <w:spacing w:lineRule="auto" w:line="240" w:before="0" w:after="400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Heading1"/>
        <w:spacing w:before="0" w:after="0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ab/>
        <w:t>1. Общие сведения</w:t>
      </w:r>
    </w:p>
    <w:p>
      <w:pPr>
        <w:pStyle w:val="Normal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 xml:space="preserve">1.1. </w:t>
      </w:r>
      <w:r>
        <w:rPr>
          <w:rFonts w:eastAsia="Times New Roman" w:cs="Times New Roman"/>
          <w:sz w:val="24"/>
          <w:szCs w:val="24"/>
        </w:rPr>
        <w:t xml:space="preserve">Предмет закупки: </w:t>
      </w:r>
      <w:r>
        <w:rPr>
          <w:rFonts w:eastAsia="Times New Roman" w:cs="Times New Roman"/>
          <w:b w:val="false"/>
          <w:bCs w:val="false"/>
          <w:sz w:val="24"/>
          <w:szCs w:val="24"/>
        </w:rPr>
        <w:t>Оказание услуг по установке (монтажу) охранного освещения</w:t>
      </w:r>
      <w:r>
        <w:rPr>
          <w:rFonts w:eastAsia="Times New Roman" w:cs="Times New Roman"/>
          <w:sz w:val="24"/>
          <w:szCs w:val="24"/>
        </w:rPr>
        <w:t xml:space="preserve"> на объектах безопасности ГУФССП России по г. Москве, расположенных по следующим адресам (далее - Объект):</w:t>
      </w:r>
    </w:p>
    <w:p>
      <w:pPr>
        <w:pStyle w:val="Normal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г. Москва, Электролитный проезд, д. 5Б, стр. 8;</w:t>
      </w:r>
    </w:p>
    <w:p>
      <w:pPr>
        <w:pStyle w:val="Normal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г. Москва, ул.7-я Парковая, д. 26;</w:t>
      </w:r>
    </w:p>
    <w:p>
      <w:pPr>
        <w:pStyle w:val="Normal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г. Москва, Югорский проезд, д. 22, корп. 1.</w:t>
      </w:r>
    </w:p>
    <w:p>
      <w:pPr>
        <w:pStyle w:val="Normal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 xml:space="preserve">1.2. Заказчик: Главное управление Федеральной службы судебных приставов </w:t>
        <w:br/>
        <w:t>по г. Москве.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ab/>
      </w:r>
    </w:p>
    <w:p>
      <w:pPr>
        <w:pStyle w:val="Heading1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ab/>
        <w:t xml:space="preserve">2.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>Услуги оказываются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: </w:t>
      </w:r>
    </w:p>
    <w:p>
      <w:pPr>
        <w:pStyle w:val="Heading1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ab/>
        <w:t>о</w:t>
      </w: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>беспечение равномерного и достаточного освещения периметра, входных групп, зоны КПП, стоянок и уязвимых участков территории Объекта в тёмное время суток и визуального контроля периметра здания (территории);</w:t>
      </w:r>
    </w:p>
    <w:p>
      <w:pPr>
        <w:pStyle w:val="ListParagraph"/>
        <w:spacing w:lineRule="exact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создание условий для эффективной работы систем видеонаблюдения и охранной сигнализации в тёмное время суток;</w:t>
      </w:r>
    </w:p>
    <w:p>
      <w:pPr>
        <w:pStyle w:val="ListParagraph"/>
        <w:spacing w:lineRule="exact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обеспечение своевременного визуального обнаружения и идентификации нарушителей на подступах к Объекту и по периметру ограждения;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автоматизация включения/отключения охранного освещения (по уровню освещённости, по расписанию, по сигналу тревоги/датчиков движения).</w:t>
      </w:r>
    </w:p>
    <w:p>
      <w:pPr>
        <w:pStyle w:val="ListParagraph"/>
        <w:spacing w:lineRule="exact" w:line="276" w:before="0" w:after="0"/>
        <w:jc w:val="both"/>
        <w:rPr>
          <w:b w:val="false"/>
          <w:bCs w:val="false"/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ab/>
        <w:t>3. Нормативные документы</w:t>
      </w:r>
    </w:p>
    <w:p>
      <w:pPr>
        <w:pStyle w:val="Normal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 xml:space="preserve">услуги оказываются в </w:t>
      </w:r>
      <w:r>
        <w:rPr>
          <w:rFonts w:eastAsia="Times New Roman" w:cs="Times New Roman"/>
          <w:sz w:val="24"/>
          <w:szCs w:val="24"/>
        </w:rPr>
        <w:t xml:space="preserve"> соответствии с действующими на территории РФ нормативными документами, в том числе (перечень не исчерпывающий, применяется в актуальной редакции):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ГОСТ Р 55842-2013 «Освещение наружное утилитарное. Классификация и общие технические требования»;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СП 52.13330.2016 «Естественное и искусственное освещение» (актуализированная редакция СНиП 23-05-95*);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СП 132.13330.2011 «Обеспечение антитеррористической защищённости зданий и сооружений»;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ГОСТ Р 51558-2014 «Системы охранные телевизионные. Классификация. Общие технические требования»;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Правила устройства электроустановок (ПУЭ), издание 7;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Правила технической эксплуатации электроустановок потребителей (ПТЭЭП);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Правила по охране труда при эксплуатации электроустановок;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СП 76.13330.2016 «Электротехнические устройства» (актуализированная редакция СНиП 3.05.06-85);</w:t>
      </w:r>
    </w:p>
    <w:p>
      <w:pPr>
        <w:pStyle w:val="ListParagraph"/>
        <w:spacing w:lineRule="exact" w:line="276" w:before="0" w:after="80"/>
        <w:jc w:val="both"/>
        <w:rPr/>
      </w:pPr>
      <w:r>
        <w:rPr>
          <w:rFonts w:eastAsia="Times New Roman" w:cs="Times New Roman"/>
          <w:sz w:val="24"/>
          <w:szCs w:val="24"/>
        </w:rPr>
        <w:tab/>
        <w:t>Технические регламенты Таможенного союза (ТР ТС 004/2011, ТР ТС 020/2011) — в части применяемого оборудования;</w:t>
      </w:r>
    </w:p>
    <w:p>
      <w:pPr>
        <w:pStyle w:val="ListParagraph"/>
        <w:spacing w:lineRule="exact" w:line="276" w:before="0" w:after="80"/>
        <w:jc w:val="both"/>
        <w:rPr/>
      </w:pPr>
      <w:r>
        <w:rPr>
          <w:rFonts w:eastAsia="Times New Roman" w:cs="Times New Roman"/>
          <w:sz w:val="24"/>
          <w:szCs w:val="24"/>
        </w:rPr>
        <w:tab/>
        <w:t>Ведомственные требования и регламенты Заказчика по инженерно-технической укреплённости и антитеррористической защищённости объекта.</w:t>
      </w:r>
    </w:p>
    <w:p>
      <w:pPr>
        <w:pStyle w:val="Heading1"/>
        <w:spacing w:before="0" w:after="0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ab/>
        <w:t>4. Характеристика объекта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 xml:space="preserve">4.1. Наименование объекта: объект безопасности отдельно стоящее административное здание по адресу: </w:t>
      </w:r>
      <w:r>
        <w:rPr>
          <w:rFonts w:eastAsia="Times New Roman" w:cs="Times New Roman"/>
          <w:b/>
          <w:bCs/>
          <w:color w:val="auto"/>
          <w:sz w:val="22"/>
          <w:szCs w:val="22"/>
        </w:rPr>
        <w:t>г. Москва, Электролитный проезд, д. 5Б, стр. 8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>.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>4.1.2. Характеристики территории ( площадь - 7032,2 кв.м., наличие ограждения, существующих опор освещения, точек электроснабжения, зон КПП, въездов/выездов) уточняются Исполнителем в ходе предварительного обследования Объекта совместно с представителем Заказчика, с оформлением акта обследования и схемы размещения оборудования.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 xml:space="preserve">4.2. Наименование объекта: объект безопасности отдельно стоящее административное здание по адресу: </w:t>
      </w:r>
      <w:r>
        <w:rPr>
          <w:rFonts w:eastAsia="Times New Roman" w:cs="Times New Roman"/>
          <w:b/>
          <w:bCs/>
          <w:color w:val="auto"/>
          <w:sz w:val="22"/>
          <w:szCs w:val="22"/>
        </w:rPr>
        <w:t>г. Москва, ул. 7-я Парковая, д. 26</w:t>
      </w:r>
      <w:r>
        <w:rPr>
          <w:rFonts w:eastAsia="Times New Roman" w:cs="Times New Roman"/>
          <w:b w:val="false"/>
          <w:bCs w:val="false"/>
          <w:color w:val="auto"/>
          <w:sz w:val="22"/>
          <w:szCs w:val="22"/>
        </w:rPr>
        <w:t>.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>4.2.1. Характеристики территории ( площадь - 3815,0 кв.м., наличие ограждения, существующих опор освещения, точек электроснабжения, зон КПП, въездов/выездов) уточняются Исполнителем в ходе предварительного обследования Объекта совместно с представителем Заказчика, с оформлением акта обследования и схемы размещения оборудования.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 xml:space="preserve">4.3. Наименование объекта: объект безопасности отдельно стоящее административное здание по адресу: </w:t>
      </w:r>
      <w:r>
        <w:rPr>
          <w:rFonts w:eastAsia="Times New Roman" w:cs="Times New Roman"/>
          <w:b/>
          <w:bCs/>
          <w:color w:val="auto"/>
          <w:sz w:val="22"/>
          <w:szCs w:val="22"/>
        </w:rPr>
        <w:t>г. Москва, Югорский проезд, д. 22, корп. 1</w:t>
      </w:r>
      <w:r>
        <w:rPr>
          <w:rFonts w:eastAsia="Times New Roman" w:cs="Times New Roman"/>
          <w:b w:val="false"/>
          <w:bCs w:val="false"/>
          <w:color w:val="auto"/>
          <w:sz w:val="22"/>
          <w:szCs w:val="22"/>
        </w:rPr>
        <w:t>.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>4.3.1. Характеристики территории (площадь - 3265,9 кв.м., наличие ограждения, существующих опор освещения, точек электроснабжения, зон КПП, въездов/выездов) уточняются Исполнителем  в ходе предварительного обследования Объекта совместно с представителем Заказчика, с оформлением акта обследования и схемы размещения оборудования.</w:t>
      </w:r>
    </w:p>
    <w:p>
      <w:pPr>
        <w:pStyle w:val="Normal"/>
        <w:spacing w:lineRule="exact" w:line="276" w:before="0" w:after="0"/>
        <w:jc w:val="both"/>
        <w:rPr/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 xml:space="preserve">5. Требования к составу и 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>порядку оказание Услуг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5.1. Проведение предварительного обследования Объекта, фотофиксация, замер периметра и уточнение точек размещения светильников/прожекторов, опор, трасс кабельных линий и точки подключения к электрощиту.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5.2. Разработка и согласование с Заказчиком схемы размещения светильников охранного освещения, кабельных трасс и щита управления (при необходимости - рабочей документации/проекта).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5.3. Поставка оборудования и материалов в соответствии с ведомостью (Приложение 1).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5.4. Монтаж опор освещения (при отсутствии существующих конструкций) с устройством фундаментов.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5.5. Монтаж светильников/прожекторов охранного освещения по периметру, над входными группами, на КПП, автостоянках и иных уязвимых участках согласно согласованной схеме.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5.6. Прокладка кабельных линий электропитания (открытым и/или скрытым способом, в кабель-каналах, гофрорукавах, лотках — по месту), с соблюдением требований ПУЭ.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5.6.1. Кабельные линии должны иметь защиту от механического повреждения                     и умышленного саботажа. При открытой прокладке по фасаду использовать армированные ПВХ-трубы;</w:t>
      </w:r>
    </w:p>
    <w:p>
      <w:pPr>
        <w:pStyle w:val="BodyText"/>
        <w:spacing w:lineRule="auto" w:line="240"/>
        <w:jc w:val="both"/>
        <w:rPr/>
      </w:pPr>
      <w:r>
        <w:rPr/>
        <w:tab/>
      </w:r>
      <w:r>
        <w:rPr>
          <w:sz w:val="24"/>
          <w:szCs w:val="24"/>
        </w:rPr>
        <w:t>5.6.2. Допуск к распределительным коробкам должен быть исключительно без применения специального инструмента, но находиться в недоступных для несанкционированного доступа местах;</w:t>
      </w:r>
    </w:p>
    <w:p>
      <w:pPr>
        <w:pStyle w:val="ListParagraph"/>
        <w:spacing w:lineRule="auto" w:line="240" w:before="0" w:after="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ListParagraph"/>
        <w:spacing w:lineRule="auto" w:line="240" w:before="0" w:after="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ListParagraph"/>
        <w:spacing w:lineRule="auto" w:line="240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5.7. Монтаж щита управления охранным освещением с установкой автоматических выключателей, УЗО, при необходимости — контактора и таймера/фотореле для автоматического режима работы.</w:t>
      </w:r>
    </w:p>
    <w:p>
      <w:pPr>
        <w:pStyle w:val="ListParagraph"/>
        <w:spacing w:lineRule="auto" w:line="240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5.8. Режим работы и управление:</w:t>
      </w:r>
    </w:p>
    <w:p>
      <w:pPr>
        <w:pStyle w:val="BodyText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ab/>
        <w:t>включение (отключение) освещения должно осуществляться по сигналу фотореле или программируемому астрономическому реле времени;</w:t>
      </w:r>
    </w:p>
    <w:p>
      <w:pPr>
        <w:pStyle w:val="BodyText"/>
        <w:spacing w:lineRule="auto" w:line="240" w:before="0" w:after="0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осуществить монтаж в дежурной части пункта ручного (принудительного) включения (отключения) системы охранного освещения;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5.9. Монтаж датчиков освещённости (фотореле) и, при необходимости, датчиков движения для локального/зонального включения освещения.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5.10. Устройство (проверка) контура заземления и повторного заземления опор освещения, зануление металлических корпусов оборудования.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5.11. Пусконаладочные работы: проверка работоспособности всех светильников, автоматики включения/отключения, датчиков, срабатывания защит.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5.12. Проведение испытаний: измерение уровня освещённости на контрольных точках, измерение сопротивления изоляции кабельных линий, измерение сопротивления контура заземления.</w:t>
      </w:r>
    </w:p>
    <w:p>
      <w:pPr>
        <w:pStyle w:val="ListParagraph"/>
        <w:spacing w:lineRule="auto" w:line="240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 xml:space="preserve">5.13. Оформление и передача Заказчику исполнительной документации </w:t>
      </w:r>
    </w:p>
    <w:p>
      <w:pPr>
        <w:pStyle w:val="ListParagraph"/>
        <w:spacing w:lineRule="auto" w:line="240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 xml:space="preserve">5.13.1. По </w:t>
      </w:r>
      <w:r>
        <w:rPr>
          <w:rFonts w:eastAsia="Times New Roman" w:cs="Times New Roman"/>
          <w:sz w:val="24"/>
          <w:szCs w:val="24"/>
        </w:rPr>
        <w:t>окончанию оказанных Услуг Исполнителю необходимо</w:t>
      </w:r>
      <w:r>
        <w:rPr>
          <w:rFonts w:eastAsia="Times New Roman" w:cs="Times New Roman"/>
          <w:sz w:val="24"/>
          <w:szCs w:val="24"/>
        </w:rPr>
        <w:t xml:space="preserve"> предоставить полную документацию системы охранного освещения, включая кабельный журнал, схемы электрические принципиальные и инструкцию по эксплуатации для дежурной смены </w:t>
      </w:r>
      <w:r>
        <w:rPr>
          <w:rFonts w:eastAsia="Times New Roman" w:cs="Times New Roman"/>
          <w:sz w:val="24"/>
          <w:szCs w:val="24"/>
        </w:rPr>
        <w:t>(в случае необходимости)</w:t>
      </w:r>
      <w:r>
        <w:rPr>
          <w:rFonts w:eastAsia="Times New Roman" w:cs="Times New Roman"/>
          <w:sz w:val="24"/>
          <w:szCs w:val="24"/>
        </w:rPr>
        <w:t>.</w:t>
      </w:r>
    </w:p>
    <w:p>
      <w:pPr>
        <w:pStyle w:val="ListParagraph"/>
        <w:spacing w:lineRule="exact" w:line="276" w:before="0" w:after="0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5.14. Обучение (инструктаж) персонала Заказчика правилам эксплуатации системы охранного освещения.</w:t>
      </w:r>
    </w:p>
    <w:p>
      <w:pPr>
        <w:pStyle w:val="ListParagraph"/>
        <w:spacing w:lineRule="exact" w:line="276" w:before="0" w:after="0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6. Отдельные требования к составу работоспособности</w:t>
      </w:r>
    </w:p>
    <w:p>
      <w:pPr>
        <w:pStyle w:val="ListParagraph"/>
        <w:spacing w:lineRule="exact" w:line="276" w:before="0" w:after="0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6.1.Количество точек установки источников освещения определять исходя из архитектуры (геометрии) здания (территории), но не менее 6, избегая слепых зон и теневых участков;</w:t>
      </w:r>
    </w:p>
    <w:p>
      <w:pPr>
        <w:pStyle w:val="BodyText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ab/>
        <w:t>6.2. Охранное освещение должно обеспечивать полосу освещения не менее 3 метров вдоль внешнего периметра здания и не менее 3 метров внутреннего периметра от забора при его наличии;</w:t>
      </w:r>
    </w:p>
    <w:p>
      <w:pPr>
        <w:pStyle w:val="BodyText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ab/>
        <w:t>6.3. Равномерность освещения должна исключать засвет объективов камер видеонаблюдения;</w:t>
      </w:r>
    </w:p>
    <w:p>
      <w:pPr>
        <w:pStyle w:val="BodyText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ab/>
        <w:t>6.4. Цветовая температура осветительных приборов должна быть в диапазоне 4000-5000К (нейтральный белый свет, оптимальный для цветопередачи цифрового видеонаблюдения);</w:t>
      </w:r>
    </w:p>
    <w:p>
      <w:pPr>
        <w:pStyle w:val="BodyText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ab/>
        <w:t>6.5. Степень защиты от пыли и влаги не ниже IP 65;</w:t>
      </w:r>
    </w:p>
    <w:p>
      <w:pPr>
        <w:pStyle w:val="BodyText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ab/>
        <w:t>6.6. Электропитание должно осуществляться от сети 220В и быть выделено в отдельную самостоятельную группу.</w:t>
      </w:r>
    </w:p>
    <w:p>
      <w:pPr>
        <w:pStyle w:val="ListParagraph"/>
        <w:spacing w:lineRule="exact" w:line="276" w:before="0" w:after="0"/>
        <w:jc w:val="both"/>
        <w:rPr>
          <w:b w:val="false"/>
          <w:bCs w:val="false"/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ab/>
        <w:t>7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>. Требования к оборудованию</w:t>
      </w:r>
    </w:p>
    <w:p>
      <w:pPr>
        <w:pStyle w:val="ListParagraph"/>
        <w:spacing w:lineRule="exact" w:line="276" w:before="0" w:after="0"/>
        <w:jc w:val="both"/>
        <w:rPr>
          <w:color w:val="auto"/>
          <w:sz w:val="24"/>
          <w:szCs w:val="24"/>
        </w:rPr>
      </w:pPr>
      <w:r>
        <w:rPr>
          <w:rFonts w:eastAsia="Times New Roman" w:cs="Times New Roman"/>
          <w:color w:val="auto"/>
          <w:sz w:val="24"/>
          <w:szCs w:val="24"/>
        </w:rPr>
        <w:tab/>
        <w:t>7.1. Все применяемое электрооборудование должно иметь сертификаты соответствия (декларации о соответствии) требованиям технических регламентов Таможенного союза.</w:t>
      </w:r>
    </w:p>
    <w:p>
      <w:pPr>
        <w:pStyle w:val="ListParagraph"/>
        <w:spacing w:lineRule="exact" w:line="276" w:before="0" w:after="0"/>
        <w:jc w:val="both"/>
        <w:rPr>
          <w:color w:val="auto"/>
          <w:sz w:val="24"/>
          <w:szCs w:val="24"/>
        </w:rPr>
      </w:pPr>
      <w:r>
        <w:rPr>
          <w:rFonts w:eastAsia="Times New Roman" w:cs="Times New Roman"/>
          <w:color w:val="auto"/>
          <w:sz w:val="24"/>
          <w:szCs w:val="24"/>
        </w:rPr>
        <w:tab/>
        <w:t>7.2. Светильники (прожекторы) - светодиодные, со степенью защиты корпуса не ниже IP65, в антивандальном исполнении, цветовая температура 4000–5000 К.</w:t>
      </w:r>
    </w:p>
    <w:p>
      <w:pPr>
        <w:pStyle w:val="ListParagraph"/>
        <w:spacing w:lineRule="exact" w:line="276" w:before="0" w:after="0"/>
        <w:jc w:val="both"/>
        <w:rPr>
          <w:color w:val="auto"/>
          <w:sz w:val="24"/>
          <w:szCs w:val="24"/>
        </w:rPr>
      </w:pPr>
      <w:r>
        <w:rPr>
          <w:rFonts w:eastAsia="Times New Roman" w:cs="Times New Roman"/>
          <w:color w:val="auto"/>
          <w:sz w:val="24"/>
          <w:szCs w:val="24"/>
        </w:rPr>
        <w:tab/>
        <w:t>7.3. Все наружные электротехнические изделия (щиты, коробки, разветвители) - со степенью защиты не ниже IP54/IP65.</w:t>
      </w:r>
    </w:p>
    <w:p>
      <w:pPr>
        <w:pStyle w:val="ListParagraph"/>
        <w:spacing w:lineRule="exact" w:line="276" w:before="0" w:after="0"/>
        <w:jc w:val="both"/>
        <w:rPr>
          <w:color w:val="auto"/>
          <w:sz w:val="24"/>
          <w:szCs w:val="24"/>
        </w:rPr>
      </w:pPr>
      <w:r>
        <w:rPr>
          <w:rFonts w:eastAsia="Times New Roman" w:cs="Times New Roman"/>
          <w:color w:val="auto"/>
          <w:sz w:val="24"/>
          <w:szCs w:val="24"/>
        </w:rPr>
        <w:tab/>
        <w:t>7.4. Кабельная продукция - не распространяющая горение, с низким дымо- и газовыделением (нг-LS), сечение - по расчёту токовых нагрузок и потерь напряжения.</w:t>
      </w:r>
    </w:p>
    <w:p>
      <w:pPr>
        <w:pStyle w:val="ListParagraph"/>
        <w:spacing w:lineRule="exact" w:line="276" w:before="0" w:after="0"/>
        <w:jc w:val="both"/>
        <w:rPr>
          <w:color w:val="auto"/>
          <w:sz w:val="24"/>
          <w:szCs w:val="24"/>
        </w:rPr>
      </w:pPr>
      <w:r>
        <w:rPr>
          <w:rFonts w:eastAsia="Times New Roman" w:cs="Times New Roman"/>
          <w:color w:val="auto"/>
          <w:sz w:val="24"/>
          <w:szCs w:val="24"/>
        </w:rPr>
        <w:tab/>
        <w:t>7.5. Система должна предусматривать не менее двух режимов управления освещением: автоматический (по фотореле/таймеру) и ручной (с щита управления).</w:t>
      </w:r>
    </w:p>
    <w:p>
      <w:pPr>
        <w:pStyle w:val="ListParagraph"/>
        <w:spacing w:lineRule="exact" w:line="276" w:before="0" w:after="0"/>
        <w:jc w:val="both"/>
        <w:rPr>
          <w:color w:val="auto"/>
          <w:sz w:val="24"/>
          <w:szCs w:val="24"/>
        </w:rPr>
      </w:pPr>
      <w:r>
        <w:rPr>
          <w:rFonts w:eastAsia="Times New Roman" w:cs="Times New Roman"/>
          <w:color w:val="auto"/>
          <w:sz w:val="24"/>
          <w:szCs w:val="24"/>
        </w:rPr>
        <w:tab/>
        <w:t>7.6. Оборудование должно быть новым, не бывшим в эксплуатации, с гарантией завода-изготовителя не менее 24 месяцев.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color w:val="auto"/>
          <w:sz w:val="24"/>
          <w:szCs w:val="24"/>
        </w:rPr>
        <w:tab/>
        <w:t>7.7. Подробная спецификация оборудования и материалов приведена в Ведомости (Приложение № 1 к настоящему ТЗ).</w:t>
      </w:r>
    </w:p>
    <w:p>
      <w:pPr>
        <w:pStyle w:val="Heading1"/>
        <w:spacing w:before="0" w:after="0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ab/>
        <w:t xml:space="preserve">8. Требования к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>установке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и электробезопасности</w:t>
      </w:r>
    </w:p>
    <w:p>
      <w:pPr>
        <w:pStyle w:val="ListParagraph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 xml:space="preserve">8.1. 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>Услуги оказываются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 xml:space="preserve"> персоналом, имеющим соответствующую квалификацию и группу допуска по электробезопасности не ниже III (для электроустановок до 1000В).</w:t>
      </w:r>
    </w:p>
    <w:p>
      <w:pPr>
        <w:pStyle w:val="ListParagraph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>8.2. Все скрытые и открытые электропроводки, места соединений и вводы в оборудование должны быть выполнены с соблюдением требований ПУЭ и обеспечивать степень защиты не ниже заявленной для наружной установки.</w:t>
      </w:r>
    </w:p>
    <w:p>
      <w:pPr>
        <w:pStyle w:val="ListParagraph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>8.3. Все металлические конструкции (опоры, короба, корпуса щитов) подлежат занулению/заземлению в соответствии с ПУЭ.</w:t>
      </w:r>
    </w:p>
    <w:p>
      <w:pPr>
        <w:pStyle w:val="ListParagraph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>7.4. Не допускается прокладка силовых кабелей охранного освещения в одном коробе/трассе с кабелями иных систем без разделительных перегородок, если это не предусмотрено проектом.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 xml:space="preserve">8.5. 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>Работы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 xml:space="preserve"> на высоте (монтаж опор, консольных светильников) должно выполняться с соблюдением требований охраны труда и с применением средств подмащивания/автовышек.</w:t>
      </w:r>
    </w:p>
    <w:p>
      <w:pPr>
        <w:pStyle w:val="ListParagraph"/>
        <w:spacing w:lineRule="exact" w:line="276" w:before="0" w:after="0"/>
        <w:jc w:val="both"/>
        <w:rPr>
          <w:b w:val="false"/>
          <w:bCs w:val="false"/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ab/>
        <w:t xml:space="preserve">9. Требования к срокам </w:t>
      </w:r>
      <w:r>
        <w:rPr>
          <w:rFonts w:eastAsia="Times New Roman" w:cs="Times New Roman"/>
          <w:b w:val="false"/>
          <w:bCs w:val="false"/>
          <w:sz w:val="24"/>
          <w:szCs w:val="24"/>
        </w:rPr>
        <w:t>оказания Услуг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ab/>
        <w:t xml:space="preserve">9.1. Общий срок </w:t>
      </w:r>
      <w:r>
        <w:rPr>
          <w:rFonts w:eastAsia="Times New Roman" w:cs="Times New Roman"/>
          <w:b w:val="false"/>
          <w:bCs w:val="false"/>
          <w:sz w:val="24"/>
          <w:szCs w:val="24"/>
        </w:rPr>
        <w:t>оказания Услуг</w:t>
      </w:r>
      <w:r>
        <w:rPr>
          <w:rFonts w:eastAsia="Times New Roman" w:cs="Times New Roman"/>
          <w:b w:val="false"/>
          <w:bCs w:val="false"/>
          <w:sz w:val="24"/>
          <w:szCs w:val="24"/>
        </w:rPr>
        <w:t xml:space="preserve">: </w:t>
      </w:r>
      <w:r>
        <w:rPr>
          <w:rFonts w:eastAsia="Times New Roman" w:cs="Times New Roman"/>
          <w:b/>
          <w:bCs/>
          <w:sz w:val="22"/>
          <w:szCs w:val="22"/>
        </w:rPr>
        <w:t>30 рабочих дней с даты подписания государственного контракта.</w:t>
      </w:r>
    </w:p>
    <w:p>
      <w:pPr>
        <w:pStyle w:val="Normal"/>
        <w:spacing w:lineRule="exact" w:line="276" w:before="0" w:after="0"/>
        <w:jc w:val="both"/>
        <w:rPr/>
      </w:pPr>
      <w:r>
        <w:rPr>
          <w:rFonts w:eastAsia="Times New Roman" w:cs="Times New Roman"/>
          <w:b w:val="false"/>
          <w:bCs w:val="false"/>
          <w:sz w:val="24"/>
          <w:szCs w:val="24"/>
        </w:rPr>
        <w:tab/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ab/>
        <w:t>10. Требования к исполнительной документации и сдаче-приёмке</w:t>
      </w:r>
    </w:p>
    <w:p>
      <w:pPr>
        <w:pStyle w:val="Normal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 xml:space="preserve">По </w:t>
      </w:r>
      <w:r>
        <w:rPr>
          <w:rFonts w:eastAsia="Times New Roman" w:cs="Times New Roman"/>
          <w:sz w:val="24"/>
          <w:szCs w:val="24"/>
        </w:rPr>
        <w:t>окончании Услуг</w:t>
      </w:r>
      <w:r>
        <w:rPr>
          <w:rFonts w:eastAsia="Times New Roman" w:cs="Times New Roman"/>
          <w:sz w:val="24"/>
          <w:szCs w:val="24"/>
        </w:rPr>
        <w:t xml:space="preserve"> Исполнитель передаёт Заказчику следующую документацию:</w:t>
      </w:r>
    </w:p>
    <w:p>
      <w:pPr>
        <w:pStyle w:val="Normal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Акт обследования объекта;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 xml:space="preserve">Согласованную схему размещения светильников, опор и кабельных трасс </w:t>
        <w:tab/>
        <w:t>(исполнительную схему);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Ведомость смонтированного оборудования и материалов с указанием заводских номеров (при наличии);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 xml:space="preserve">Сертификаты соответствия / декларации на применённое оборудование </w:t>
      </w:r>
      <w:r>
        <w:rPr>
          <w:rFonts w:eastAsia="Times New Roman" w:cs="Times New Roman"/>
          <w:sz w:val="24"/>
          <w:szCs w:val="24"/>
        </w:rPr>
        <w:t>(при необходимости)</w:t>
      </w:r>
      <w:r>
        <w:rPr>
          <w:rFonts w:eastAsia="Times New Roman" w:cs="Times New Roman"/>
          <w:sz w:val="24"/>
          <w:szCs w:val="24"/>
        </w:rPr>
        <w:t>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Протокол измерения уровня освещённости на контрольных точках;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Протокол измерения сопротивления изоляции кабельных линий;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Протокол измерения сопротивления заземляющего устройства;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П</w:t>
      </w:r>
      <w:r>
        <w:rPr>
          <w:rFonts w:eastAsia="Times New Roman" w:cs="Times New Roman"/>
          <w:sz w:val="24"/>
          <w:szCs w:val="24"/>
        </w:rPr>
        <w:t>аспорта и инструкции по эксплуатации на установленное оборудование;</w:t>
      </w:r>
    </w:p>
    <w:p>
      <w:pPr>
        <w:pStyle w:val="ListParagraph"/>
        <w:spacing w:lineRule="exact" w:line="276" w:before="0" w:after="0"/>
        <w:jc w:val="both"/>
        <w:rPr/>
      </w:pPr>
      <w:r>
        <w:rPr>
          <w:rFonts w:eastAsia="Times New Roman" w:cs="Times New Roman"/>
          <w:sz w:val="24"/>
          <w:szCs w:val="24"/>
        </w:rPr>
        <w:tab/>
        <w:t>Гарантийный талон (гарантийные обязательства).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Приёмка </w:t>
      </w:r>
      <w:r>
        <w:rPr>
          <w:rFonts w:eastAsia="Times New Roman" w:cs="Times New Roman"/>
          <w:sz w:val="24"/>
          <w:szCs w:val="24"/>
        </w:rPr>
        <w:t>оказанных услуг</w:t>
      </w:r>
      <w:r>
        <w:rPr>
          <w:rFonts w:eastAsia="Times New Roman" w:cs="Times New Roman"/>
          <w:sz w:val="24"/>
          <w:szCs w:val="24"/>
        </w:rPr>
        <w:t xml:space="preserve"> осуществляется комиссией с участием представителей Заказчика и Исполнителя (Подрядчика) с оформлением акта сдачи-приёмки </w:t>
      </w:r>
      <w:r>
        <w:rPr>
          <w:rFonts w:eastAsia="Times New Roman" w:cs="Times New Roman"/>
          <w:sz w:val="24"/>
          <w:szCs w:val="24"/>
        </w:rPr>
        <w:t>оказанных Услуг</w:t>
      </w:r>
      <w:r>
        <w:rPr>
          <w:rFonts w:eastAsia="Times New Roman" w:cs="Times New Roman"/>
          <w:sz w:val="24"/>
          <w:szCs w:val="24"/>
        </w:rPr>
        <w:t>.</w:t>
      </w:r>
    </w:p>
    <w:p>
      <w:pPr>
        <w:pStyle w:val="Heading1"/>
        <w:spacing w:before="0" w:after="0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ab/>
        <w:t>11. Гарантийные обязательства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 xml:space="preserve">11.1. Гарантийный срок  не менее 24 (двадцати четырёх) месяцев с даты подписания акта сдачи-приёмки 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>оказанных услуг.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>11.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>2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>. В течение гарантийного срока Исполнитель обязан за свой счёт устранять выявленные недостатки (дефекты монтажа, неисправности оборудования по вине Исполнителя) в срок не более 5 (пяти) рабочих дней с момента получения уведомления от Заказчика.</w:t>
      </w:r>
    </w:p>
    <w:p>
      <w:pPr>
        <w:pStyle w:val="Heading1"/>
        <w:spacing w:before="0" w:after="0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ab/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</w:r>
    </w:p>
    <w:p>
      <w:pPr>
        <w:pStyle w:val="Heading1"/>
        <w:spacing w:before="0" w:after="0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ab/>
        <w:t>1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>. Приложения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>Приложение № 1 «Ведомость оборудования и материалов».</w:t>
      </w:r>
    </w:p>
    <w:p>
      <w:pPr>
        <w:pStyle w:val="Normal"/>
        <w:spacing w:lineRule="exact" w:line="276" w:before="0" w:after="0"/>
        <w:jc w:val="both"/>
        <w:rPr>
          <w:b w:val="false"/>
          <w:bCs w:val="false"/>
          <w:color w:val="auto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</w:rPr>
        <w:tab/>
        <w:t>Приложение № 2 «Ведомость объёмов работ».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ab/>
        <w:tab/>
        <w:tab/>
        <w:tab/>
        <w:tab/>
        <w:tab/>
        <w:tab/>
        <w:tab/>
        <w:tab/>
        <w:t xml:space="preserve">    </w:t>
      </w:r>
      <w:r>
        <w:rPr>
          <w:rFonts w:eastAsia="Times New Roman" w:cs="Times New Roman"/>
          <w:b w:val="false"/>
          <w:bCs w:val="false"/>
          <w:sz w:val="22"/>
          <w:szCs w:val="22"/>
        </w:rPr>
        <w:t xml:space="preserve"> Приложение к ООЗ № 1</w:t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 xml:space="preserve">ВЕДОМОСТЬ  </w:t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>оборудования и материалов</w:t>
      </w:r>
    </w:p>
    <w:p>
      <w:pPr>
        <w:pStyle w:val="Normal"/>
        <w:spacing w:before="0" w:after="0"/>
        <w:jc w:val="center"/>
        <w:rPr>
          <w:rFonts w:eastAsia="Times New Roman" w:cs="Times New Roman"/>
          <w:sz w:val="12"/>
          <w:szCs w:val="12"/>
        </w:rPr>
      </w:pPr>
      <w:r>
        <w:rPr>
          <w:rFonts w:eastAsia="Times New Roman" w:cs="Times New Roman"/>
          <w:sz w:val="12"/>
          <w:szCs w:val="12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95" w:type="dxa"/>
          <w:bottom w:w="60" w:type="dxa"/>
          <w:right w:w="100" w:type="dxa"/>
        </w:tblCellMar>
      </w:tblPr>
      <w:tblGrid>
        <w:gridCol w:w="597"/>
        <w:gridCol w:w="3202"/>
        <w:gridCol w:w="2201"/>
        <w:gridCol w:w="899"/>
        <w:gridCol w:w="900"/>
        <w:gridCol w:w="1501"/>
      </w:tblGrid>
      <w:tr>
        <w:trPr>
          <w:tblHeader w:val="true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Наименование оборудования / материала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Примечание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Светодиодный прожектор охранного освещения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IP65, 50–100 Вт, 4000–5000К, корпус металл, антивандальное исполнение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шт.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по периметру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Светильник консольный (для опор освещения)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IP65, LED, 50–100 Вт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шт.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при наличии опор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Опора освещения металлическая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выс. 4–6 м, оцинкованная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шт.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при отсутствии опор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Фотореле (датчик освещённости)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IP54, 220В, порог срабатывания регулируемый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шт.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автоматич. включение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Датчик движения (ИК)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IP65, угол обзора 120–180°, дальность до 12 м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шт.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по зонам периметра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Щит управления охранным освещением (ЩО)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IP54, с автоматами защиты, УЗО, контактором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компл.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с местом под фотореле/таймер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Автоматический выключатель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1–3 полюсный, согласно расчётным токам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шт.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по группам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Устройство защитного отключения (УЗО)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30 мА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шт.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по группам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Кабель силовой ВВГнг(А)-LS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сечение по расчёту (мин. 3х2,5)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по трассе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Труба гофрированная ПНД / металлорукав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для защиты кабеля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открытая/скрытая прокладка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Короб кабельный ПВХ / лоток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для кабельных трасс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по месту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Крепёжные элементы, кронштейны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оцинкованные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компл.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по числу светильников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Заземляющий проводник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ПВ3 сечением по ПУЭ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контур заземления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Маркировка кабелей и линий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бирки, короба маркировочные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компл.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исполнительная документация</w:t>
            </w:r>
          </w:p>
        </w:tc>
      </w:tr>
    </w:tbl>
    <w:p>
      <w:pPr>
        <w:pStyle w:val="Normal"/>
        <w:spacing w:before="160" w:after="0"/>
        <w:rPr/>
      </w:pPr>
      <w:r>
        <w:rPr>
          <w:rFonts w:eastAsia="Times New Roman" w:cs="Times New Roman"/>
          <w:i/>
          <w:iCs/>
          <w:sz w:val="18"/>
          <w:szCs w:val="18"/>
        </w:rPr>
        <w:t>Примечание: точные количества и характеристики оборудования уточняются по результатам обследования объекта и подлежат согласованию с Заказчиком в составе рабочей документации.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eastAsia="Times New Roman" w:cs="Times New Roman"/>
          <w:b w:val="false"/>
          <w:bCs w:val="false"/>
          <w:sz w:val="22"/>
          <w:szCs w:val="22"/>
        </w:rPr>
        <w:t>Приложение к ООЗ № 2</w:t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 xml:space="preserve">ВЕДОМОСТЬ </w:t>
      </w:r>
    </w:p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>оказываемых Услуг</w:t>
      </w:r>
    </w:p>
    <w:p>
      <w:pPr>
        <w:pStyle w:val="Normal"/>
        <w:spacing w:before="0" w:after="0"/>
        <w:jc w:val="center"/>
        <w:rPr>
          <w:rFonts w:eastAsia="Times New Roman" w:cs="Times New Roman"/>
          <w:sz w:val="12"/>
          <w:szCs w:val="12"/>
        </w:rPr>
      </w:pPr>
      <w:r>
        <w:rPr>
          <w:rFonts w:eastAsia="Times New Roman" w:cs="Times New Roman"/>
          <w:sz w:val="12"/>
          <w:szCs w:val="12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95" w:type="dxa"/>
          <w:bottom w:w="60" w:type="dxa"/>
          <w:right w:w="100" w:type="dxa"/>
        </w:tblCellMar>
      </w:tblPr>
      <w:tblGrid>
        <w:gridCol w:w="597"/>
        <w:gridCol w:w="5501"/>
        <w:gridCol w:w="1302"/>
        <w:gridCol w:w="1900"/>
      </w:tblGrid>
      <w:tr>
        <w:trPr>
          <w:tblHeader w:val="true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Наименование работ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Объём (уточняется по факту обследования)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Обследование объекта, разработка исполнительной схемы размещения светильников и трасс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объект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Разработка (согласование) рабочей документации на охранное освещение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компл.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Монтаж опор освещения (при отсутствии существующих)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шт.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Монтаж прожекторов / светильников охранного освещения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шт.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Монтаж щита управления освещением (ЩО)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компл.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Прокладка кабельных линий (наружная/скрытая)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м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Монтаж датчиков движения и фотореле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шт.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уточн.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Устройство контура заземления / подключение к существующему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компл.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Пусконаладочные работы, проверка срабатывания автоматики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компл.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Испытания (измерение освещённости, сопротивления изоляции, заземления)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компл.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Оформление исполнительной документации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компл.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</w:rPr>
              <w:t>3</w:t>
            </w:r>
          </w:p>
        </w:tc>
      </w:tr>
    </w:tbl>
    <w:p>
      <w:pPr>
        <w:pStyle w:val="Normal"/>
        <w:spacing w:before="600" w:after="0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swiss"/>
    <w:pitch w:val="variable"/>
  </w:font>
  <w:font w:name="Open San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rFonts w:eastAsia="Times New Roman" w:cs="Times New Roman"/>
        <w:i/>
        <w:iCs/>
        <w:sz w:val="18"/>
        <w:szCs w:val="18"/>
      </w:rPr>
    </w:pPr>
    <w:r>
      <w:rPr>
        <w:rFonts w:eastAsia="Times New Roman" w:cs="Times New Roman"/>
        <w:i/>
        <w:iCs/>
        <w:sz w:val="18"/>
        <w:szCs w:val="18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rFonts w:eastAsia="Times New Roman" w:cs="Times New Roman"/>
        <w:i/>
        <w:iCs/>
        <w:sz w:val="18"/>
        <w:szCs w:val="18"/>
      </w:rPr>
    </w:pPr>
    <w:r>
      <w:rPr>
        <w:rFonts w:eastAsia="Times New Roman" w:cs="Times New Roman"/>
        <w:i/>
        <w:iCs/>
        <w:sz w:val="18"/>
        <w:szCs w:val="18"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Lohit Devanagari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user2"/>
    <w:qFormat/>
    <w:pPr/>
    <w:rPr>
      <w:color w:val="2E74B5"/>
      <w:sz w:val="32"/>
      <w:szCs w:val="32"/>
    </w:rPr>
  </w:style>
  <w:style w:type="paragraph" w:styleId="Heading2">
    <w:name w:val="heading 2"/>
    <w:basedOn w:val="user2"/>
    <w:qFormat/>
    <w:pPr/>
    <w:rPr>
      <w:color w:val="2E74B5"/>
      <w:sz w:val="26"/>
      <w:szCs w:val="26"/>
    </w:rPr>
  </w:style>
  <w:style w:type="paragraph" w:styleId="Heading3">
    <w:name w:val="heading 3"/>
    <w:basedOn w:val="user2"/>
    <w:qFormat/>
    <w:pPr/>
    <w:rPr>
      <w:color w:val="1F4D78"/>
      <w:sz w:val="24"/>
      <w:szCs w:val="24"/>
    </w:rPr>
  </w:style>
  <w:style w:type="paragraph" w:styleId="Heading4">
    <w:name w:val="heading 4"/>
    <w:basedOn w:val="user2"/>
    <w:qFormat/>
    <w:pPr/>
    <w:rPr>
      <w:i/>
      <w:iCs/>
      <w:color w:val="2E74B5"/>
    </w:rPr>
  </w:style>
  <w:style w:type="paragraph" w:styleId="Heading5">
    <w:name w:val="heading 5"/>
    <w:basedOn w:val="user2"/>
    <w:qFormat/>
    <w:pPr/>
    <w:rPr>
      <w:color w:val="2E74B5"/>
    </w:rPr>
  </w:style>
  <w:style w:type="paragraph" w:styleId="Heading6">
    <w:name w:val="heading 6"/>
    <w:basedOn w:val="user2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user">
    <w:name w:val="Символ сноски (user)"/>
    <w:uiPriority w:val="99"/>
    <w:semiHidden/>
    <w:unhideWhenUsed/>
    <w:qFormat/>
    <w:rPr>
      <w:vertAlign w:val="superscript"/>
    </w:rPr>
  </w:style>
  <w:style w:type="character" w:styleId="Style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user1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Style9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Droid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user2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b/>
      <w:bCs/>
      <w:color w:val="auto"/>
      <w:kern w:val="0"/>
      <w:sz w:val="20"/>
      <w:szCs w:val="20"/>
      <w:lang w:val="ru-RU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12">
    <w:name w:val="Колонтитул"/>
    <w:basedOn w:val="Normal"/>
    <w:qFormat/>
    <w:pPr/>
    <w:rPr/>
  </w:style>
  <w:style w:type="paragraph" w:styleId="Style13">
    <w:name w:val="Колонтитулы"/>
    <w:basedOn w:val="Normal"/>
    <w:qFormat/>
    <w:pPr/>
    <w:rPr/>
  </w:style>
  <w:style w:type="paragraph" w:styleId="Header">
    <w:name w:val="header"/>
    <w:basedOn w:val="Style12"/>
    <w:pPr/>
    <w:rPr/>
  </w:style>
  <w:style w:type="paragraph" w:styleId="Footer">
    <w:name w:val="footer"/>
    <w:basedOn w:val="Style12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137</TotalTime>
  <Application>LibreOffice/26.2.2.2$Linux_X86_64 LibreOffice_project/620$Build-2</Application>
  <AppVersion>15.0000</AppVersion>
  <Pages>6</Pages>
  <Words>1629</Words>
  <Characters>11623</Characters>
  <CharactersWithSpaces>13263</CharactersWithSpaces>
  <Paragraphs>245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2026-08-24T18:29:26Z</dcterms:created>
  <dc:creator>Un-named</dc:creator>
  <dc:description/>
  <dc:language>ru-RU</dc:language>
  <cp:lastModifiedBy/>
  <dcterms:modified xsi:type="dcterms:W3CDTF">2026-10-14T16:40:14Z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