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ОПИСАНИЕ ОБЪЕКТА ЗАКУПКИ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spacing w:after="0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sz w:val="24"/>
          <w:szCs w:val="24"/>
        </w:rPr>
        <w:t xml:space="preserve">на поставку книг для комплектования библиотечного фонда </w:t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jc w:val="center"/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left="-142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Код по БК: 05609010142190059244310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left="-142"/>
        <w:spacing w:after="0"/>
        <w:tabs>
          <w:tab w:val="left" w:pos="8505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Способ определения поставщика: единственный поставщик (в соответствии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с п. 4 ч. 1 ст. 93 № 44-ФЗ)    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left="-142"/>
        <w:spacing w:after="0"/>
        <w:tabs>
          <w:tab w:val="left" w:pos="8505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Планируемый срок начала</w:t>
      </w:r>
      <w:r>
        <w:rPr>
          <w:rFonts w:ascii="Times New Roman" w:hAnsi="Times New Roman"/>
          <w:sz w:val="24"/>
          <w:szCs w:val="24"/>
        </w:rPr>
        <w:t xml:space="preserve"> осуществ</w:t>
      </w:r>
      <w:r>
        <w:rPr>
          <w:rFonts w:ascii="Times New Roman" w:hAnsi="Times New Roman"/>
          <w:sz w:val="24"/>
          <w:szCs w:val="24"/>
        </w:rPr>
        <w:t xml:space="preserve">ления закупки: октябрь </w:t>
      </w:r>
      <w:r>
        <w:rPr>
          <w:rFonts w:ascii="Times New Roman" w:hAnsi="Times New Roman"/>
          <w:sz w:val="24"/>
          <w:szCs w:val="24"/>
        </w:rPr>
        <w:t xml:space="preserve">2026 г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left="-142"/>
        <w:spacing w:after="0"/>
        <w:tabs>
          <w:tab w:val="left" w:pos="8505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Описание объекта закупки: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0"/>
        <w:tabs>
          <w:tab w:val="left" w:pos="8505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tbl>
      <w:tblPr>
        <w:tblW w:w="15307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1559"/>
        <w:gridCol w:w="1843"/>
        <w:gridCol w:w="1701"/>
        <w:gridCol w:w="2126"/>
        <w:gridCol w:w="709"/>
        <w:gridCol w:w="992"/>
        <w:gridCol w:w="1134"/>
        <w:gridCol w:w="1276"/>
      </w:tblGrid>
      <w:tr>
        <w:tblPrEx/>
        <w:trPr>
          <w:trHeight w:val="387"/>
        </w:trPr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№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Наименование товара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ОКПД</w:t>
            </w: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  <w:t xml:space="preserve">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КТРУ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W w:w="5669" w:type="dxa"/>
            <w:vAlign w:val="center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Характеристика товара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Ед. изм.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Кол-во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Цена за </w:t>
            </w:r>
            <w:r>
              <w:rPr>
                <w:rFonts w:ascii="Times New Roman" w:hAnsi="Times New Roman" w:eastAsia="Times New Roman" w:cs="Times New Roman"/>
              </w:rPr>
              <w:t xml:space="preserve">ед</w:t>
            </w:r>
            <w:r>
              <w:rPr>
                <w:rFonts w:ascii="Times New Roman" w:hAnsi="Times New Roman" w:eastAsia="Times New Roman" w:cs="Times New Roman"/>
              </w:rPr>
              <w:t xml:space="preserve">.и</w:t>
            </w:r>
            <w:r>
              <w:rPr>
                <w:rFonts w:ascii="Times New Roman" w:hAnsi="Times New Roman" w:eastAsia="Times New Roman" w:cs="Times New Roman"/>
              </w:rPr>
              <w:t xml:space="preserve">зм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(руб.)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Сумма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(руб.)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blPrEx/>
        <w:trPr>
          <w:trHeight w:val="1402"/>
        </w:trPr>
        <w:tc>
          <w:tcPr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3260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Наименование характеристики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Инструкция по заполнению характеристик в заявке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bottom w:val="none" w:color="000000" w:sz="4" w:space="0"/>
            </w:tcBorders>
            <w:tcW w:w="99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bottom w:val="none" w:color="000000" w:sz="4" w:space="0"/>
            </w:tcBorders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27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Абдуллаев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Избыточная мотивация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</w:rPr>
              <w:t xml:space="preserve">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Мягкий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285,67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285,67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Абдуллаев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Пьедестал для аутсайдера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</w:rPr>
              <w:t xml:space="preserve">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Мягкий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276,43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276,43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Алюшина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Еще раз про любовь</w:t>
            </w:r>
            <w:r>
              <w:rPr>
                <w:rFonts w:ascii="Times New Roman" w:hAnsi="Times New Roman" w:eastAsia="Times New Roman" w:cs="Times New Roman"/>
              </w:rPr>
              <w:t xml:space="preserve"> М</w:t>
            </w:r>
            <w:r>
              <w:rPr>
                <w:rFonts w:ascii="Times New Roman" w:hAnsi="Times New Roman" w:eastAsia="Times New Roman" w:cs="Times New Roman"/>
              </w:rPr>
              <w:t xml:space="preserve">еняя формат Судьбы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</w:rPr>
              <w:t xml:space="preserve">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</w:rPr>
              <w:t xml:space="preserve">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493,57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493,57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Алюшина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Еще раз про любовь Невероятная очевидность чуда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</w:rPr>
              <w:t xml:space="preserve">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438,13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438,13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Алюшина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Еще раз про любовь Новые райские кущи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</w:rPr>
              <w:t xml:space="preserve">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347,27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347,27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Брук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Уютные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Расследования Пирожки со вкусом преступления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424,27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424,27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Вербер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Вальс душ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687,61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687,61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872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Водолазкин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НовРусКлассика</w:t>
            </w:r>
            <w:r>
              <w:rPr>
                <w:rFonts w:ascii="Times New Roman" w:hAnsi="Times New Roman" w:eastAsia="Times New Roman" w:cs="Times New Roman"/>
              </w:rPr>
              <w:t xml:space="preserve"> Последнее дело майора Чистова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1 161,16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1 161,16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Дашкевич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Граф </w:t>
            </w:r>
            <w:r>
              <w:rPr>
                <w:rFonts w:ascii="Times New Roman" w:hAnsi="Times New Roman" w:eastAsia="Times New Roman" w:cs="Times New Roman"/>
              </w:rPr>
              <w:t xml:space="preserve">Аверин</w:t>
            </w:r>
            <w:r>
              <w:rPr>
                <w:rFonts w:ascii="Times New Roman" w:hAnsi="Times New Roman" w:eastAsia="Times New Roman" w:cs="Times New Roman"/>
              </w:rPr>
              <w:t xml:space="preserve"> Колдун Российской империи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541,31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541,31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Дашкевич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Демон из Пустоши Колдун Российской империи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541,31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541,31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Дашкевич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</w:rPr>
              <w:t xml:space="preserve">Императорский Див Колдун Российской империи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649,11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649,11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Дашкевич «Тайна мертвого ректора Книга 1»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571,34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571,34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Дашкевич «Тайна мертвого ректора Книга 2»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541,31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541,31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Джио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Ретроградня</w:t>
            </w:r>
            <w:r>
              <w:rPr>
                <w:rFonts w:ascii="Times New Roman" w:hAnsi="Times New Roman" w:eastAsia="Times New Roman" w:cs="Times New Roman"/>
              </w:rPr>
              <w:t xml:space="preserve"> Венера»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593,67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593,67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Качур «Желчный Ангел»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527,45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527,45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Качур «</w:t>
            </w:r>
            <w:r>
              <w:rPr>
                <w:rFonts w:ascii="Times New Roman" w:hAnsi="Times New Roman" w:eastAsia="Times New Roman" w:cs="Times New Roman"/>
              </w:rPr>
              <w:t xml:space="preserve">Капля духов в открытую рану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527,45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527,45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Качур «</w:t>
            </w:r>
            <w:r>
              <w:rPr>
                <w:rFonts w:ascii="Times New Roman" w:hAnsi="Times New Roman" w:eastAsia="Times New Roman" w:cs="Times New Roman"/>
              </w:rPr>
              <w:t xml:space="preserve">Почти счастливые люди Копия Веры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508,97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508,97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Кейли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Дежавю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656,81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656,81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Кейли</w:t>
            </w:r>
            <w:r>
              <w:rPr>
                <w:rFonts w:ascii="Times New Roman" w:hAnsi="Times New Roman" w:eastAsia="Times New Roman" w:cs="Times New Roman"/>
              </w:rPr>
              <w:t xml:space="preserve"> «Жатва»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554,40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554,40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Князева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Таинственный де</w:t>
            </w:r>
            <w:r>
              <w:rPr>
                <w:rFonts w:ascii="Times New Roman" w:hAnsi="Times New Roman" w:eastAsia="Times New Roman" w:cs="Times New Roman"/>
              </w:rPr>
              <w:t xml:space="preserve">тектив Хозяин шелковой куклы»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Мягкий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285,67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285,67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Князевы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Таинственный детектив Лето не вечно</w:t>
            </w:r>
            <w:r>
              <w:rPr>
                <w:rFonts w:ascii="Times New Roman" w:hAnsi="Times New Roman" w:eastAsia="Times New Roman" w:cs="Times New Roman"/>
              </w:rPr>
              <w:t xml:space="preserve">»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296,45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296,45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Колычев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Родное логово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Мягкий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285,67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285,67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  <w:t xml:space="preserve">Корсакова «Лисья тень» (Лисье золото #2)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563,64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563,64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Лавгуд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Уютные Расследования</w:t>
            </w:r>
            <w:r>
              <w:rPr>
                <w:rFonts w:ascii="Times New Roman" w:hAnsi="Times New Roman" w:eastAsia="Times New Roman" w:cs="Times New Roman"/>
              </w:rPr>
              <w:t xml:space="preserve"> Клубок загадок и шерсти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433,51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433,51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Люксли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Уютные Расследования</w:t>
            </w:r>
            <w:r>
              <w:rPr>
                <w:rFonts w:ascii="Times New Roman" w:hAnsi="Times New Roman" w:eastAsia="Times New Roman" w:cs="Times New Roman"/>
              </w:rPr>
              <w:t xml:space="preserve"> Чай со смертью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393,47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393,47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Маринина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Посох двуликого Януса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605,99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605,99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Мартен-Люган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Corpus </w:t>
            </w:r>
            <w:r>
              <w:rPr>
                <w:rFonts w:ascii="Times New Roman" w:hAnsi="Times New Roman" w:eastAsia="Times New Roman" w:cs="Times New Roman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</w:rPr>
              <w:t xml:space="preserve">roman</w:t>
            </w:r>
            <w:r>
              <w:rPr>
                <w:rFonts w:ascii="Times New Roman" w:hAnsi="Times New Roman" w:eastAsia="Times New Roman" w:cs="Times New Roman"/>
              </w:rPr>
              <w:t xml:space="preserve">) Простить забыть воскреснуть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737,66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737,66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Михалкова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Безупречный Детектив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Мертвый кролик живой кролик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Мягкий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282,59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282,59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Муляр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Дом на птичьем острове Книга первая Рожденная быть второй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593,67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593,67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Муляр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Дом на птичьем острове Книга вторая</w:t>
            </w:r>
            <w:r>
              <w:rPr>
                <w:rFonts w:ascii="Times New Roman" w:hAnsi="Times New Roman" w:eastAsia="Times New Roman" w:cs="Times New Roman"/>
              </w:rPr>
              <w:t xml:space="preserve"> Н</w:t>
            </w:r>
            <w:r>
              <w:rPr>
                <w:rFonts w:ascii="Times New Roman" w:hAnsi="Times New Roman" w:eastAsia="Times New Roman" w:cs="Times New Roman"/>
              </w:rPr>
              <w:t xml:space="preserve">аперегонки с ветром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593,67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593,67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Полякова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Тайна против всех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610,61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610,61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Поляковы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Одна тайная ставка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610,61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610,61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</w:tbl>
    <w:p>
      <w:pPr>
        <w:pStyle w:val="7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15307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401"/>
        <w:gridCol w:w="1559"/>
        <w:gridCol w:w="1843"/>
        <w:gridCol w:w="1701"/>
        <w:gridCol w:w="2126"/>
        <w:gridCol w:w="709"/>
        <w:gridCol w:w="992"/>
        <w:gridCol w:w="1134"/>
        <w:gridCol w:w="1276"/>
      </w:tblGrid>
      <w:tr>
        <w:tblPrEx/>
        <w:trPr>
          <w:trHeight w:val="1074"/>
        </w:trPr>
        <w:tc>
          <w:tcPr>
            <w:tcW w:w="567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Поляковы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Племя Майи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593,67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593,67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567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Поляковы «</w:t>
            </w:r>
            <w:r>
              <w:rPr>
                <w:rFonts w:ascii="Times New Roman" w:hAnsi="Times New Roman" w:eastAsia="Times New Roman" w:cs="Times New Roman"/>
              </w:rPr>
              <w:t xml:space="preserve">Тень у порога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491,26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491,26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567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Поляковы «</w:t>
            </w:r>
            <w:r>
              <w:rPr>
                <w:rFonts w:ascii="Times New Roman" w:hAnsi="Times New Roman" w:eastAsia="Times New Roman" w:cs="Times New Roman"/>
              </w:rPr>
              <w:t xml:space="preserve">Три с половиной оборота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593,67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593,67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567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Райли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Девушка из Италии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687,61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687,61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567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Реньжина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Бабушка сказала сидеть тихо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476,63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476,63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567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Свечин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Исторические детективы Ледяной ветер Суоми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558,25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558,25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567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Свечин «</w:t>
            </w:r>
            <w:r>
              <w:rPr>
                <w:rFonts w:ascii="Times New Roman" w:hAnsi="Times New Roman" w:eastAsia="Times New Roman" w:cs="Times New Roman"/>
              </w:rPr>
              <w:t xml:space="preserve">Исторические детективы Секретные люди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632,17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632,17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567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Смелик</w:t>
            </w:r>
            <w:r>
              <w:rPr>
                <w:rFonts w:ascii="Times New Roman" w:hAnsi="Times New Roman" w:eastAsia="Times New Roman" w:cs="Times New Roman"/>
              </w:rPr>
              <w:t xml:space="preserve"> Горбунова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Зимняя смерть в пионерском галстуке Предыстория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571,34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571,34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567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Спаркс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Спарк</w:t>
            </w:r>
            <w:r>
              <w:rPr>
                <w:rFonts w:ascii="Times New Roman" w:hAnsi="Times New Roman" w:eastAsia="Times New Roman" w:cs="Times New Roman"/>
              </w:rPr>
              <w:t xml:space="preserve">с </w:t>
            </w:r>
            <w:r>
              <w:rPr>
                <w:rFonts w:ascii="Times New Roman" w:hAnsi="Times New Roman" w:eastAsia="Times New Roman" w:cs="Times New Roman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</w:rPr>
              <w:t xml:space="preserve">лучшее) Дневник памяти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294,91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294,91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567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Степанова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По следам громких дел Занавес памяти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477,40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477,40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567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Сухов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Тревожна</w:t>
            </w:r>
            <w:r>
              <w:rPr>
                <w:rFonts w:ascii="Times New Roman" w:hAnsi="Times New Roman" w:eastAsia="Times New Roman" w:cs="Times New Roman"/>
              </w:rPr>
              <w:t xml:space="preserve">я весна 45-го Казанский Каин»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Мягкий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285,67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285,67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567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Сухов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Тревожная весна 4</w:t>
            </w:r>
            <w:r>
              <w:rPr>
                <w:rFonts w:ascii="Times New Roman" w:hAnsi="Times New Roman" w:eastAsia="Times New Roman" w:cs="Times New Roman"/>
              </w:rPr>
              <w:t xml:space="preserve">5-го Ловушка для стервятника»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Мягкий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329,56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329,56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567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Тамоников</w:t>
            </w:r>
            <w:r>
              <w:rPr>
                <w:rFonts w:ascii="Times New Roman" w:hAnsi="Times New Roman" w:eastAsia="Times New Roman" w:cs="Times New Roman"/>
              </w:rPr>
              <w:t xml:space="preserve"> «Спецназ КГБ Прятки для взрослых»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Мягкий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266,42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266,42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567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Тодд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LAV </w:t>
            </w:r>
            <w:r>
              <w:rPr>
                <w:rFonts w:ascii="Times New Roman" w:hAnsi="Times New Roman" w:eastAsia="Times New Roman" w:cs="Times New Roman"/>
              </w:rPr>
              <w:t xml:space="preserve">Темный Рома</w:t>
            </w:r>
            <w:r>
              <w:rPr>
                <w:rFonts w:ascii="Times New Roman" w:hAnsi="Times New Roman" w:eastAsia="Times New Roman" w:cs="Times New Roman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</w:rPr>
              <w:t xml:space="preserve">на русском) Синие бабочки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577,50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577,50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567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Трауб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Кризис чужого возраста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656,81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656,81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567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Трауб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На память милой </w:t>
            </w:r>
            <w:r>
              <w:rPr>
                <w:rFonts w:ascii="Times New Roman" w:hAnsi="Times New Roman" w:eastAsia="Times New Roman" w:cs="Times New Roman"/>
              </w:rPr>
              <w:t xml:space="preserve">Стефе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638,33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638,33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567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Трауб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Тропа желаний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485,10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485,10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567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Устинова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Первая среди лучших Тени южной ночи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541,31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541,31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567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Устинова Астахов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Дела судебные</w:t>
            </w:r>
            <w:r>
              <w:rPr>
                <w:rFonts w:ascii="Times New Roman" w:hAnsi="Times New Roman" w:eastAsia="Times New Roman" w:cs="Times New Roman"/>
              </w:rPr>
              <w:t xml:space="preserve"> Б</w:t>
            </w:r>
            <w:r>
              <w:rPr>
                <w:rFonts w:ascii="Times New Roman" w:hAnsi="Times New Roman" w:eastAsia="Times New Roman" w:cs="Times New Roman"/>
              </w:rPr>
              <w:t xml:space="preserve">ез брака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638,33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638,33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567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Устинова Астахов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Дела судебные Квартира в раю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525,14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525,14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567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Уэйр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Расследование (</w:t>
            </w:r>
            <w:r>
              <w:rPr>
                <w:rFonts w:ascii="Times New Roman" w:hAnsi="Times New Roman" w:eastAsia="Times New Roman" w:cs="Times New Roman"/>
              </w:rPr>
              <w:t xml:space="preserve">Neo</w:t>
            </w:r>
            <w:r>
              <w:rPr>
                <w:rFonts w:ascii="Times New Roman" w:hAnsi="Times New Roman" w:eastAsia="Times New Roman" w:cs="Times New Roman"/>
              </w:rPr>
              <w:t xml:space="preserve">) Одна идеальная пара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676,06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676,06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567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Уэйр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Хиты Экрана</w:t>
            </w:r>
            <w:r>
              <w:rPr>
                <w:rFonts w:ascii="Times New Roman" w:hAnsi="Times New Roman" w:eastAsia="Times New Roman" w:cs="Times New Roman"/>
              </w:rPr>
              <w:t xml:space="preserve"> Девушка из каюты № 10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537,46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537,46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567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Филипп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Кафе на острове Сен-Луи Родственные души всегда находят друг друга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444,29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444,29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567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Шарапов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Советс</w:t>
            </w:r>
            <w:r>
              <w:rPr>
                <w:rFonts w:ascii="Times New Roman" w:hAnsi="Times New Roman" w:eastAsia="Times New Roman" w:cs="Times New Roman"/>
              </w:rPr>
              <w:t xml:space="preserve">кая милиция Смертельный кадр»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Мягкий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285,67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285,67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  <w:tr>
        <w:tblPrEx/>
        <w:trPr>
          <w:trHeight w:val="1074"/>
        </w:trPr>
        <w:tc>
          <w:tcPr>
            <w:tcW w:w="567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Яррос</w:t>
            </w:r>
            <w:r>
              <w:rPr>
                <w:rFonts w:ascii="Times New Roman" w:hAnsi="Times New Roman" w:eastAsia="Times New Roman" w:cs="Times New Roman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</w:rPr>
              <w:t xml:space="preserve">Азбука Суперпроект Вариация</w:t>
            </w:r>
            <w:r>
              <w:rPr>
                <w:rFonts w:ascii="Times New Roman" w:hAnsi="Times New Roman" w:eastAsia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58.11.19.000/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переплет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Твердый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1 176,56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704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1 176,56</w:t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  <w:r>
              <w:rPr>
                <w:rFonts w:ascii="Times New Roman" w:hAnsi="Times New Roman" w:cs="Times New Roman"/>
                <w:bCs/>
                <w:color w:val="000000"/>
              </w:rPr>
            </w:r>
          </w:p>
        </w:tc>
      </w:tr>
    </w:tbl>
    <w:p>
      <w:r/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Н</w:t>
      </w:r>
      <w:r>
        <w:rPr>
          <w:rFonts w:ascii="Times New Roman" w:hAnsi="Times New Roman"/>
          <w:sz w:val="24"/>
          <w:szCs w:val="24"/>
        </w:rPr>
        <w:t xml:space="preserve">ачальная (максимальная) цена контракта: </w:t>
      </w:r>
      <w:r>
        <w:rPr>
          <w:rFonts w:ascii="Times New Roman" w:hAnsi="Times New Roman"/>
          <w:sz w:val="24"/>
          <w:szCs w:val="24"/>
        </w:rPr>
        <w:t xml:space="preserve">30 061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тридцать тысяч шестьдесят один)</w:t>
      </w:r>
      <w:r>
        <w:rPr>
          <w:rFonts w:ascii="Times New Roman" w:hAnsi="Times New Roman"/>
          <w:sz w:val="24"/>
          <w:szCs w:val="24"/>
        </w:rPr>
        <w:t xml:space="preserve"> рубль 57 копеек.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Дополнительные условия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6"/>
        </w:num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поставки: 420045, РФ, РТ, город Казань, улица Николая Ершова, дом 49-а.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9"/>
        <w:numPr>
          <w:ilvl w:val="0"/>
          <w:numId w:val="5"/>
        </w:num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поставки товара: </w:t>
      </w:r>
      <w:r>
        <w:rPr>
          <w:rFonts w:ascii="Times New Roman" w:hAnsi="Times New Roman"/>
          <w:sz w:val="24"/>
          <w:szCs w:val="24"/>
        </w:rPr>
        <w:t xml:space="preserve">с даты заключения</w:t>
      </w:r>
      <w:r>
        <w:rPr>
          <w:rFonts w:ascii="Times New Roman" w:hAnsi="Times New Roman"/>
          <w:sz w:val="24"/>
          <w:szCs w:val="24"/>
        </w:rPr>
        <w:t xml:space="preserve"> контракта по 31.12.</w:t>
      </w:r>
      <w:r>
        <w:rPr>
          <w:rFonts w:ascii="Times New Roman" w:hAnsi="Times New Roman"/>
          <w:sz w:val="24"/>
          <w:szCs w:val="24"/>
        </w:rPr>
        <w:t xml:space="preserve">20</w:t>
      </w:r>
      <w:r>
        <w:rPr>
          <w:rFonts w:ascii="Times New Roman" w:hAnsi="Times New Roman"/>
          <w:sz w:val="24"/>
          <w:szCs w:val="24"/>
        </w:rPr>
        <w:t xml:space="preserve">26 г., в течение пяти рабочих дней, с момента подачи заявки Заказчиком. Периодичность поставки товара: один раз в год.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9"/>
        <w:numPr>
          <w:ilvl w:val="0"/>
          <w:numId w:val="5"/>
        </w:num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действия контракта: Контра</w:t>
      </w:r>
      <w:r>
        <w:rPr>
          <w:rFonts w:ascii="Times New Roman" w:hAnsi="Times New Roman"/>
          <w:sz w:val="24"/>
          <w:szCs w:val="24"/>
        </w:rPr>
        <w:t xml:space="preserve">кт вст</w:t>
      </w:r>
      <w:r>
        <w:rPr>
          <w:rFonts w:ascii="Times New Roman" w:hAnsi="Times New Roman"/>
          <w:sz w:val="24"/>
          <w:szCs w:val="24"/>
        </w:rPr>
        <w:t xml:space="preserve">упает в силу с даты его заключения в порядке, предусмотренном действующим законодательством Российской Федерации. Контракт действует по 31 декабря 2026  г.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9"/>
        <w:numPr>
          <w:ilvl w:val="0"/>
          <w:numId w:val="5"/>
        </w:num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Разгрузка товара осуществляется силами и средствами Поставщика, до складских помещений Заказчика.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9"/>
        <w:numPr>
          <w:ilvl w:val="0"/>
          <w:numId w:val="5"/>
        </w:num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Заезд автотранспорта – возможность задержки в связи с тем, что учреждение закрытое. Доступ в учреждение осуществляется только при наличии документа, удостоверяющего личность.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71"/>
        <w:numPr>
          <w:ilvl w:val="0"/>
          <w:numId w:val="5"/>
        </w:numPr>
        <w:jc w:val="both"/>
        <w:spacing w:after="0" w:line="100" w:lineRule="atLeast"/>
        <w:tabs>
          <w:tab w:val="left" w:pos="42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Цена Товара определена с учетом расходов на доставку, разгрузку Товара, страхование, уплату таможенных пошлин, налогов, сборов и других обязательных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платежей.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1"/>
        <w:numPr>
          <w:ilvl w:val="0"/>
          <w:numId w:val="5"/>
        </w:numPr>
        <w:jc w:val="both"/>
        <w:spacing w:after="0" w:line="100" w:lineRule="atLeast"/>
        <w:tabs>
          <w:tab w:val="left" w:pos="42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Оплата поставленного Товара, производится Заказчиком </w:t>
      </w:r>
      <w:r>
        <w:rPr>
          <w:rFonts w:ascii="Times New Roman" w:hAnsi="Times New Roman"/>
          <w:sz w:val="24"/>
          <w:szCs w:val="24"/>
        </w:rPr>
        <w:t xml:space="preserve">по факту поставки, согласно предъявленных счетов (счетов – фактур) и товарных накладных (универсальных передаточных документов) на товар, но не более, чем в течение 7 (семи) рабочих дней с даты подписания Заказчиком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товарных накладных (универсальных передаточных документов)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по факту поступления предельных объемов финансирования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Форма оплаты –  безналичная.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1"/>
        <w:numPr>
          <w:ilvl w:val="0"/>
          <w:numId w:val="5"/>
        </w:numPr>
        <w:jc w:val="both"/>
        <w:spacing w:after="0" w:line="100" w:lineRule="atLeast"/>
        <w:tabs>
          <w:tab w:val="left" w:pos="42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Поставляемый товар должен быть новым товаром (товаром, который не был в употреблении, в ремонте, в том </w:t>
      </w:r>
      <w:r>
        <w:rPr>
          <w:rFonts w:ascii="Times New Roman" w:hAnsi="Times New Roman" w:cs="Times New Roman"/>
          <w:sz w:val="24"/>
          <w:szCs w:val="24"/>
        </w:rPr>
        <w:t xml:space="preserve">числе</w:t>
      </w:r>
      <w:r>
        <w:rPr>
          <w:rFonts w:ascii="Times New Roman" w:hAnsi="Times New Roman" w:cs="Times New Roman"/>
          <w:sz w:val="24"/>
          <w:szCs w:val="24"/>
        </w:rPr>
        <w:t xml:space="preserve"> который не был  восстановлен, у которого не была осуществлена замена составных частей, не были восстановлены потребительские свойства).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1"/>
        <w:numPr>
          <w:ilvl w:val="0"/>
          <w:numId w:val="5"/>
        </w:numPr>
        <w:jc w:val="both"/>
        <w:spacing w:after="0" w:line="100" w:lineRule="atLeast"/>
        <w:tabs>
          <w:tab w:val="left" w:pos="426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Товар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поставляется способом, обеспечивающим их сохранность при обычных условиях хранения и транспортировки, соответствовать гигиеническим требованиям, не содержать полиграфического брака.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871"/>
        <w:ind w:left="811" w:firstLine="0"/>
        <w:jc w:val="both"/>
        <w:spacing w:after="0" w:line="100" w:lineRule="atLeast"/>
        <w:tabs>
          <w:tab w:val="left" w:pos="426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Товар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упаковывается надлежащим образом в тару, предотвращающую их механическое повреждение и обеспечивающую их сохранность при перевозке и хранении.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871"/>
        <w:ind w:left="811" w:firstLine="0"/>
        <w:jc w:val="both"/>
        <w:spacing w:after="0" w:line="100" w:lineRule="atLeast"/>
        <w:tabs>
          <w:tab w:val="left" w:pos="42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случае предъявления Заказчиком требования о замене Товара 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недостатками, в том числе с полиграфическим браком или потерявшего товарный вид, Исполнитель должен произвести замену в течение месяца с даты предъявления указанного требования.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1"/>
        <w:numPr>
          <w:ilvl w:val="0"/>
          <w:numId w:val="5"/>
        </w:numPr>
        <w:jc w:val="both"/>
        <w:spacing w:after="0" w:line="100" w:lineRule="atLeast"/>
        <w:tabs>
          <w:tab w:val="left" w:pos="426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25 июля 2002 г. № 114-ФЗ ус</w:t>
      </w:r>
      <w:r>
        <w:rPr>
          <w:rFonts w:ascii="Times New Roman" w:hAnsi="Times New Roman" w:cs="Times New Roman"/>
          <w:sz w:val="24"/>
          <w:szCs w:val="24"/>
        </w:rPr>
        <w:t xml:space="preserve">тановлен запрет на приобретение и </w:t>
      </w:r>
      <w:r>
        <w:rPr>
          <w:rFonts w:ascii="Times New Roman" w:hAnsi="Times New Roman" w:cs="Times New Roman"/>
          <w:sz w:val="24"/>
          <w:szCs w:val="24"/>
        </w:rPr>
        <w:t xml:space="preserve">распространение материалов, признанных экстремистскими, а также материалов, нарушающих иные запреты, установленные законодательством РФ.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69"/>
        <w:ind w:left="811"/>
        <w:spacing w:after="0" w:line="240" w:lineRule="auto"/>
        <w:tabs>
          <w:tab w:val="left" w:pos="42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Style w:val="861"/>
        <w:tblW w:w="4729" w:type="pct"/>
        <w:tblInd w:w="85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6257"/>
        <w:gridCol w:w="3565"/>
        <w:gridCol w:w="5032"/>
      </w:tblGrid>
      <w:tr>
        <w:tblPrEx/>
        <w:trPr>
          <w:trHeight w:val="278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6257" w:type="dxa"/>
            <w:vAlign w:val="bottom"/>
            <w:textDirection w:val="lrTb"/>
            <w:noWrap w:val="false"/>
          </w:tcPr>
          <w:p>
            <w:pPr>
              <w:pStyle w:val="681"/>
              <w:ind w:right="14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eastAsia="fa-IR" w:bidi="fa-IR"/>
              </w:rPr>
            </w:pP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ru-RU" w:eastAsia="fa-IR" w:bidi="fa-IR"/>
              </w:rPr>
              <w:t xml:space="preserve">библиотекарь</w:t>
            </w: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eastAsia="fa-IR" w:bidi="fa-IR"/>
              </w:rPr>
            </w:r>
          </w:p>
          <w:p>
            <w:pPr>
              <w:pStyle w:val="681"/>
              <w:ind w:right="14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eastAsia="fa-IR" w:bidi="fa-IR"/>
              </w:rPr>
            </w:pP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eastAsia="fa-IR" w:bidi="fa-IR"/>
              </w:rPr>
              <w:t xml:space="preserve">Шарафутдинова М.Р.</w:t>
            </w: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eastAsia="fa-IR" w:bidi="fa-IR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65" w:type="dxa"/>
            <w:vAlign w:val="bottom"/>
            <w:textDirection w:val="lrTb"/>
            <w:noWrap w:val="false"/>
          </w:tcPr>
          <w:p>
            <w:pPr>
              <w:pStyle w:val="681"/>
              <w:ind w:right="14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pP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032" w:type="dxa"/>
            <w:vAlign w:val="bottom"/>
            <w:textDirection w:val="lrTb"/>
            <w:noWrap w:val="false"/>
          </w:tcPr>
          <w:p>
            <w:pPr>
              <w:pStyle w:val="681"/>
              <w:ind w:right="14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pP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</w:p>
        </w:tc>
      </w:tr>
      <w:tr>
        <w:tblPrEx/>
        <w:trPr/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57" w:type="dxa"/>
            <w:vAlign w:val="bottom"/>
            <w:textDirection w:val="lrTb"/>
            <w:noWrap w:val="false"/>
          </w:tcPr>
          <w:p>
            <w:pPr>
              <w:pStyle w:val="681"/>
              <w:ind w:right="14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pP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  <w:t xml:space="preserve">(Ф.И.О., должность инициатора закупки)</w:t>
            </w: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65" w:type="dxa"/>
            <w:vAlign w:val="bottom"/>
            <w:textDirection w:val="lrTb"/>
            <w:noWrap w:val="false"/>
          </w:tcPr>
          <w:p>
            <w:pPr>
              <w:pStyle w:val="681"/>
              <w:ind w:right="14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pP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r>
          </w:p>
        </w:tc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32" w:type="dxa"/>
            <w:vAlign w:val="bottom"/>
            <w:textDirection w:val="lrTb"/>
            <w:noWrap w:val="false"/>
          </w:tcPr>
          <w:p>
            <w:pPr>
              <w:pStyle w:val="681"/>
              <w:ind w:right="14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pP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  <w:t xml:space="preserve">(подпись)</w:t>
            </w: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r>
          </w:p>
        </w:tc>
      </w:tr>
      <w:tr>
        <w:tblPrEx/>
        <w:trPr>
          <w:trHeight w:val="278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6257" w:type="dxa"/>
            <w:vAlign w:val="bottom"/>
            <w:textDirection w:val="lrTb"/>
            <w:noWrap w:val="false"/>
          </w:tcPr>
          <w:p>
            <w:pPr>
              <w:pStyle w:val="681"/>
              <w:ind w:right="14"/>
              <w:jc w:val="left"/>
              <w:spacing w:before="0" w:after="0" w:line="240" w:lineRule="auto"/>
              <w:widowControl w:val="off"/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pP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</w:p>
          <w:p>
            <w:pPr>
              <w:pStyle w:val="681"/>
              <w:ind w:right="14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pP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  <w:t xml:space="preserve">Шаехова Р.Р.</w:t>
            </w: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65" w:type="dxa"/>
            <w:vAlign w:val="bottom"/>
            <w:textDirection w:val="lrTb"/>
            <w:noWrap w:val="false"/>
          </w:tcPr>
          <w:p>
            <w:pPr>
              <w:pStyle w:val="681"/>
              <w:ind w:right="14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pP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032" w:type="dxa"/>
            <w:vAlign w:val="bottom"/>
            <w:textDirection w:val="lrTb"/>
            <w:noWrap w:val="false"/>
          </w:tcPr>
          <w:p>
            <w:pPr>
              <w:pStyle w:val="681"/>
              <w:ind w:right="14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pP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</w:p>
        </w:tc>
      </w:tr>
      <w:tr>
        <w:tblPrEx/>
        <w:trPr/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57" w:type="dxa"/>
            <w:vAlign w:val="bottom"/>
            <w:textDirection w:val="lrTb"/>
            <w:noWrap w:val="false"/>
          </w:tcPr>
          <w:p>
            <w:pPr>
              <w:pStyle w:val="681"/>
              <w:ind w:right="14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pP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  <w:t xml:space="preserve">(Ф.И.О. специалиста по закупкам)</w:t>
            </w: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65" w:type="dxa"/>
            <w:vAlign w:val="bottom"/>
            <w:textDirection w:val="lrTb"/>
            <w:noWrap w:val="false"/>
          </w:tcPr>
          <w:p>
            <w:pPr>
              <w:pStyle w:val="681"/>
              <w:ind w:right="14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pP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r>
          </w:p>
        </w:tc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32" w:type="dxa"/>
            <w:vAlign w:val="bottom"/>
            <w:textDirection w:val="lrTb"/>
            <w:noWrap w:val="false"/>
          </w:tcPr>
          <w:p>
            <w:pPr>
              <w:pStyle w:val="681"/>
              <w:ind w:right="14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pP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  <w:t xml:space="preserve">(подпись)</w:t>
            </w: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r>
          </w:p>
        </w:tc>
      </w:tr>
      <w:tr>
        <w:tblPrEx/>
        <w:trPr>
          <w:trHeight w:val="588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6257" w:type="dxa"/>
            <w:vAlign w:val="bottom"/>
            <w:textDirection w:val="lrTb"/>
            <w:noWrap w:val="false"/>
          </w:tcPr>
          <w:p>
            <w:pPr>
              <w:pStyle w:val="681"/>
              <w:ind w:right="14"/>
              <w:jc w:val="left"/>
              <w:spacing w:before="0" w:after="0" w:line="240" w:lineRule="auto"/>
              <w:widowControl w:val="off"/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pP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  <w:t xml:space="preserve">Согласовано:</w:t>
            </w: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</w:p>
          <w:p>
            <w:pPr>
              <w:pStyle w:val="681"/>
              <w:ind w:right="14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pP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  <w:t xml:space="preserve">Кошкина Д.А.</w:t>
            </w: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65" w:type="dxa"/>
            <w:vAlign w:val="bottom"/>
            <w:textDirection w:val="lrTb"/>
            <w:noWrap w:val="false"/>
          </w:tcPr>
          <w:p>
            <w:pPr>
              <w:pStyle w:val="681"/>
              <w:ind w:right="14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pP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032" w:type="dxa"/>
            <w:vAlign w:val="bottom"/>
            <w:textDirection w:val="lrTb"/>
            <w:noWrap w:val="false"/>
          </w:tcPr>
          <w:p>
            <w:pPr>
              <w:pStyle w:val="681"/>
              <w:ind w:right="14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pP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6"/>
                <w:szCs w:val="26"/>
                <w:lang w:val="de-DE" w:eastAsia="fa-IR" w:bidi="fa-IR"/>
              </w:rPr>
            </w:r>
          </w:p>
        </w:tc>
      </w:tr>
      <w:tr>
        <w:tblPrEx/>
        <w:trPr/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57" w:type="dxa"/>
            <w:vAlign w:val="bottom"/>
            <w:textDirection w:val="lrTb"/>
            <w:noWrap w:val="false"/>
          </w:tcPr>
          <w:p>
            <w:pPr>
              <w:pStyle w:val="681"/>
              <w:ind w:right="14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pP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  <w:t xml:space="preserve">(Ф. И. О. экономиста)</w:t>
            </w: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65" w:type="dxa"/>
            <w:vAlign w:val="bottom"/>
            <w:textDirection w:val="lrTb"/>
            <w:noWrap w:val="false"/>
          </w:tcPr>
          <w:p>
            <w:pPr>
              <w:pStyle w:val="681"/>
              <w:ind w:right="14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pP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r>
          </w:p>
        </w:tc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32" w:type="dxa"/>
            <w:vAlign w:val="bottom"/>
            <w:textDirection w:val="lrTb"/>
            <w:noWrap w:val="false"/>
          </w:tcPr>
          <w:p>
            <w:pPr>
              <w:pStyle w:val="681"/>
              <w:ind w:right="14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pP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  <w:t xml:space="preserve">(подпись)</w:t>
            </w: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r>
            <w:r>
              <w:rPr>
                <w:rFonts w:ascii="Times New Roman" w:hAnsi="Times New Roman" w:eastAsia="Andale Sans UI" w:cs="Tahoma"/>
                <w:color w:val="000000"/>
                <w:sz w:val="20"/>
                <w:szCs w:val="20"/>
                <w:lang w:val="de-DE" w:eastAsia="fa-IR" w:bidi="fa-IR"/>
              </w:rPr>
            </w:r>
          </w:p>
        </w:tc>
      </w:tr>
    </w:tbl>
    <w:p>
      <w:pPr>
        <w:pStyle w:val="869"/>
        <w:ind w:left="811"/>
        <w:spacing w:after="0" w:line="240" w:lineRule="auto"/>
        <w:tabs>
          <w:tab w:val="left" w:pos="42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sectPr>
      <w:footnotePr/>
      <w:endnotePr/>
      <w:type w:val="nextPage"/>
      <w:pgSz w:w="16838" w:h="11906" w:orient="landscape"/>
      <w:pgMar w:top="1106" w:right="567" w:bottom="567" w:left="567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dale Sans UI">
    <w:panose1 w:val="02020603050405020304"/>
  </w:font>
  <w:font w:name="Symbol">
    <w:panose1 w:val="05010000000000000000"/>
  </w:font>
  <w:font w:name="Tahoma">
    <w:panose1 w:val="020B060403050404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11" w:hanging="360"/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11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num w:numId="1">
    <w:abstractNumId w:val="0"/>
  </w:num>
  <w:num w:numId="2">
    <w:abstractNumId w:val="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4">
    <w:name w:val="Heading 2"/>
    <w:basedOn w:val="681"/>
    <w:next w:val="681"/>
    <w:link w:val="68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65">
    <w:name w:val="Heading 3"/>
    <w:basedOn w:val="681"/>
    <w:next w:val="681"/>
    <w:link w:val="69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66">
    <w:name w:val="Heading 4"/>
    <w:basedOn w:val="681"/>
    <w:next w:val="681"/>
    <w:link w:val="69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7">
    <w:name w:val="Heading 5"/>
    <w:basedOn w:val="681"/>
    <w:next w:val="681"/>
    <w:link w:val="69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681"/>
    <w:next w:val="681"/>
    <w:link w:val="69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9">
    <w:name w:val="Heading 7"/>
    <w:basedOn w:val="681"/>
    <w:next w:val="681"/>
    <w:link w:val="69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681"/>
    <w:next w:val="681"/>
    <w:link w:val="70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681"/>
    <w:next w:val="681"/>
    <w:link w:val="70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Title Char"/>
    <w:basedOn w:val="683"/>
    <w:link w:val="705"/>
    <w:uiPriority w:val="10"/>
    <w:rPr>
      <w:sz w:val="48"/>
      <w:szCs w:val="48"/>
    </w:rPr>
  </w:style>
  <w:style w:type="character" w:styleId="673">
    <w:name w:val="Subtitle Char"/>
    <w:basedOn w:val="683"/>
    <w:link w:val="707"/>
    <w:uiPriority w:val="11"/>
    <w:rPr>
      <w:sz w:val="24"/>
      <w:szCs w:val="24"/>
    </w:rPr>
  </w:style>
  <w:style w:type="character" w:styleId="674">
    <w:name w:val="Quote Char"/>
    <w:link w:val="709"/>
    <w:uiPriority w:val="29"/>
    <w:rPr>
      <w:i/>
    </w:rPr>
  </w:style>
  <w:style w:type="character" w:styleId="675">
    <w:name w:val="Intense Quote Char"/>
    <w:link w:val="711"/>
    <w:uiPriority w:val="30"/>
    <w:rPr>
      <w:i/>
    </w:rPr>
  </w:style>
  <w:style w:type="paragraph" w:styleId="676">
    <w:name w:val="Header"/>
    <w:basedOn w:val="681"/>
    <w:link w:val="71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77">
    <w:name w:val="Footer"/>
    <w:basedOn w:val="681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78">
    <w:name w:val="Caption"/>
    <w:basedOn w:val="681"/>
    <w:next w:val="681"/>
    <w:link w:val="71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9">
    <w:name w:val="Footnote Text Char"/>
    <w:link w:val="843"/>
    <w:uiPriority w:val="99"/>
    <w:rPr>
      <w:sz w:val="18"/>
    </w:rPr>
  </w:style>
  <w:style w:type="character" w:styleId="680">
    <w:name w:val="Endnote Text Char"/>
    <w:link w:val="846"/>
    <w:uiPriority w:val="99"/>
    <w:rPr>
      <w:sz w:val="20"/>
    </w:rPr>
  </w:style>
  <w:style w:type="paragraph" w:styleId="681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682">
    <w:name w:val="Heading 1"/>
    <w:basedOn w:val="681"/>
    <w:next w:val="681"/>
    <w:link w:val="858"/>
    <w:uiPriority w:val="99"/>
    <w:qFormat/>
    <w:pPr>
      <w:keepNext/>
      <w:spacing w:before="240" w:after="60"/>
      <w:outlineLvl w:val="0"/>
    </w:pPr>
    <w:rPr>
      <w:rFonts w:ascii="Cambria" w:hAnsi="Cambria" w:eastAsia="Times New Roman"/>
      <w:b/>
      <w:bCs/>
      <w:sz w:val="32"/>
      <w:szCs w:val="32"/>
    </w:rPr>
  </w:style>
  <w:style w:type="character" w:styleId="683" w:default="1">
    <w:name w:val="Default Paragraph Font"/>
    <w:uiPriority w:val="1"/>
    <w:semiHidden/>
    <w:unhideWhenUsed/>
  </w:style>
  <w:style w:type="table" w:styleId="684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5" w:default="1">
    <w:name w:val="No List"/>
    <w:uiPriority w:val="99"/>
    <w:semiHidden/>
    <w:unhideWhenUsed/>
  </w:style>
  <w:style w:type="character" w:styleId="686" w:customStyle="1">
    <w:name w:val="Heading 1 Char"/>
    <w:basedOn w:val="683"/>
    <w:link w:val="687"/>
    <w:uiPriority w:val="99"/>
    <w:rPr>
      <w:rFonts w:ascii="Arial" w:hAnsi="Arial" w:cs="Arial"/>
      <w:sz w:val="40"/>
      <w:szCs w:val="40"/>
    </w:rPr>
  </w:style>
  <w:style w:type="paragraph" w:styleId="687" w:customStyle="1">
    <w:name w:val="Heading 11"/>
    <w:basedOn w:val="681"/>
    <w:next w:val="681"/>
    <w:link w:val="686"/>
    <w:uiPriority w:val="99"/>
    <w:pPr>
      <w:keepLines/>
      <w:keepNext/>
      <w:spacing w:before="480"/>
      <w:outlineLvl w:val="0"/>
    </w:pPr>
    <w:rPr>
      <w:rFonts w:ascii="Arial" w:hAnsi="Arial" w:cs="Arial"/>
      <w:sz w:val="40"/>
      <w:szCs w:val="40"/>
    </w:rPr>
  </w:style>
  <w:style w:type="paragraph" w:styleId="688" w:customStyle="1">
    <w:name w:val="Heading 21"/>
    <w:basedOn w:val="681"/>
    <w:next w:val="681"/>
    <w:link w:val="689"/>
    <w:uiPriority w:val="99"/>
    <w:pPr>
      <w:keepLines/>
      <w:keepNext/>
      <w:spacing w:before="360"/>
      <w:outlineLvl w:val="1"/>
    </w:pPr>
    <w:rPr>
      <w:rFonts w:ascii="Arial" w:hAnsi="Arial" w:cs="Arial"/>
      <w:sz w:val="34"/>
    </w:rPr>
  </w:style>
  <w:style w:type="character" w:styleId="689" w:customStyle="1">
    <w:name w:val="Heading 2 Char"/>
    <w:basedOn w:val="683"/>
    <w:link w:val="688"/>
    <w:uiPriority w:val="99"/>
    <w:rPr>
      <w:rFonts w:ascii="Arial" w:hAnsi="Arial" w:cs="Arial"/>
      <w:sz w:val="34"/>
    </w:rPr>
  </w:style>
  <w:style w:type="paragraph" w:styleId="690" w:customStyle="1">
    <w:name w:val="Heading 31"/>
    <w:basedOn w:val="681"/>
    <w:next w:val="681"/>
    <w:link w:val="691"/>
    <w:uiPriority w:val="99"/>
    <w:pPr>
      <w:keepLines/>
      <w:keepNext/>
      <w:spacing w:before="320"/>
      <w:outlineLvl w:val="2"/>
    </w:pPr>
    <w:rPr>
      <w:rFonts w:ascii="Arial" w:hAnsi="Arial" w:cs="Arial"/>
      <w:sz w:val="30"/>
      <w:szCs w:val="30"/>
    </w:rPr>
  </w:style>
  <w:style w:type="character" w:styleId="691" w:customStyle="1">
    <w:name w:val="Heading 3 Char"/>
    <w:basedOn w:val="683"/>
    <w:link w:val="690"/>
    <w:uiPriority w:val="99"/>
    <w:rPr>
      <w:rFonts w:ascii="Arial" w:hAnsi="Arial" w:cs="Arial"/>
      <w:sz w:val="30"/>
      <w:szCs w:val="30"/>
    </w:rPr>
  </w:style>
  <w:style w:type="paragraph" w:styleId="692" w:customStyle="1">
    <w:name w:val="Heading 41"/>
    <w:basedOn w:val="681"/>
    <w:next w:val="681"/>
    <w:link w:val="693"/>
    <w:uiPriority w:val="99"/>
    <w:pPr>
      <w:keepLines/>
      <w:keepNext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character" w:styleId="693" w:customStyle="1">
    <w:name w:val="Heading 4 Char"/>
    <w:basedOn w:val="683"/>
    <w:link w:val="692"/>
    <w:uiPriority w:val="99"/>
    <w:rPr>
      <w:rFonts w:ascii="Arial" w:hAnsi="Arial" w:cs="Arial"/>
      <w:b/>
      <w:bCs/>
      <w:sz w:val="26"/>
      <w:szCs w:val="26"/>
    </w:rPr>
  </w:style>
  <w:style w:type="paragraph" w:styleId="694" w:customStyle="1">
    <w:name w:val="Heading 51"/>
    <w:basedOn w:val="681"/>
    <w:next w:val="681"/>
    <w:link w:val="695"/>
    <w:uiPriority w:val="99"/>
    <w:pPr>
      <w:keepLines/>
      <w:keepNext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character" w:styleId="695" w:customStyle="1">
    <w:name w:val="Heading 5 Char"/>
    <w:basedOn w:val="683"/>
    <w:link w:val="694"/>
    <w:uiPriority w:val="99"/>
    <w:rPr>
      <w:rFonts w:ascii="Arial" w:hAnsi="Arial" w:cs="Arial"/>
      <w:b/>
      <w:bCs/>
      <w:sz w:val="24"/>
      <w:szCs w:val="24"/>
    </w:rPr>
  </w:style>
  <w:style w:type="paragraph" w:styleId="696" w:customStyle="1">
    <w:name w:val="Heading 61"/>
    <w:basedOn w:val="681"/>
    <w:next w:val="681"/>
    <w:link w:val="697"/>
    <w:uiPriority w:val="99"/>
    <w:pPr>
      <w:keepLines/>
      <w:keepNext/>
      <w:spacing w:before="320"/>
      <w:outlineLvl w:val="5"/>
    </w:pPr>
    <w:rPr>
      <w:rFonts w:ascii="Arial" w:hAnsi="Arial" w:cs="Arial"/>
      <w:b/>
      <w:bCs/>
    </w:rPr>
  </w:style>
  <w:style w:type="character" w:styleId="697" w:customStyle="1">
    <w:name w:val="Heading 6 Char"/>
    <w:basedOn w:val="683"/>
    <w:link w:val="696"/>
    <w:uiPriority w:val="99"/>
    <w:rPr>
      <w:rFonts w:ascii="Arial" w:hAnsi="Arial" w:cs="Arial"/>
      <w:b/>
      <w:bCs/>
      <w:sz w:val="22"/>
      <w:szCs w:val="22"/>
    </w:rPr>
  </w:style>
  <w:style w:type="paragraph" w:styleId="698" w:customStyle="1">
    <w:name w:val="Heading 71"/>
    <w:basedOn w:val="681"/>
    <w:next w:val="681"/>
    <w:link w:val="699"/>
    <w:uiPriority w:val="99"/>
    <w:pPr>
      <w:keepLines/>
      <w:keepNext/>
      <w:spacing w:before="320"/>
      <w:outlineLvl w:val="6"/>
    </w:pPr>
    <w:rPr>
      <w:rFonts w:ascii="Arial" w:hAnsi="Arial" w:cs="Arial"/>
      <w:b/>
      <w:bCs/>
      <w:i/>
      <w:iCs/>
    </w:rPr>
  </w:style>
  <w:style w:type="character" w:styleId="699" w:customStyle="1">
    <w:name w:val="Heading 7 Char"/>
    <w:basedOn w:val="683"/>
    <w:link w:val="698"/>
    <w:uiPriority w:val="99"/>
    <w:rPr>
      <w:rFonts w:ascii="Arial" w:hAnsi="Arial" w:cs="Arial"/>
      <w:b/>
      <w:bCs/>
      <w:i/>
      <w:iCs/>
      <w:sz w:val="22"/>
      <w:szCs w:val="22"/>
    </w:rPr>
  </w:style>
  <w:style w:type="paragraph" w:styleId="700" w:customStyle="1">
    <w:name w:val="Heading 81"/>
    <w:basedOn w:val="681"/>
    <w:next w:val="681"/>
    <w:link w:val="701"/>
    <w:uiPriority w:val="99"/>
    <w:pPr>
      <w:keepLines/>
      <w:keepNext/>
      <w:spacing w:before="320"/>
      <w:outlineLvl w:val="7"/>
    </w:pPr>
    <w:rPr>
      <w:rFonts w:ascii="Arial" w:hAnsi="Arial" w:cs="Arial"/>
      <w:i/>
      <w:iCs/>
    </w:rPr>
  </w:style>
  <w:style w:type="character" w:styleId="701" w:customStyle="1">
    <w:name w:val="Heading 8 Char"/>
    <w:basedOn w:val="683"/>
    <w:link w:val="700"/>
    <w:uiPriority w:val="99"/>
    <w:rPr>
      <w:rFonts w:ascii="Arial" w:hAnsi="Arial" w:cs="Arial"/>
      <w:i/>
      <w:iCs/>
      <w:sz w:val="22"/>
      <w:szCs w:val="22"/>
    </w:rPr>
  </w:style>
  <w:style w:type="paragraph" w:styleId="702" w:customStyle="1">
    <w:name w:val="Heading 91"/>
    <w:basedOn w:val="681"/>
    <w:next w:val="681"/>
    <w:link w:val="703"/>
    <w:uiPriority w:val="99"/>
    <w:pPr>
      <w:keepLines/>
      <w:keepNext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styleId="703" w:customStyle="1">
    <w:name w:val="Heading 9 Char"/>
    <w:basedOn w:val="683"/>
    <w:link w:val="702"/>
    <w:uiPriority w:val="99"/>
    <w:rPr>
      <w:rFonts w:ascii="Arial" w:hAnsi="Arial" w:cs="Arial"/>
      <w:i/>
      <w:iCs/>
      <w:sz w:val="21"/>
      <w:szCs w:val="21"/>
    </w:rPr>
  </w:style>
  <w:style w:type="paragraph" w:styleId="704">
    <w:name w:val="No Spacing"/>
    <w:uiPriority w:val="99"/>
    <w:qFormat/>
    <w:rPr>
      <w:sz w:val="22"/>
      <w:szCs w:val="22"/>
      <w:lang w:eastAsia="en-US"/>
    </w:rPr>
  </w:style>
  <w:style w:type="paragraph" w:styleId="705">
    <w:name w:val="Title"/>
    <w:basedOn w:val="681"/>
    <w:next w:val="681"/>
    <w:link w:val="706"/>
    <w:uiPriority w:val="99"/>
    <w:qFormat/>
    <w:pPr>
      <w:contextualSpacing/>
      <w:spacing w:before="300"/>
    </w:pPr>
    <w:rPr>
      <w:sz w:val="48"/>
      <w:szCs w:val="48"/>
    </w:rPr>
  </w:style>
  <w:style w:type="character" w:styleId="706" w:customStyle="1">
    <w:name w:val="Название Знак"/>
    <w:basedOn w:val="683"/>
    <w:link w:val="705"/>
    <w:uiPriority w:val="99"/>
    <w:rPr>
      <w:rFonts w:cs="Times New Roman"/>
      <w:sz w:val="48"/>
      <w:szCs w:val="48"/>
    </w:rPr>
  </w:style>
  <w:style w:type="paragraph" w:styleId="707">
    <w:name w:val="Subtitle"/>
    <w:basedOn w:val="681"/>
    <w:next w:val="681"/>
    <w:link w:val="708"/>
    <w:uiPriority w:val="99"/>
    <w:qFormat/>
    <w:pPr>
      <w:spacing w:before="200"/>
    </w:pPr>
    <w:rPr>
      <w:sz w:val="24"/>
      <w:szCs w:val="24"/>
    </w:rPr>
  </w:style>
  <w:style w:type="character" w:styleId="708" w:customStyle="1">
    <w:name w:val="Подзаголовок Знак"/>
    <w:basedOn w:val="683"/>
    <w:link w:val="707"/>
    <w:uiPriority w:val="99"/>
    <w:rPr>
      <w:rFonts w:cs="Times New Roman"/>
      <w:sz w:val="24"/>
      <w:szCs w:val="24"/>
    </w:rPr>
  </w:style>
  <w:style w:type="paragraph" w:styleId="709">
    <w:name w:val="Quote"/>
    <w:basedOn w:val="681"/>
    <w:next w:val="681"/>
    <w:link w:val="710"/>
    <w:uiPriority w:val="99"/>
    <w:qFormat/>
    <w:pPr>
      <w:ind w:left="720" w:right="720"/>
    </w:pPr>
    <w:rPr>
      <w:i/>
      <w:sz w:val="20"/>
      <w:szCs w:val="20"/>
      <w:lang w:eastAsia="ru-RU"/>
    </w:rPr>
  </w:style>
  <w:style w:type="character" w:styleId="710" w:customStyle="1">
    <w:name w:val="Цитата 2 Знак"/>
    <w:basedOn w:val="683"/>
    <w:link w:val="709"/>
    <w:uiPriority w:val="99"/>
    <w:rPr>
      <w:rFonts w:cs="Times New Roman"/>
      <w:i/>
    </w:rPr>
  </w:style>
  <w:style w:type="paragraph" w:styleId="711">
    <w:name w:val="Intense Quote"/>
    <w:basedOn w:val="681"/>
    <w:next w:val="681"/>
    <w:link w:val="712"/>
    <w:uiPriority w:val="99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  <w:sz w:val="20"/>
      <w:szCs w:val="20"/>
      <w:lang w:eastAsia="ru-RU"/>
    </w:rPr>
  </w:style>
  <w:style w:type="character" w:styleId="712" w:customStyle="1">
    <w:name w:val="Выделенная цитата Знак"/>
    <w:basedOn w:val="683"/>
    <w:link w:val="711"/>
    <w:uiPriority w:val="99"/>
    <w:rPr>
      <w:rFonts w:cs="Times New Roman"/>
      <w:i/>
    </w:rPr>
  </w:style>
  <w:style w:type="character" w:styleId="713" w:customStyle="1">
    <w:name w:val="Header Char"/>
    <w:basedOn w:val="683"/>
    <w:link w:val="865"/>
    <w:uiPriority w:val="99"/>
    <w:rPr>
      <w:rFonts w:cs="Times New Roman"/>
    </w:rPr>
  </w:style>
  <w:style w:type="character" w:styleId="714" w:customStyle="1">
    <w:name w:val="Footer Char"/>
    <w:basedOn w:val="683"/>
    <w:link w:val="867"/>
    <w:uiPriority w:val="99"/>
    <w:rPr>
      <w:rFonts w:cs="Times New Roman"/>
    </w:rPr>
  </w:style>
  <w:style w:type="paragraph" w:styleId="715" w:customStyle="1">
    <w:name w:val="Caption1"/>
    <w:basedOn w:val="681"/>
    <w:next w:val="681"/>
    <w:link w:val="716"/>
    <w:uiPriority w:val="99"/>
    <w:semiHidden/>
    <w:rPr>
      <w:b/>
      <w:bCs/>
      <w:color w:val="4f81bd"/>
      <w:sz w:val="18"/>
      <w:szCs w:val="18"/>
    </w:rPr>
  </w:style>
  <w:style w:type="character" w:styleId="716" w:customStyle="1">
    <w:name w:val="Caption Char"/>
    <w:basedOn w:val="683"/>
    <w:link w:val="715"/>
    <w:uiPriority w:val="99"/>
    <w:rPr>
      <w:rFonts w:cs="Times New Roman"/>
      <w:b/>
      <w:bCs/>
      <w:color w:val="4f81bd"/>
      <w:sz w:val="18"/>
      <w:szCs w:val="18"/>
    </w:rPr>
  </w:style>
  <w:style w:type="table" w:styleId="717" w:customStyle="1">
    <w:name w:val="Table Grid Light"/>
    <w:uiPriority w:val="99"/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 w:customStyle="1">
    <w:name w:val="Plain Table 1"/>
    <w:uiPriority w:val="99"/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 w:customStyle="1">
    <w:name w:val="Plain Table 2"/>
    <w:uiPriority w:val="99"/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 w:customStyle="1">
    <w:name w:val="Plain Table 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21" w:customStyle="1">
    <w:name w:val="Plain Table 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22" w:customStyle="1">
    <w:name w:val="Plain Table 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23" w:customStyle="1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0" w:customStyle="1">
    <w:name w:val="Grid Table 2"/>
    <w:uiPriority w:val="99"/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4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5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6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 w:customStyle="1">
    <w:name w:val="Grid Table 3"/>
    <w:uiPriority w:val="99"/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8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9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0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1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2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4" w:customStyle="1">
    <w:name w:val="Grid Table 4"/>
    <w:uiPriority w:val="99"/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5" w:customStyle="1">
    <w:name w:val="Grid Table 4 - Accent 1"/>
    <w:uiPriority w:val="99"/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6" w:customStyle="1">
    <w:name w:val="Grid Table 4 - Accent 2"/>
    <w:uiPriority w:val="99"/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7" w:customStyle="1">
    <w:name w:val="Grid Table 4 - Accent 3"/>
    <w:uiPriority w:val="99"/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 w:customStyle="1">
    <w:name w:val="Grid Table 4 - Accent 4"/>
    <w:uiPriority w:val="99"/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9" w:customStyle="1">
    <w:name w:val="Grid Table 4 - Accent 5"/>
    <w:uiPriority w:val="99"/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0" w:customStyle="1">
    <w:name w:val="Grid Table 4 - Accent 6"/>
    <w:uiPriority w:val="99"/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1" w:customStyle="1">
    <w:name w:val="Grid Table 5 Dark"/>
    <w:uiPriority w:val="99"/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2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3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4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5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6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7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8" w:customStyle="1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0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1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2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3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4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5" w:customStyle="1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6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8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9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0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1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2" w:customStyle="1">
    <w:name w:val="List Table 1 Light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73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74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75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76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77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78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79" w:customStyle="1">
    <w:name w:val="List Table 2"/>
    <w:uiPriority w:val="99"/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0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1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2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3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4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5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6" w:customStyle="1">
    <w:name w:val="List Table 3"/>
    <w:uiPriority w:val="99"/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7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8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9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0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1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2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3" w:customStyle="1">
    <w:name w:val="List Table 4"/>
    <w:uiPriority w:val="99"/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4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5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6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7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8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9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0" w:customStyle="1">
    <w:name w:val="List Table 5 Dark"/>
    <w:uiPriority w:val="99"/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1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2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3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4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5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6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7" w:customStyle="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8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9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0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1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2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3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4" w:customStyle="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5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6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7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8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9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0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1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22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23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24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25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26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27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28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9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0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1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2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3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4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5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6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7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8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9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0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42">
    <w:name w:val="Hyperlink"/>
    <w:basedOn w:val="683"/>
    <w:uiPriority w:val="99"/>
    <w:rPr>
      <w:rFonts w:cs="Times New Roman"/>
      <w:color w:val="0000ff"/>
      <w:u w:val="single"/>
    </w:rPr>
  </w:style>
  <w:style w:type="paragraph" w:styleId="843">
    <w:name w:val="footnote text"/>
    <w:basedOn w:val="681"/>
    <w:link w:val="844"/>
    <w:uiPriority w:val="99"/>
    <w:semiHidden/>
    <w:pPr>
      <w:spacing w:after="40" w:line="240" w:lineRule="auto"/>
    </w:pPr>
    <w:rPr>
      <w:sz w:val="18"/>
      <w:szCs w:val="20"/>
      <w:lang w:eastAsia="ru-RU"/>
    </w:rPr>
  </w:style>
  <w:style w:type="character" w:styleId="844" w:customStyle="1">
    <w:name w:val="Текст сноски Знак"/>
    <w:basedOn w:val="683"/>
    <w:link w:val="843"/>
    <w:uiPriority w:val="99"/>
    <w:rPr>
      <w:rFonts w:cs="Times New Roman"/>
      <w:sz w:val="18"/>
    </w:rPr>
  </w:style>
  <w:style w:type="character" w:styleId="845">
    <w:name w:val="footnote reference"/>
    <w:basedOn w:val="683"/>
    <w:uiPriority w:val="99"/>
    <w:rPr>
      <w:rFonts w:cs="Times New Roman"/>
      <w:vertAlign w:val="superscript"/>
    </w:rPr>
  </w:style>
  <w:style w:type="paragraph" w:styleId="846">
    <w:name w:val="endnote text"/>
    <w:basedOn w:val="681"/>
    <w:link w:val="847"/>
    <w:uiPriority w:val="99"/>
    <w:semiHidden/>
    <w:pPr>
      <w:spacing w:after="0" w:line="240" w:lineRule="auto"/>
    </w:pPr>
    <w:rPr>
      <w:sz w:val="20"/>
      <w:szCs w:val="20"/>
      <w:lang w:eastAsia="ru-RU"/>
    </w:rPr>
  </w:style>
  <w:style w:type="character" w:styleId="847" w:customStyle="1">
    <w:name w:val="Текст концевой сноски Знак"/>
    <w:basedOn w:val="683"/>
    <w:link w:val="846"/>
    <w:uiPriority w:val="99"/>
    <w:rPr>
      <w:rFonts w:cs="Times New Roman"/>
      <w:sz w:val="20"/>
    </w:rPr>
  </w:style>
  <w:style w:type="character" w:styleId="848">
    <w:name w:val="endnote reference"/>
    <w:basedOn w:val="683"/>
    <w:uiPriority w:val="99"/>
    <w:semiHidden/>
    <w:rPr>
      <w:rFonts w:cs="Times New Roman"/>
      <w:vertAlign w:val="superscript"/>
    </w:rPr>
  </w:style>
  <w:style w:type="paragraph" w:styleId="849">
    <w:name w:val="toc 1"/>
    <w:basedOn w:val="681"/>
    <w:next w:val="681"/>
    <w:uiPriority w:val="99"/>
    <w:pPr>
      <w:spacing w:after="57"/>
    </w:pPr>
  </w:style>
  <w:style w:type="paragraph" w:styleId="850">
    <w:name w:val="toc 2"/>
    <w:basedOn w:val="681"/>
    <w:next w:val="681"/>
    <w:uiPriority w:val="99"/>
    <w:pPr>
      <w:ind w:left="283"/>
      <w:spacing w:after="57"/>
    </w:pPr>
  </w:style>
  <w:style w:type="paragraph" w:styleId="851">
    <w:name w:val="toc 3"/>
    <w:basedOn w:val="681"/>
    <w:next w:val="681"/>
    <w:uiPriority w:val="99"/>
    <w:pPr>
      <w:ind w:left="567"/>
      <w:spacing w:after="57"/>
    </w:pPr>
  </w:style>
  <w:style w:type="paragraph" w:styleId="852">
    <w:name w:val="toc 4"/>
    <w:basedOn w:val="681"/>
    <w:next w:val="681"/>
    <w:uiPriority w:val="99"/>
    <w:pPr>
      <w:ind w:left="850"/>
      <w:spacing w:after="57"/>
    </w:pPr>
  </w:style>
  <w:style w:type="paragraph" w:styleId="853">
    <w:name w:val="toc 5"/>
    <w:basedOn w:val="681"/>
    <w:next w:val="681"/>
    <w:uiPriority w:val="99"/>
    <w:pPr>
      <w:ind w:left="1134"/>
      <w:spacing w:after="57"/>
    </w:pPr>
  </w:style>
  <w:style w:type="paragraph" w:styleId="854">
    <w:name w:val="toc 6"/>
    <w:basedOn w:val="681"/>
    <w:next w:val="681"/>
    <w:uiPriority w:val="99"/>
    <w:pPr>
      <w:ind w:left="1417"/>
      <w:spacing w:after="57"/>
    </w:pPr>
  </w:style>
  <w:style w:type="paragraph" w:styleId="855">
    <w:name w:val="toc 7"/>
    <w:basedOn w:val="681"/>
    <w:next w:val="681"/>
    <w:uiPriority w:val="99"/>
    <w:pPr>
      <w:ind w:left="1701"/>
      <w:spacing w:after="57"/>
    </w:pPr>
  </w:style>
  <w:style w:type="paragraph" w:styleId="856">
    <w:name w:val="toc 8"/>
    <w:basedOn w:val="681"/>
    <w:next w:val="681"/>
    <w:uiPriority w:val="99"/>
    <w:pPr>
      <w:ind w:left="1984"/>
      <w:spacing w:after="57"/>
    </w:pPr>
  </w:style>
  <w:style w:type="paragraph" w:styleId="857">
    <w:name w:val="toc 9"/>
    <w:basedOn w:val="681"/>
    <w:next w:val="681"/>
    <w:uiPriority w:val="99"/>
    <w:pPr>
      <w:ind w:left="2268"/>
      <w:spacing w:after="57"/>
    </w:pPr>
  </w:style>
  <w:style w:type="character" w:styleId="858" w:customStyle="1">
    <w:name w:val="Заголовок 1 Знак"/>
    <w:basedOn w:val="683"/>
    <w:link w:val="682"/>
    <w:uiPriority w:val="99"/>
    <w:rPr>
      <w:rFonts w:ascii="Cambria" w:hAnsi="Cambria" w:cs="Times New Roman"/>
      <w:b/>
      <w:bCs/>
      <w:sz w:val="32"/>
      <w:szCs w:val="32"/>
      <w:lang w:eastAsia="en-US"/>
    </w:rPr>
  </w:style>
  <w:style w:type="paragraph" w:styleId="859">
    <w:name w:val="TOC Heading"/>
    <w:basedOn w:val="682"/>
    <w:uiPriority w:val="99"/>
    <w:qFormat/>
    <w:pPr>
      <w:keepNext w:val="0"/>
      <w:spacing w:before="0" w:after="200"/>
      <w:outlineLvl w:val="9"/>
    </w:pPr>
    <w:rPr>
      <w:rFonts w:ascii="Calibri" w:hAnsi="Calibri" w:eastAsia="Calibri"/>
      <w:b w:val="0"/>
      <w:bCs w:val="0"/>
      <w:sz w:val="22"/>
      <w:szCs w:val="22"/>
    </w:rPr>
  </w:style>
  <w:style w:type="paragraph" w:styleId="860">
    <w:name w:val="table of figures"/>
    <w:basedOn w:val="681"/>
    <w:next w:val="681"/>
    <w:uiPriority w:val="99"/>
    <w:pPr>
      <w:spacing w:after="0"/>
    </w:pPr>
  </w:style>
  <w:style w:type="table" w:styleId="861">
    <w:name w:val="Table Grid"/>
    <w:basedOn w:val="684"/>
    <w:uiPriority w:val="9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62">
    <w:name w:val="Placeholder Text"/>
    <w:basedOn w:val="683"/>
    <w:uiPriority w:val="99"/>
    <w:semiHidden/>
    <w:rPr>
      <w:rFonts w:cs="Times New Roman"/>
      <w:color w:val="808080"/>
    </w:rPr>
  </w:style>
  <w:style w:type="paragraph" w:styleId="863">
    <w:name w:val="Balloon Text"/>
    <w:basedOn w:val="681"/>
    <w:link w:val="864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4" w:customStyle="1">
    <w:name w:val="Текст выноски Знак"/>
    <w:basedOn w:val="683"/>
    <w:link w:val="863"/>
    <w:uiPriority w:val="99"/>
    <w:semiHidden/>
    <w:rPr>
      <w:rFonts w:ascii="Tahoma" w:hAnsi="Tahoma" w:cs="Tahoma"/>
      <w:sz w:val="16"/>
      <w:szCs w:val="16"/>
    </w:rPr>
  </w:style>
  <w:style w:type="paragraph" w:styleId="865" w:customStyle="1">
    <w:name w:val="Header1"/>
    <w:basedOn w:val="681"/>
    <w:link w:val="866"/>
    <w:uiPriority w:val="99"/>
    <w:semiHidden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6" w:customStyle="1">
    <w:name w:val="Верхний колонтитул Знак"/>
    <w:basedOn w:val="683"/>
    <w:link w:val="865"/>
    <w:uiPriority w:val="99"/>
    <w:semiHidden/>
    <w:rPr>
      <w:rFonts w:cs="Times New Roman"/>
    </w:rPr>
  </w:style>
  <w:style w:type="paragraph" w:styleId="867" w:customStyle="1">
    <w:name w:val="Footer1"/>
    <w:basedOn w:val="681"/>
    <w:link w:val="868"/>
    <w:uiPriority w:val="99"/>
    <w:semiHidden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8" w:customStyle="1">
    <w:name w:val="Нижний колонтитул Знак"/>
    <w:basedOn w:val="683"/>
    <w:link w:val="867"/>
    <w:uiPriority w:val="99"/>
    <w:semiHidden/>
    <w:rPr>
      <w:rFonts w:cs="Times New Roman"/>
    </w:rPr>
  </w:style>
  <w:style w:type="paragraph" w:styleId="869">
    <w:name w:val="List Paragraph"/>
    <w:basedOn w:val="681"/>
    <w:link w:val="872"/>
    <w:qFormat/>
    <w:pPr>
      <w:contextualSpacing/>
      <w:ind w:left="720"/>
    </w:pPr>
    <w:rPr>
      <w:sz w:val="20"/>
      <w:szCs w:val="20"/>
    </w:rPr>
  </w:style>
  <w:style w:type="paragraph" w:styleId="870">
    <w:name w:val="Normal (Web)"/>
    <w:basedOn w:val="681"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871" w:customStyle="1">
    <w:name w:val="Абзац списка1"/>
    <w:basedOn w:val="681"/>
    <w:qFormat/>
    <w:pPr>
      <w:ind w:left="720"/>
    </w:pPr>
    <w:rPr>
      <w:rFonts w:cs="Calibri"/>
      <w:sz w:val="20"/>
      <w:szCs w:val="20"/>
      <w:lang w:eastAsia="ar-SA"/>
    </w:rPr>
  </w:style>
  <w:style w:type="character" w:styleId="872" w:customStyle="1">
    <w:name w:val="Абзац списка Знак"/>
    <w:link w:val="869"/>
    <w:qFormat/>
    <w:rPr>
      <w:rFonts w:ascii="Calibri" w:hAnsi="Calibri"/>
    </w:rPr>
  </w:style>
  <w:style w:type="paragraph" w:styleId="873" w:customStyle="1">
    <w:name w:val="Основной текст1"/>
    <w:basedOn w:val="816"/>
    <w:pPr>
      <w:contextualSpacing w:val="0"/>
      <w:ind w:left="0" w:right="0" w:firstLine="0"/>
      <w:jc w:val="both"/>
      <w:keepLines w:val="0"/>
      <w:keepNext w:val="0"/>
      <w:pageBreakBefore w:val="0"/>
      <w:spacing w:before="600" w:beforeAutospacing="0" w:after="0" w:afterAutospacing="0" w:line="322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5"/>
      <w:position w:val="0"/>
      <w:sz w:val="25"/>
      <w:szCs w:val="25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C50BA7-E4F0-48AD-A549-8B901F4E4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RePack by SPecialiST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ОБЪЕКТА ЗАКУПКИ</dc:title>
  <dc:subject/>
  <dc:creator>Торги</dc:creator>
  <cp:keywords/>
  <dc:description/>
  <cp:lastModifiedBy>Шаехова Роза Робертовна</cp:lastModifiedBy>
  <cp:revision>20</cp:revision>
  <dcterms:created xsi:type="dcterms:W3CDTF">2026-09-03T11:31:00Z</dcterms:created>
  <dcterms:modified xsi:type="dcterms:W3CDTF">2026-10-13T11:54:52Z</dcterms:modified>
</cp:coreProperties>
</file>