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350D" w:rsidRDefault="006F350D">
      <w:pPr>
        <w:jc w:val="center"/>
        <w:rPr>
          <w:b/>
          <w:bCs/>
          <w:sz w:val="26"/>
          <w:szCs w:val="26"/>
          <w:lang w:val="en-US"/>
        </w:rPr>
      </w:pPr>
    </w:p>
    <w:p w:rsidR="006F350D" w:rsidRDefault="005744C2">
      <w:pPr>
        <w:jc w:val="center"/>
      </w:pPr>
      <w:r>
        <w:rPr>
          <w:b/>
          <w:bCs/>
          <w:sz w:val="24"/>
          <w:szCs w:val="24"/>
        </w:rPr>
        <w:t>Обоснование максимального значения цены контракта, начальных цен единиц услуг.</w:t>
      </w:r>
    </w:p>
    <w:p w:rsidR="006F350D" w:rsidRDefault="005744C2">
      <w:pPr>
        <w:ind w:firstLine="720"/>
        <w:jc w:val="center"/>
      </w:pPr>
      <w:r>
        <w:rPr>
          <w:bCs/>
          <w:sz w:val="24"/>
          <w:szCs w:val="24"/>
        </w:rPr>
        <w:t>«На</w:t>
      </w:r>
      <w:r>
        <w:rPr>
          <w:sz w:val="24"/>
          <w:szCs w:val="24"/>
        </w:rPr>
        <w:t xml:space="preserve"> оказание услуг по проведению плановой поверке средств измерений для нужд Минераловодской таможни»</w:t>
      </w:r>
    </w:p>
    <w:p w:rsidR="006F350D" w:rsidRDefault="005744C2">
      <w:pPr>
        <w:widowControl w:val="0"/>
        <w:jc w:val="center"/>
      </w:pPr>
      <w:r>
        <w:rPr>
          <w:b/>
          <w:bCs/>
          <w:smallCaps/>
          <w:spacing w:val="5"/>
          <w:sz w:val="28"/>
          <w:szCs w:val="28"/>
        </w:rPr>
        <w:t>иным методом</w:t>
      </w:r>
    </w:p>
    <w:p w:rsidR="006F350D" w:rsidRDefault="006F350D">
      <w:pPr>
        <w:widowControl w:val="0"/>
        <w:jc w:val="both"/>
        <w:rPr>
          <w:b/>
          <w:bCs/>
          <w:smallCaps/>
          <w:spacing w:val="5"/>
          <w:sz w:val="28"/>
          <w:szCs w:val="28"/>
          <w:highlight w:val="yellow"/>
        </w:rPr>
      </w:pPr>
    </w:p>
    <w:p w:rsidR="006F350D" w:rsidRDefault="005744C2">
      <w:pPr>
        <w:autoSpaceDE/>
        <w:ind w:firstLine="708"/>
        <w:jc w:val="both"/>
      </w:pPr>
      <w:r>
        <w:rPr>
          <w:bCs/>
          <w:sz w:val="24"/>
          <w:szCs w:val="24"/>
          <w:lang w:eastAsia="en-US"/>
        </w:rPr>
        <w:t xml:space="preserve">Начальная (максимальная) цена контракта (далее-НМЦК) определяется и обосновывается Заказчиком посредством </w:t>
      </w:r>
      <w:r>
        <w:rPr>
          <w:b/>
          <w:bCs/>
          <w:sz w:val="24"/>
          <w:szCs w:val="24"/>
          <w:u w:val="single"/>
          <w:lang w:eastAsia="en-US"/>
        </w:rPr>
        <w:t>применения иного метода</w:t>
      </w:r>
      <w:r>
        <w:rPr>
          <w:bCs/>
          <w:sz w:val="24"/>
          <w:szCs w:val="24"/>
          <w:lang w:eastAsia="en-US"/>
        </w:rPr>
        <w:t xml:space="preserve"> (статья 22 44-ФЗ)</w:t>
      </w:r>
    </w:p>
    <w:p w:rsidR="006F350D" w:rsidRDefault="006F350D">
      <w:pPr>
        <w:autoSpaceDE/>
        <w:ind w:firstLine="708"/>
        <w:jc w:val="both"/>
        <w:rPr>
          <w:b/>
          <w:sz w:val="24"/>
          <w:szCs w:val="24"/>
        </w:rPr>
      </w:pPr>
    </w:p>
    <w:p w:rsidR="006F350D" w:rsidRDefault="005744C2">
      <w:pPr>
        <w:ind w:firstLine="540"/>
        <w:jc w:val="both"/>
      </w:pPr>
      <w:r>
        <w:rPr>
          <w:sz w:val="24"/>
          <w:szCs w:val="24"/>
          <w:lang w:eastAsia="en-US"/>
        </w:rPr>
        <w:t xml:space="preserve">В соответствие с частью 12 статьи 22 Федерального закона от 05.04.2013 № 44-ФЗ в случае невозможности применения для определения НМЦК методов, указанных в части 1статьи 22 Федерального закона от 05.04.2013 № 44-ФЗ, Заказчик вправе применить иные методы. В этом случае в обоснование НМЦК заказчик обязан включить обоснование невозможности применения указанных методов.     </w:t>
      </w:r>
    </w:p>
    <w:p w:rsidR="006F350D" w:rsidRDefault="005744C2">
      <w:pPr>
        <w:ind w:firstLine="540"/>
        <w:jc w:val="both"/>
      </w:pPr>
      <w:r>
        <w:rPr>
          <w:b/>
          <w:sz w:val="24"/>
          <w:szCs w:val="24"/>
          <w:lang w:eastAsia="en-US"/>
        </w:rPr>
        <w:t>Метод сопоставимых рыночных цен (анализ рынка)</w:t>
      </w:r>
      <w:r>
        <w:rPr>
          <w:sz w:val="24"/>
          <w:szCs w:val="24"/>
          <w:lang w:eastAsia="en-US"/>
        </w:rPr>
        <w:t xml:space="preserve"> заключается в установлении НМЦК на основании информации о рыночных ценах идентичных услуг, планируемых к закупкам, или при их отсутствии однородных услуг (ч.2 ст.22 Федерального закона от 05.04.2013 № 44-ФЗ; п.3.1 Методических рекомендаций по применению методов определения начальной (максимальной)  цены  контракта, цены контракта, заключаемого с единственным поставщиком (подрядчиком, исполнителем), утвержденных приказом Минэкономразвития России от 02.10.2013 № 567 (далее – Методические рекомендации)).</w:t>
      </w:r>
    </w:p>
    <w:p w:rsidR="006F350D" w:rsidRDefault="005744C2">
      <w:pPr>
        <w:autoSpaceDE/>
        <w:ind w:right="81" w:firstLine="567"/>
        <w:jc w:val="both"/>
      </w:pPr>
      <w:r>
        <w:rPr>
          <w:sz w:val="24"/>
          <w:szCs w:val="24"/>
        </w:rPr>
        <w:t xml:space="preserve">Правовые основы обеспечения единства измерений в Российской Федерации регламентированы Федеральным законом от 26.07.2008 г. № 102-ФЗ «Об обеспечении единства измерений» (далее-Закон). Согласно п. 2 ч. 1 ст. 21 Закона деятельность по обеспечению единства измерений осуществляется подведомственными федеральному органу исполнительной власти, осуществляющему функции по оказанию государственных услуг и управлению государственным имуществом в области обеспечения единства измерений, государственными научными метрологическими институтами и государственными региональными центрами метрологии. </w:t>
      </w:r>
      <w:proofErr w:type="gramStart"/>
      <w:r>
        <w:rPr>
          <w:sz w:val="24"/>
          <w:szCs w:val="24"/>
        </w:rPr>
        <w:t>На основании п. 1 Положения о Федеральном агентстве по техническому регулированию и метрологии, утвержденного Постановлением Правительства РФ от 17 июня 2004 г. № 294, федеральным органом исполнительной власти, осуществляющим функции по оказанию государственных услуг, управлению государственным имуществом в сфере технического регулирования и метрологии, является Федеральное агентство по техническому регулированию и метрологии, находящееся в ведении Министерства промышленности и торговли РФ.</w:t>
      </w:r>
      <w:proofErr w:type="gramEnd"/>
    </w:p>
    <w:p w:rsidR="006F350D" w:rsidRDefault="005744C2">
      <w:pPr>
        <w:autoSpaceDE/>
        <w:ind w:right="81" w:firstLine="567"/>
        <w:jc w:val="both"/>
      </w:pPr>
      <w:r>
        <w:rPr>
          <w:sz w:val="24"/>
          <w:szCs w:val="24"/>
        </w:rPr>
        <w:t>Федеральным агентством по техническому регулированию и метрологии для осуществления своих полномочий и организации деятельности в субъектах Российской Федерации, созданы региональные центры по метрологии по территориальному принципу закрепления территорий, на которых осуществляется деятельность.</w:t>
      </w:r>
    </w:p>
    <w:p w:rsidR="006F350D" w:rsidRDefault="005744C2">
      <w:pPr>
        <w:ind w:firstLine="540"/>
        <w:jc w:val="both"/>
      </w:pPr>
      <w:r>
        <w:rPr>
          <w:sz w:val="24"/>
          <w:szCs w:val="24"/>
        </w:rPr>
        <w:t xml:space="preserve">В связи с принципом распределения, в г. Ставрополь Ставропольского края действует Федеральное бюджетное учреждение «Государственный региональный центр стандартизации, метрологии и испытаний в Северо-Кавказском федеральном округе» (ФБУ «Северо-Кавказский ЦСМ»), единственное учреждение, </w:t>
      </w:r>
      <w:r>
        <w:rPr>
          <w:sz w:val="24"/>
          <w:szCs w:val="24"/>
          <w:lang w:eastAsia="en-US"/>
        </w:rPr>
        <w:t xml:space="preserve">способное оказать необходимые Заказчику услуги по поверке (калибровки) средств измерений. </w:t>
      </w:r>
    </w:p>
    <w:p w:rsidR="006F350D" w:rsidRDefault="005744C2">
      <w:pPr>
        <w:ind w:firstLine="540"/>
        <w:jc w:val="both"/>
      </w:pPr>
      <w:proofErr w:type="gramStart"/>
      <w:r>
        <w:rPr>
          <w:sz w:val="24"/>
          <w:szCs w:val="24"/>
        </w:rPr>
        <w:t>С целью обоснования и определения НМЦК</w:t>
      </w:r>
      <w:r>
        <w:t xml:space="preserve"> </w:t>
      </w:r>
      <w:r>
        <w:rPr>
          <w:sz w:val="24"/>
          <w:szCs w:val="24"/>
        </w:rPr>
        <w:t xml:space="preserve">на оказание услуг по  проведению плановой поверке средств измерений для нужд Минераловодской таможни, Северо-Кавказским таможенным управлением проведен анализ рынка, путем </w:t>
      </w:r>
      <w:r>
        <w:t xml:space="preserve"> </w:t>
      </w:r>
      <w:r>
        <w:rPr>
          <w:sz w:val="24"/>
          <w:szCs w:val="24"/>
        </w:rPr>
        <w:t>размещения запроса цен в ЕИС от 14.10.2026 № 0121100008326000112, а так же направлено письмо Северо-Кавказского таможенного управления от 15.10.2026  № 42-21/10157  (согласно списку рассылки) о запросе коммерческого предложения.</w:t>
      </w:r>
      <w:proofErr w:type="gramEnd"/>
    </w:p>
    <w:p w:rsidR="006F350D" w:rsidRDefault="005744C2">
      <w:pPr>
        <w:ind w:firstLine="540"/>
        <w:jc w:val="both"/>
      </w:pPr>
      <w:r>
        <w:rPr>
          <w:sz w:val="24"/>
          <w:szCs w:val="24"/>
        </w:rPr>
        <w:t xml:space="preserve"> В результате направления запроса Исполнителю ответ получен от Исполнителя - ФБУ «Северо-Кавказский ЦСМ»</w:t>
      </w:r>
      <w:r>
        <w:rPr>
          <w:sz w:val="24"/>
          <w:szCs w:val="24"/>
          <w:lang w:eastAsia="en-US"/>
        </w:rPr>
        <w:t xml:space="preserve"> </w:t>
      </w:r>
      <w:r>
        <w:rPr>
          <w:sz w:val="24"/>
          <w:szCs w:val="24"/>
        </w:rPr>
        <w:t xml:space="preserve">(письмо № от 20.10.2026 № 1306/33). </w:t>
      </w:r>
    </w:p>
    <w:p w:rsidR="006F350D" w:rsidRDefault="005744C2">
      <w:pPr>
        <w:ind w:firstLine="540"/>
        <w:jc w:val="both"/>
      </w:pPr>
      <w:r>
        <w:rPr>
          <w:sz w:val="24"/>
          <w:szCs w:val="24"/>
        </w:rPr>
        <w:t xml:space="preserve">На официальных сайтах Исполнителей, расположенных в других регионах, имеются прейскуранты цен на идентичные или при их отсутствии однородные услуги, планируемые к </w:t>
      </w:r>
      <w:r>
        <w:rPr>
          <w:sz w:val="24"/>
          <w:szCs w:val="24"/>
        </w:rPr>
        <w:lastRenderedPageBreak/>
        <w:t>закупкам. Однако в эти цены не включены командировочные расходы работников исполнителя, затраты на</w:t>
      </w:r>
      <w:r>
        <w:rPr>
          <w:sz w:val="24"/>
          <w:szCs w:val="24"/>
          <w:lang w:eastAsia="en-US"/>
        </w:rPr>
        <w:t xml:space="preserve"> авиаперелет, транспортные затраты на доставку средств измерений и т.п. </w:t>
      </w:r>
    </w:p>
    <w:p w:rsidR="006F350D" w:rsidRDefault="005744C2">
      <w:pPr>
        <w:ind w:firstLine="540"/>
        <w:jc w:val="both"/>
      </w:pPr>
      <w:r>
        <w:rPr>
          <w:sz w:val="24"/>
          <w:szCs w:val="24"/>
          <w:lang w:eastAsia="en-US"/>
        </w:rPr>
        <w:t>Проведен анализ рынка с использованием общедоступной ценовой информации сети «Интернет», а так же содержащейся в реестре контрактов Единой информационной системы в сфере закупок, заключенных заказчиками на официальном сайте: www.zakupki.gov.ru., по результатам которого контракты с  условиями, схожими с потребностями заказчика отсутствуют.</w:t>
      </w:r>
    </w:p>
    <w:p w:rsidR="006F350D" w:rsidRDefault="005744C2">
      <w:pPr>
        <w:ind w:firstLine="540"/>
        <w:jc w:val="both"/>
      </w:pPr>
      <w:r>
        <w:rPr>
          <w:sz w:val="24"/>
          <w:szCs w:val="24"/>
          <w:lang w:eastAsia="en-US"/>
        </w:rPr>
        <w:t xml:space="preserve">Таким образом, </w:t>
      </w:r>
      <w:r>
        <w:rPr>
          <w:sz w:val="24"/>
          <w:szCs w:val="24"/>
          <w:u w:val="single"/>
          <w:lang w:eastAsia="en-US"/>
        </w:rPr>
        <w:t xml:space="preserve">применение метода сопоставимых рыночных цен (анализа рынка) невозможно.  </w:t>
      </w:r>
    </w:p>
    <w:p w:rsidR="006F350D" w:rsidRDefault="005744C2">
      <w:pPr>
        <w:ind w:firstLine="540"/>
        <w:jc w:val="both"/>
      </w:pPr>
      <w:r>
        <w:rPr>
          <w:b/>
          <w:sz w:val="24"/>
          <w:szCs w:val="24"/>
          <w:lang w:eastAsia="en-US"/>
        </w:rPr>
        <w:t>Нормативный метод</w:t>
      </w:r>
      <w:r>
        <w:rPr>
          <w:sz w:val="24"/>
          <w:szCs w:val="24"/>
          <w:lang w:eastAsia="en-US"/>
        </w:rPr>
        <w:t xml:space="preserve"> на основании части 7 статьи 22 Федерального закона от 05.04.2013 № 44-ФЗ заключается в расчете начальной (максимальной) цены контракта на основе требований к закупаемым услугам, установленных в соответствии со статьей 19 Федерального закона от 05.04.2013 № 44-ФЗ в случае, если такие требования предусматривают установление предельных цен услуг. Требования, предусматривающие установление предельных цен услуг по поверке средств измерений, отсутствуют (цена закупаемых услуг не нормируется в соответствии с действующим законодательством Российской Федерации). Таким образом, </w:t>
      </w:r>
      <w:r>
        <w:rPr>
          <w:sz w:val="24"/>
          <w:szCs w:val="24"/>
          <w:u w:val="single"/>
          <w:lang w:eastAsia="en-US"/>
        </w:rPr>
        <w:t>применение нормативного метода невозможно</w:t>
      </w:r>
      <w:r>
        <w:rPr>
          <w:sz w:val="24"/>
          <w:szCs w:val="24"/>
          <w:lang w:eastAsia="en-US"/>
        </w:rPr>
        <w:t xml:space="preserve">. </w:t>
      </w:r>
    </w:p>
    <w:p w:rsidR="006F350D" w:rsidRDefault="005744C2">
      <w:pPr>
        <w:ind w:firstLine="540"/>
        <w:jc w:val="both"/>
      </w:pPr>
      <w:r>
        <w:rPr>
          <w:b/>
          <w:sz w:val="24"/>
          <w:szCs w:val="24"/>
          <w:lang w:eastAsia="en-US"/>
        </w:rPr>
        <w:t>Тарифный метод</w:t>
      </w:r>
      <w:r>
        <w:rPr>
          <w:sz w:val="24"/>
          <w:szCs w:val="24"/>
          <w:lang w:eastAsia="en-US"/>
        </w:rPr>
        <w:t xml:space="preserve"> на основании части 8 статьи 22 Федерального закона от 05.04.2013 № 44-ФЗ применяется заказчиком, если в соответствии с законодательством Российской Федерации цены закупаемых услуг для обеспечения государственных нужд подлежат государственному регулированию или установлены муниципальными правовыми актами. </w:t>
      </w:r>
      <w:r>
        <w:rPr>
          <w:sz w:val="24"/>
          <w:szCs w:val="24"/>
          <w:u w:val="single"/>
          <w:lang w:eastAsia="en-US"/>
        </w:rPr>
        <w:t>Применение тарифного метода невозможно</w:t>
      </w:r>
      <w:r>
        <w:rPr>
          <w:sz w:val="24"/>
          <w:szCs w:val="24"/>
          <w:lang w:eastAsia="en-US"/>
        </w:rPr>
        <w:t xml:space="preserve"> в связи с тем, что </w:t>
      </w:r>
      <w:proofErr w:type="gramStart"/>
      <w:r>
        <w:rPr>
          <w:sz w:val="24"/>
          <w:szCs w:val="24"/>
          <w:lang w:eastAsia="en-US"/>
        </w:rPr>
        <w:t>что</w:t>
      </w:r>
      <w:proofErr w:type="gramEnd"/>
      <w:r>
        <w:rPr>
          <w:sz w:val="24"/>
          <w:szCs w:val="24"/>
          <w:lang w:eastAsia="en-US"/>
        </w:rPr>
        <w:t xml:space="preserve"> объект закупки не</w:t>
      </w:r>
      <w:r>
        <w:rPr>
          <w:sz w:val="24"/>
          <w:szCs w:val="24"/>
        </w:rPr>
        <w:t xml:space="preserve"> </w:t>
      </w:r>
      <w:r>
        <w:rPr>
          <w:sz w:val="24"/>
          <w:szCs w:val="24"/>
          <w:lang w:eastAsia="en-US"/>
        </w:rPr>
        <w:t xml:space="preserve">подлежит государственному регулированию. </w:t>
      </w:r>
    </w:p>
    <w:p w:rsidR="006F350D" w:rsidRDefault="005744C2">
      <w:pPr>
        <w:ind w:firstLine="540"/>
        <w:jc w:val="both"/>
      </w:pPr>
      <w:r>
        <w:rPr>
          <w:b/>
          <w:sz w:val="24"/>
          <w:szCs w:val="24"/>
          <w:lang w:eastAsia="en-US"/>
        </w:rPr>
        <w:t>Проектно-сметный метод</w:t>
      </w:r>
      <w:r>
        <w:rPr>
          <w:sz w:val="24"/>
          <w:szCs w:val="24"/>
          <w:lang w:eastAsia="en-US"/>
        </w:rPr>
        <w:t xml:space="preserve"> в соответствие с частью 9 статьи 22 Федерального закона от 05.04.2013 № 44-ФЗ заключается в определении начальной (максимальной) цены контракта на узкий перечень закупок, указанных в пунктах 1, 2 части 9 и в части 9.1статьи 22 Федерального закона от 05.04.2013 № 44-ФЗ. Оказание услуг по поверке средств измерений в данный перечень не входит. Таким образом, </w:t>
      </w:r>
      <w:r>
        <w:rPr>
          <w:sz w:val="24"/>
          <w:szCs w:val="24"/>
          <w:u w:val="single"/>
          <w:lang w:eastAsia="en-US"/>
        </w:rPr>
        <w:t>применение проектно-сметного метода невозможно</w:t>
      </w:r>
      <w:r>
        <w:rPr>
          <w:sz w:val="24"/>
          <w:szCs w:val="24"/>
          <w:lang w:eastAsia="en-US"/>
        </w:rPr>
        <w:t xml:space="preserve">. </w:t>
      </w:r>
    </w:p>
    <w:p w:rsidR="006F350D" w:rsidRDefault="005744C2">
      <w:pPr>
        <w:ind w:firstLine="540"/>
        <w:jc w:val="both"/>
      </w:pPr>
      <w:r>
        <w:rPr>
          <w:b/>
          <w:sz w:val="24"/>
          <w:szCs w:val="24"/>
          <w:lang w:eastAsia="en-US"/>
        </w:rPr>
        <w:t>Затратный метод</w:t>
      </w:r>
      <w:r>
        <w:rPr>
          <w:sz w:val="24"/>
          <w:szCs w:val="24"/>
          <w:lang w:eastAsia="en-US"/>
        </w:rPr>
        <w:t xml:space="preserve"> согласно части 10 статьи 22 Федерального закона от 05.04.2013 № 44-ФЗ применяется в случае невозможности применения иных методов, предусмотренных пунктами 1-4 части 1 статьи 22 Федерального закона от 05.04.2013 № 44-ФЗ, или в дополнение к иным методам. Данный метод заключается в определении начальной (максимальной) цены контракта как суммы произведенных затрат и обычной для определенной сферы деятельности прибыли. При этом учитываются обычные в подобных случаях прямые и косвенные затраты на производство или приобретение </w:t>
      </w:r>
      <w:proofErr w:type="gramStart"/>
      <w:r>
        <w:rPr>
          <w:sz w:val="24"/>
          <w:szCs w:val="24"/>
          <w:lang w:eastAsia="en-US"/>
        </w:rPr>
        <w:t>и(</w:t>
      </w:r>
      <w:proofErr w:type="gramEnd"/>
      <w:r>
        <w:rPr>
          <w:sz w:val="24"/>
          <w:szCs w:val="24"/>
          <w:lang w:eastAsia="en-US"/>
        </w:rPr>
        <w:t xml:space="preserve">или) реализацию товаров, работ, услуг, затраты на транспортировку, хранение, страхование и иные затраты. Заказчик, не обладая информацией о затратах и соответствующими знаниями в области услуг по поверке средств измерений, не в состоянии самостоятельно определить сумму произведенных затрат и обычной для определенной сферы деятельности в области услуг по поверке средств измерений прибыли. </w:t>
      </w:r>
      <w:proofErr w:type="gramStart"/>
      <w:r>
        <w:rPr>
          <w:sz w:val="24"/>
          <w:szCs w:val="24"/>
          <w:lang w:eastAsia="en-US"/>
        </w:rPr>
        <w:t>Информация об обычной прибыли для определенной сферы деятельности, установленная частью 11 статьи 22 Федерального закона от 05.04.2013 № 44-ФЗ, также не может быть получена заказчиком исходя из анализа контрактов, размещенных в единой информационной  системе, других общедоступных источников информации, в том  числе  информации  информационно-ценовых  агентств, общедоступных результатов изучения рынка, в связи с тем, что у каждого заказчика при закупке  аналогичных  услуг  перечень</w:t>
      </w:r>
      <w:proofErr w:type="gramEnd"/>
      <w:r>
        <w:rPr>
          <w:sz w:val="24"/>
          <w:szCs w:val="24"/>
          <w:lang w:eastAsia="en-US"/>
        </w:rPr>
        <w:t xml:space="preserve">  средств измерений </w:t>
      </w:r>
      <w:proofErr w:type="gramStart"/>
      <w:r>
        <w:rPr>
          <w:sz w:val="24"/>
          <w:szCs w:val="24"/>
          <w:lang w:eastAsia="en-US"/>
        </w:rPr>
        <w:t>индивидуален</w:t>
      </w:r>
      <w:proofErr w:type="gramEnd"/>
      <w:r>
        <w:rPr>
          <w:sz w:val="24"/>
          <w:szCs w:val="24"/>
          <w:lang w:eastAsia="en-US"/>
        </w:rPr>
        <w:t xml:space="preserve">. Таким образом, </w:t>
      </w:r>
      <w:r>
        <w:rPr>
          <w:sz w:val="24"/>
          <w:szCs w:val="24"/>
          <w:u w:val="single"/>
          <w:lang w:eastAsia="en-US"/>
        </w:rPr>
        <w:t>применение затратного метода также невозможно</w:t>
      </w:r>
      <w:r>
        <w:rPr>
          <w:sz w:val="24"/>
          <w:szCs w:val="24"/>
          <w:lang w:eastAsia="en-US"/>
        </w:rPr>
        <w:t xml:space="preserve">. </w:t>
      </w:r>
    </w:p>
    <w:p w:rsidR="006F350D" w:rsidRDefault="005744C2">
      <w:pPr>
        <w:ind w:firstLine="540"/>
        <w:jc w:val="both"/>
      </w:pPr>
      <w:r>
        <w:rPr>
          <w:sz w:val="24"/>
          <w:szCs w:val="24"/>
          <w:lang w:eastAsia="en-US"/>
        </w:rPr>
        <w:t>Учитывая вышеизложенное и руководствуясь частью 12 статьи 22 Федерального закона от 05.04.2013 № 44-ФЗ Заказчиком в целях определения НМЦК иным методом использовано ценовое предложение, полученное от единственного Исполнителя, способного оказать необходимые Заказчику услуги по поверке (калибровке) средств измерений, а именно  от ФБУ «</w:t>
      </w:r>
      <w:proofErr w:type="gramStart"/>
      <w:r>
        <w:rPr>
          <w:sz w:val="24"/>
          <w:szCs w:val="24"/>
          <w:lang w:eastAsia="en-US"/>
        </w:rPr>
        <w:t>Северо-Кавказский</w:t>
      </w:r>
      <w:proofErr w:type="gramEnd"/>
      <w:r>
        <w:rPr>
          <w:sz w:val="24"/>
          <w:szCs w:val="24"/>
          <w:lang w:eastAsia="en-US"/>
        </w:rPr>
        <w:t xml:space="preserve"> ЦСМ»:</w:t>
      </w:r>
    </w:p>
    <w:p w:rsidR="006F350D" w:rsidRDefault="006F350D">
      <w:pPr>
        <w:ind w:firstLine="540"/>
        <w:jc w:val="both"/>
        <w:rPr>
          <w:sz w:val="24"/>
          <w:szCs w:val="24"/>
          <w:lang w:eastAsia="en-US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846"/>
        <w:gridCol w:w="5216"/>
        <w:gridCol w:w="992"/>
        <w:gridCol w:w="1418"/>
        <w:gridCol w:w="1842"/>
      </w:tblGrid>
      <w:tr w:rsidR="006F350D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50D" w:rsidRDefault="005744C2">
            <w:pPr>
              <w:autoSpaceDE/>
            </w:pPr>
            <w:r>
              <w:rPr>
                <w:sz w:val="24"/>
                <w:szCs w:val="24"/>
                <w:lang w:eastAsia="en-US"/>
              </w:rPr>
              <w:t xml:space="preserve">№ </w:t>
            </w:r>
            <w:proofErr w:type="gramStart"/>
            <w:r>
              <w:rPr>
                <w:sz w:val="24"/>
                <w:szCs w:val="24"/>
                <w:lang w:eastAsia="en-US"/>
              </w:rPr>
              <w:t>п</w:t>
            </w:r>
            <w:proofErr w:type="gramEnd"/>
            <w:r>
              <w:rPr>
                <w:sz w:val="24"/>
                <w:szCs w:val="24"/>
                <w:lang w:eastAsia="en-US"/>
              </w:rPr>
              <w:t>/п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50D" w:rsidRDefault="005744C2">
            <w:pPr>
              <w:autoSpaceDE/>
            </w:pPr>
            <w:r>
              <w:rPr>
                <w:sz w:val="24"/>
                <w:szCs w:val="24"/>
                <w:lang w:eastAsia="en-US"/>
              </w:rPr>
              <w:t>Наименование средств измерений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50D" w:rsidRDefault="005744C2">
            <w:pPr>
              <w:autoSpaceDE/>
            </w:pPr>
            <w:r>
              <w:rPr>
                <w:sz w:val="24"/>
                <w:szCs w:val="24"/>
                <w:lang w:eastAsia="en-US"/>
              </w:rPr>
              <w:t>Кол-во, шт.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50D" w:rsidRDefault="005744C2">
            <w:pPr>
              <w:autoSpaceDE/>
            </w:pPr>
            <w:r>
              <w:rPr>
                <w:sz w:val="24"/>
                <w:szCs w:val="24"/>
                <w:lang w:eastAsia="en-US"/>
              </w:rPr>
              <w:t xml:space="preserve">Цена за единицу с </w:t>
            </w:r>
            <w:r>
              <w:rPr>
                <w:sz w:val="24"/>
                <w:szCs w:val="24"/>
                <w:lang w:eastAsia="en-US"/>
              </w:rPr>
              <w:lastRenderedPageBreak/>
              <w:t>НДС, руб.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50D" w:rsidRDefault="005744C2">
            <w:pPr>
              <w:autoSpaceDE/>
            </w:pPr>
            <w:r>
              <w:rPr>
                <w:sz w:val="24"/>
                <w:szCs w:val="24"/>
                <w:lang w:eastAsia="en-US"/>
              </w:rPr>
              <w:lastRenderedPageBreak/>
              <w:t>ИТОГО с НДС, руб.</w:t>
            </w:r>
          </w:p>
        </w:tc>
      </w:tr>
      <w:tr w:rsidR="006F350D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50D" w:rsidRDefault="005744C2">
            <w:pPr>
              <w:autoSpaceDE/>
            </w:pPr>
            <w:r>
              <w:rPr>
                <w:sz w:val="24"/>
                <w:szCs w:val="24"/>
                <w:lang w:eastAsia="en-US"/>
              </w:rPr>
              <w:lastRenderedPageBreak/>
              <w:t>1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50D" w:rsidRDefault="005744C2">
            <w:r>
              <w:rPr>
                <w:sz w:val="24"/>
                <w:szCs w:val="24"/>
                <w:lang w:eastAsia="en-US"/>
              </w:rPr>
              <w:t xml:space="preserve">Весы лабораторные ВК-300.1 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50D" w:rsidRDefault="005744C2">
            <w:pPr>
              <w:autoSpaceDE/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50D" w:rsidRDefault="005744C2">
            <w:pPr>
              <w:autoSpaceDE/>
            </w:pPr>
            <w:r>
              <w:rPr>
                <w:sz w:val="24"/>
                <w:szCs w:val="24"/>
                <w:lang w:eastAsia="en-US"/>
              </w:rPr>
              <w:t>2 091,86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50D" w:rsidRDefault="005744C2">
            <w:pPr>
              <w:autoSpaceDE/>
            </w:pPr>
            <w:r>
              <w:rPr>
                <w:sz w:val="24"/>
                <w:szCs w:val="24"/>
                <w:lang w:eastAsia="en-US"/>
              </w:rPr>
              <w:t>2 091,86</w:t>
            </w:r>
          </w:p>
        </w:tc>
      </w:tr>
      <w:tr w:rsidR="006F350D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50D" w:rsidRDefault="005744C2">
            <w:pPr>
              <w:autoSpaceDE/>
            </w:pPr>
            <w:r>
              <w:rPr>
                <w:sz w:val="24"/>
                <w:szCs w:val="24"/>
                <w:lang w:eastAsia="en-US"/>
              </w:rPr>
              <w:t>2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50D" w:rsidRDefault="005744C2">
            <w:r>
              <w:rPr>
                <w:sz w:val="24"/>
                <w:szCs w:val="24"/>
                <w:lang w:eastAsia="en-US"/>
              </w:rPr>
              <w:t>Весы электронные настольные МК-15.2-АВ20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50D" w:rsidRDefault="005744C2">
            <w:pPr>
              <w:autoSpaceDE/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50D" w:rsidRDefault="005744C2">
            <w:pPr>
              <w:autoSpaceDE/>
            </w:pPr>
            <w:r>
              <w:rPr>
                <w:sz w:val="24"/>
                <w:szCs w:val="24"/>
                <w:lang w:eastAsia="en-US"/>
              </w:rPr>
              <w:t>1 039,00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50D" w:rsidRDefault="005744C2">
            <w:pPr>
              <w:autoSpaceDE/>
            </w:pPr>
            <w:r>
              <w:rPr>
                <w:sz w:val="24"/>
                <w:szCs w:val="24"/>
                <w:lang w:eastAsia="en-US"/>
              </w:rPr>
              <w:t>1 039,00</w:t>
            </w:r>
          </w:p>
        </w:tc>
      </w:tr>
      <w:tr w:rsidR="006F350D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50D" w:rsidRDefault="005744C2">
            <w:pPr>
              <w:autoSpaceDE/>
            </w:pPr>
            <w:r>
              <w:rPr>
                <w:sz w:val="24"/>
                <w:szCs w:val="24"/>
                <w:lang w:eastAsia="en-US"/>
              </w:rPr>
              <w:t>3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50D" w:rsidRDefault="005744C2">
            <w:r>
              <w:rPr>
                <w:sz w:val="24"/>
                <w:szCs w:val="24"/>
                <w:lang w:eastAsia="en-US"/>
              </w:rPr>
              <w:t xml:space="preserve">Весы до </w:t>
            </w:r>
            <w:proofErr w:type="spellStart"/>
            <w:r>
              <w:rPr>
                <w:sz w:val="24"/>
                <w:szCs w:val="24"/>
                <w:lang w:eastAsia="en-US"/>
              </w:rPr>
              <w:t>Зкг</w:t>
            </w:r>
            <w:proofErr w:type="spellEnd"/>
            <w:r>
              <w:rPr>
                <w:sz w:val="24"/>
                <w:szCs w:val="24"/>
                <w:lang w:eastAsia="en-US"/>
              </w:rPr>
              <w:t>. ВЭУ-3-0.5/1-А ВЭУ, мод</w:t>
            </w:r>
            <w:proofErr w:type="gramStart"/>
            <w:r>
              <w:rPr>
                <w:sz w:val="24"/>
                <w:szCs w:val="24"/>
                <w:lang w:eastAsia="en-US"/>
              </w:rPr>
              <w:t>.В</w:t>
            </w:r>
            <w:proofErr w:type="gramEnd"/>
            <w:r>
              <w:rPr>
                <w:sz w:val="24"/>
                <w:szCs w:val="24"/>
                <w:lang w:eastAsia="en-US"/>
              </w:rPr>
              <w:t>ЭУ-3-0,5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50D" w:rsidRDefault="005744C2">
            <w:pPr>
              <w:autoSpaceDE/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50D" w:rsidRDefault="005744C2">
            <w:pPr>
              <w:autoSpaceDE/>
            </w:pPr>
            <w:r>
              <w:rPr>
                <w:sz w:val="24"/>
                <w:szCs w:val="24"/>
                <w:lang w:eastAsia="en-US"/>
              </w:rPr>
              <w:t>1 039,00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50D" w:rsidRDefault="005744C2">
            <w:pPr>
              <w:autoSpaceDE/>
            </w:pPr>
            <w:r>
              <w:rPr>
                <w:sz w:val="24"/>
                <w:szCs w:val="24"/>
                <w:lang w:eastAsia="en-US"/>
              </w:rPr>
              <w:t>1 039,00</w:t>
            </w:r>
          </w:p>
        </w:tc>
      </w:tr>
      <w:tr w:rsidR="006F350D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50D" w:rsidRDefault="005744C2">
            <w:pPr>
              <w:autoSpaceDE/>
            </w:pPr>
            <w:r>
              <w:rPr>
                <w:sz w:val="24"/>
                <w:szCs w:val="24"/>
                <w:lang w:eastAsia="en-US"/>
              </w:rPr>
              <w:t>4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50D" w:rsidRDefault="005744C2">
            <w:r>
              <w:rPr>
                <w:sz w:val="24"/>
                <w:szCs w:val="24"/>
                <w:lang w:eastAsia="en-US"/>
              </w:rPr>
              <w:t>Весы электронные ВЭТ-150-20/50-1С-ДБ(600*800)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50D" w:rsidRDefault="005744C2">
            <w:pPr>
              <w:autoSpaceDE/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50D" w:rsidRDefault="005744C2">
            <w:pPr>
              <w:autoSpaceDE/>
            </w:pPr>
            <w:r>
              <w:rPr>
                <w:sz w:val="24"/>
                <w:szCs w:val="24"/>
                <w:lang w:eastAsia="en-US"/>
              </w:rPr>
              <w:t>2 078,00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50D" w:rsidRDefault="005744C2">
            <w:pPr>
              <w:autoSpaceDE/>
            </w:pPr>
            <w:r>
              <w:rPr>
                <w:sz w:val="24"/>
                <w:szCs w:val="24"/>
                <w:lang w:eastAsia="en-US"/>
              </w:rPr>
              <w:t>2 078,00</w:t>
            </w:r>
          </w:p>
        </w:tc>
      </w:tr>
      <w:tr w:rsidR="006F350D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50D" w:rsidRDefault="005744C2">
            <w:pPr>
              <w:autoSpaceDE/>
            </w:pPr>
            <w:r>
              <w:rPr>
                <w:sz w:val="24"/>
                <w:szCs w:val="24"/>
                <w:lang w:eastAsia="en-US"/>
              </w:rPr>
              <w:t>5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50D" w:rsidRDefault="005744C2">
            <w:r>
              <w:rPr>
                <w:sz w:val="24"/>
                <w:szCs w:val="24"/>
                <w:lang w:eastAsia="en-US"/>
              </w:rPr>
              <w:t>Рулетки измерительные металлические FiscoUM5M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50D" w:rsidRDefault="005744C2">
            <w:pPr>
              <w:autoSpaceDE/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50D" w:rsidRDefault="005744C2">
            <w:pPr>
              <w:autoSpaceDE/>
            </w:pPr>
            <w:r>
              <w:rPr>
                <w:sz w:val="24"/>
                <w:szCs w:val="24"/>
                <w:lang w:eastAsia="en-US"/>
              </w:rPr>
              <w:t>221,65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50D" w:rsidRDefault="005744C2">
            <w:pPr>
              <w:autoSpaceDE/>
            </w:pPr>
            <w:r>
              <w:rPr>
                <w:sz w:val="24"/>
                <w:szCs w:val="24"/>
                <w:lang w:eastAsia="en-US"/>
              </w:rPr>
              <w:t>221,65</w:t>
            </w:r>
          </w:p>
        </w:tc>
      </w:tr>
      <w:tr w:rsidR="006F350D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50D" w:rsidRDefault="005744C2">
            <w:pPr>
              <w:autoSpaceDE/>
            </w:pPr>
            <w:r>
              <w:rPr>
                <w:sz w:val="24"/>
                <w:szCs w:val="24"/>
                <w:lang w:eastAsia="en-US"/>
              </w:rPr>
              <w:t>6</w:t>
            </w: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50D" w:rsidRDefault="005744C2">
            <w:r>
              <w:rPr>
                <w:sz w:val="24"/>
                <w:szCs w:val="24"/>
                <w:lang w:eastAsia="en-US"/>
              </w:rPr>
              <w:t>Линейки измерительные металлические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50D" w:rsidRDefault="005744C2">
            <w:pPr>
              <w:autoSpaceDE/>
            </w:pPr>
            <w:r>
              <w:rPr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50D" w:rsidRDefault="005744C2">
            <w:pPr>
              <w:autoSpaceDE/>
            </w:pPr>
            <w:r>
              <w:rPr>
                <w:sz w:val="24"/>
                <w:szCs w:val="24"/>
                <w:lang w:eastAsia="en-US"/>
              </w:rPr>
              <w:t>90,05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50D" w:rsidRDefault="005744C2">
            <w:pPr>
              <w:autoSpaceDE/>
            </w:pPr>
            <w:r>
              <w:rPr>
                <w:sz w:val="24"/>
                <w:szCs w:val="24"/>
                <w:lang w:eastAsia="en-US"/>
              </w:rPr>
              <w:t>90,05</w:t>
            </w:r>
          </w:p>
        </w:tc>
      </w:tr>
      <w:tr w:rsidR="006F350D">
        <w:tc>
          <w:tcPr>
            <w:tcW w:w="84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50D" w:rsidRDefault="006F350D">
            <w:pPr>
              <w:autoSpaceDE/>
              <w:snapToGrid w:val="0"/>
              <w:rPr>
                <w:rFonts w:ascii="Calibri" w:hAnsi="Calibri" w:cs="Calibri"/>
                <w:sz w:val="24"/>
                <w:szCs w:val="24"/>
                <w:lang w:eastAsia="en-US"/>
              </w:rPr>
            </w:pPr>
          </w:p>
        </w:tc>
        <w:tc>
          <w:tcPr>
            <w:tcW w:w="521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50D" w:rsidRDefault="005744C2">
            <w:pPr>
              <w:autoSpaceDE/>
            </w:pPr>
            <w:r>
              <w:rPr>
                <w:sz w:val="24"/>
                <w:szCs w:val="24"/>
                <w:lang w:eastAsia="en-US"/>
              </w:rPr>
              <w:t>ИТОГО</w:t>
            </w:r>
          </w:p>
        </w:tc>
        <w:tc>
          <w:tcPr>
            <w:tcW w:w="99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50D" w:rsidRPr="00893DE4" w:rsidRDefault="00893DE4">
            <w:pPr>
              <w:autoSpaceDE/>
              <w:rPr>
                <w:lang w:val="en-US"/>
              </w:rPr>
            </w:pPr>
            <w:r>
              <w:rPr>
                <w:sz w:val="24"/>
                <w:szCs w:val="24"/>
                <w:lang w:val="en-US" w:eastAsia="en-US"/>
              </w:rPr>
              <w:t>6</w:t>
            </w:r>
            <w:bookmarkStart w:id="0" w:name="_GoBack"/>
            <w:bookmarkEnd w:id="0"/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50D" w:rsidRDefault="006F350D">
            <w:pPr>
              <w:autoSpaceDE/>
              <w:snapToGrid w:val="0"/>
              <w:rPr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6F350D" w:rsidRDefault="005744C2">
            <w:pPr>
              <w:autoSpaceDE/>
            </w:pPr>
            <w:r>
              <w:rPr>
                <w:sz w:val="24"/>
                <w:szCs w:val="24"/>
                <w:lang w:eastAsia="en-US"/>
              </w:rPr>
              <w:t>6 559,56</w:t>
            </w:r>
          </w:p>
        </w:tc>
      </w:tr>
    </w:tbl>
    <w:p w:rsidR="006F350D" w:rsidRDefault="006F350D">
      <w:pPr>
        <w:ind w:firstLine="540"/>
        <w:jc w:val="both"/>
        <w:rPr>
          <w:sz w:val="24"/>
          <w:szCs w:val="24"/>
          <w:highlight w:val="yellow"/>
          <w:lang w:eastAsia="en-US"/>
        </w:rPr>
      </w:pPr>
    </w:p>
    <w:p w:rsidR="006F350D" w:rsidRDefault="005744C2">
      <w:pPr>
        <w:autoSpaceDE/>
        <w:ind w:firstLine="567"/>
        <w:jc w:val="both"/>
      </w:pPr>
      <w:r>
        <w:rPr>
          <w:sz w:val="24"/>
          <w:szCs w:val="24"/>
          <w:lang w:eastAsia="en-US"/>
        </w:rPr>
        <w:t xml:space="preserve">Исходя из вышеуказанной ценовой информации на оказание услуг по поверке (калибровке) средств измерений для нужд Минераловодской таможни НМЦК составляет </w:t>
      </w:r>
      <w:r>
        <w:rPr>
          <w:b/>
          <w:sz w:val="24"/>
          <w:szCs w:val="24"/>
          <w:lang w:eastAsia="en-US"/>
        </w:rPr>
        <w:t>6 559,56 (Шесть тысяч пятьсот пятьдесят девять рублей 56 копеек).</w:t>
      </w:r>
    </w:p>
    <w:p w:rsidR="006F350D" w:rsidRDefault="006F350D">
      <w:pPr>
        <w:autoSpaceDE/>
        <w:ind w:firstLine="567"/>
        <w:jc w:val="both"/>
        <w:rPr>
          <w:b/>
          <w:sz w:val="24"/>
          <w:szCs w:val="24"/>
          <w:lang w:eastAsia="en-US"/>
        </w:rPr>
      </w:pPr>
    </w:p>
    <w:p w:rsidR="006F350D" w:rsidRDefault="006F350D">
      <w:pPr>
        <w:ind w:firstLine="720"/>
        <w:jc w:val="center"/>
      </w:pPr>
    </w:p>
    <w:sectPr w:rsidR="006F350D">
      <w:headerReference w:type="default" r:id="rId7"/>
      <w:headerReference w:type="first" r:id="rId8"/>
      <w:pgSz w:w="11906" w:h="16838"/>
      <w:pgMar w:top="851" w:right="850" w:bottom="1134" w:left="851" w:header="397" w:footer="720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F350D" w:rsidRDefault="005744C2">
      <w:r>
        <w:separator/>
      </w:r>
    </w:p>
  </w:endnote>
  <w:endnote w:type="continuationSeparator" w:id="0">
    <w:p w:rsidR="006F350D" w:rsidRDefault="005744C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Liberation Sans">
    <w:panose1 w:val="020B0604020202020204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F350D" w:rsidRDefault="005744C2">
      <w:r>
        <w:separator/>
      </w:r>
    </w:p>
  </w:footnote>
  <w:footnote w:type="continuationSeparator" w:id="0">
    <w:p w:rsidR="006F350D" w:rsidRDefault="005744C2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50D" w:rsidRDefault="006F350D">
    <w:pPr>
      <w:pStyle w:val="aa"/>
      <w:jc w:val="right"/>
      <w:rPr>
        <w:sz w:val="14"/>
        <w:szCs w:val="14"/>
      </w:rPr>
    </w:pPr>
  </w:p>
  <w:p w:rsidR="006F350D" w:rsidRDefault="006F350D">
    <w:pPr>
      <w:pStyle w:val="aa"/>
      <w:jc w:val="right"/>
      <w:rPr>
        <w:sz w:val="14"/>
        <w:szCs w:val="14"/>
      </w:rP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F350D" w:rsidRDefault="006F350D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4C2"/>
    <w:rsid w:val="005744C2"/>
    <w:rsid w:val="006F350D"/>
    <w:rsid w:val="00893D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autoSpaceDE w:val="0"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HeaderChar">
    <w:name w:val="Header Char"/>
    <w:rPr>
      <w:rFonts w:ascii="Times New Roman" w:hAnsi="Times New Roman" w:cs="Times New Roman"/>
      <w:sz w:val="20"/>
      <w:szCs w:val="20"/>
    </w:rPr>
  </w:style>
  <w:style w:type="character" w:customStyle="1" w:styleId="FooterChar">
    <w:name w:val="Footer Char"/>
    <w:rPr>
      <w:rFonts w:ascii="Times New Roman" w:hAnsi="Times New Roman" w:cs="Times New Roman"/>
      <w:sz w:val="20"/>
      <w:szCs w:val="20"/>
    </w:rPr>
  </w:style>
  <w:style w:type="character" w:customStyle="1" w:styleId="a3">
    <w:name w:val="Символ сноски"/>
    <w:rPr>
      <w:rFonts w:cs="Times New Roman"/>
      <w:vertAlign w:val="superscript"/>
    </w:rPr>
  </w:style>
  <w:style w:type="character" w:customStyle="1" w:styleId="FootnoteTextChar">
    <w:name w:val="Footnote Text Char"/>
    <w:rPr>
      <w:rFonts w:ascii="Times New Roman" w:hAnsi="Times New Roman" w:cs="Times New Roman"/>
      <w:sz w:val="20"/>
      <w:szCs w:val="20"/>
    </w:rPr>
  </w:style>
  <w:style w:type="character" w:styleId="a4">
    <w:name w:val="Hyperlink"/>
    <w:rPr>
      <w:rFonts w:cs="Times New Roman"/>
      <w:color w:val="0000FF"/>
      <w:u w:val="single"/>
    </w:rPr>
  </w:style>
  <w:style w:type="character" w:customStyle="1" w:styleId="PlainTextChar">
    <w:name w:val="Plain Text Char"/>
    <w:rPr>
      <w:rFonts w:ascii="Courier New" w:hAnsi="Courier New" w:cs="Courier New"/>
      <w:sz w:val="20"/>
      <w:szCs w:val="20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customStyle="1" w:styleId="a9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a">
    <w:name w:val="header"/>
    <w:basedOn w:val="a"/>
    <w:pPr>
      <w:tabs>
        <w:tab w:val="center" w:pos="4153"/>
        <w:tab w:val="right" w:pos="8306"/>
      </w:tabs>
    </w:pPr>
  </w:style>
  <w:style w:type="paragraph" w:styleId="ab">
    <w:name w:val="footer"/>
    <w:basedOn w:val="a"/>
    <w:pPr>
      <w:tabs>
        <w:tab w:val="center" w:pos="4153"/>
        <w:tab w:val="right" w:pos="8306"/>
      </w:tabs>
    </w:pPr>
  </w:style>
  <w:style w:type="paragraph" w:styleId="ac">
    <w:name w:val="footnote text"/>
    <w:basedOn w:val="a"/>
  </w:style>
  <w:style w:type="paragraph" w:customStyle="1" w:styleId="11">
    <w:name w:val="Текст1"/>
    <w:basedOn w:val="a"/>
    <w:pPr>
      <w:autoSpaceDE/>
    </w:pPr>
    <w:rPr>
      <w:rFonts w:ascii="Courier New" w:hAnsi="Courier New" w:cs="Courier New"/>
    </w:rPr>
  </w:style>
  <w:style w:type="paragraph" w:customStyle="1" w:styleId="12">
    <w:name w:val="Текст выноски1"/>
    <w:basedOn w:val="a"/>
    <w:rPr>
      <w:rFonts w:ascii="Tahoma" w:hAnsi="Tahoma" w:cs="Tahoma"/>
      <w:sz w:val="16"/>
      <w:szCs w:val="16"/>
    </w:rPr>
  </w:style>
  <w:style w:type="paragraph" w:customStyle="1" w:styleId="ad">
    <w:name w:val="Содержимое таблицы"/>
    <w:basedOn w:val="a"/>
    <w:pPr>
      <w:widowControl w:val="0"/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suppressAutoHyphens/>
      <w:autoSpaceDE w:val="0"/>
    </w:pPr>
    <w:rPr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</w:style>
  <w:style w:type="character" w:customStyle="1" w:styleId="HeaderChar">
    <w:name w:val="Header Char"/>
    <w:rPr>
      <w:rFonts w:ascii="Times New Roman" w:hAnsi="Times New Roman" w:cs="Times New Roman"/>
      <w:sz w:val="20"/>
      <w:szCs w:val="20"/>
    </w:rPr>
  </w:style>
  <w:style w:type="character" w:customStyle="1" w:styleId="FooterChar">
    <w:name w:val="Footer Char"/>
    <w:rPr>
      <w:rFonts w:ascii="Times New Roman" w:hAnsi="Times New Roman" w:cs="Times New Roman"/>
      <w:sz w:val="20"/>
      <w:szCs w:val="20"/>
    </w:rPr>
  </w:style>
  <w:style w:type="character" w:customStyle="1" w:styleId="a3">
    <w:name w:val="Символ сноски"/>
    <w:rPr>
      <w:rFonts w:cs="Times New Roman"/>
      <w:vertAlign w:val="superscript"/>
    </w:rPr>
  </w:style>
  <w:style w:type="character" w:customStyle="1" w:styleId="FootnoteTextChar">
    <w:name w:val="Footnote Text Char"/>
    <w:rPr>
      <w:rFonts w:ascii="Times New Roman" w:hAnsi="Times New Roman" w:cs="Times New Roman"/>
      <w:sz w:val="20"/>
      <w:szCs w:val="20"/>
    </w:rPr>
  </w:style>
  <w:style w:type="character" w:styleId="a4">
    <w:name w:val="Hyperlink"/>
    <w:rPr>
      <w:rFonts w:cs="Times New Roman"/>
      <w:color w:val="0000FF"/>
      <w:u w:val="single"/>
    </w:rPr>
  </w:style>
  <w:style w:type="character" w:customStyle="1" w:styleId="PlainTextChar">
    <w:name w:val="Plain Text Char"/>
    <w:rPr>
      <w:rFonts w:ascii="Courier New" w:hAnsi="Courier New" w:cs="Courier New"/>
      <w:sz w:val="20"/>
      <w:szCs w:val="20"/>
    </w:rPr>
  </w:style>
  <w:style w:type="character" w:customStyle="1" w:styleId="BalloonTextChar">
    <w:name w:val="Balloon Text Char"/>
    <w:rPr>
      <w:rFonts w:ascii="Tahoma" w:hAnsi="Tahoma" w:cs="Tahoma"/>
      <w:sz w:val="16"/>
      <w:szCs w:val="16"/>
    </w:rPr>
  </w:style>
  <w:style w:type="paragraph" w:customStyle="1" w:styleId="a5">
    <w:name w:val="Заголовок"/>
    <w:basedOn w:val="a"/>
    <w:next w:val="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6">
    <w:name w:val="Body Text"/>
    <w:basedOn w:val="a"/>
    <w:pPr>
      <w:spacing w:after="140" w:line="276" w:lineRule="auto"/>
    </w:pPr>
  </w:style>
  <w:style w:type="paragraph" w:styleId="a7">
    <w:name w:val="List"/>
    <w:basedOn w:val="a6"/>
    <w:rPr>
      <w:rFonts w:cs="Mangal"/>
    </w:rPr>
  </w:style>
  <w:style w:type="paragraph" w:styleId="a8">
    <w:name w:val="caption"/>
    <w:basedOn w:val="a"/>
    <w:qFormat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10">
    <w:name w:val="Указатель1"/>
    <w:basedOn w:val="a"/>
    <w:pPr>
      <w:suppressLineNumbers/>
    </w:pPr>
    <w:rPr>
      <w:rFonts w:cs="Mangal"/>
    </w:rPr>
  </w:style>
  <w:style w:type="paragraph" w:customStyle="1" w:styleId="a9">
    <w:name w:val="Верхний и нижний колонтитулы"/>
    <w:basedOn w:val="a"/>
    <w:pPr>
      <w:suppressLineNumbers/>
      <w:tabs>
        <w:tab w:val="center" w:pos="4819"/>
        <w:tab w:val="right" w:pos="9638"/>
      </w:tabs>
    </w:pPr>
  </w:style>
  <w:style w:type="paragraph" w:styleId="aa">
    <w:name w:val="header"/>
    <w:basedOn w:val="a"/>
    <w:pPr>
      <w:tabs>
        <w:tab w:val="center" w:pos="4153"/>
        <w:tab w:val="right" w:pos="8306"/>
      </w:tabs>
    </w:pPr>
  </w:style>
  <w:style w:type="paragraph" w:styleId="ab">
    <w:name w:val="footer"/>
    <w:basedOn w:val="a"/>
    <w:pPr>
      <w:tabs>
        <w:tab w:val="center" w:pos="4153"/>
        <w:tab w:val="right" w:pos="8306"/>
      </w:tabs>
    </w:pPr>
  </w:style>
  <w:style w:type="paragraph" w:styleId="ac">
    <w:name w:val="footnote text"/>
    <w:basedOn w:val="a"/>
  </w:style>
  <w:style w:type="paragraph" w:customStyle="1" w:styleId="11">
    <w:name w:val="Текст1"/>
    <w:basedOn w:val="a"/>
    <w:pPr>
      <w:autoSpaceDE/>
    </w:pPr>
    <w:rPr>
      <w:rFonts w:ascii="Courier New" w:hAnsi="Courier New" w:cs="Courier New"/>
    </w:rPr>
  </w:style>
  <w:style w:type="paragraph" w:customStyle="1" w:styleId="12">
    <w:name w:val="Текст выноски1"/>
    <w:basedOn w:val="a"/>
    <w:rPr>
      <w:rFonts w:ascii="Tahoma" w:hAnsi="Tahoma" w:cs="Tahoma"/>
      <w:sz w:val="16"/>
      <w:szCs w:val="16"/>
    </w:rPr>
  </w:style>
  <w:style w:type="paragraph" w:customStyle="1" w:styleId="ad">
    <w:name w:val="Содержимое таблицы"/>
    <w:basedOn w:val="a"/>
    <w:pPr>
      <w:widowControl w:val="0"/>
      <w:suppressLineNumbers/>
    </w:pPr>
  </w:style>
  <w:style w:type="paragraph" w:customStyle="1" w:styleId="ae">
    <w:name w:val="Заголовок таблицы"/>
    <w:basedOn w:val="ad"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3</Pages>
  <Words>1264</Words>
  <Characters>7210</Characters>
  <Application>Microsoft Office Word</Application>
  <DocSecurity>0</DocSecurity>
  <Lines>60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8458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КонсультантПлюс</dc:creator>
  <cp:lastModifiedBy>Татьяна  Григорьевна Коломиец</cp:lastModifiedBy>
  <cp:revision>3</cp:revision>
  <cp:lastPrinted>2026-10-27T10:37:00Z</cp:lastPrinted>
  <dcterms:created xsi:type="dcterms:W3CDTF">2026-10-27T10:32:00Z</dcterms:created>
  <dcterms:modified xsi:type="dcterms:W3CDTF">2026-10-27T10:39:00Z</dcterms:modified>
</cp:coreProperties>
</file>