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76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Техническое задание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jc w:val="center"/>
        <w:spacing w:after="0" w:line="276" w:lineRule="auto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на о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казание образовательных услуг по обучению работников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Роскомнадзора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 по программе повышения </w:t>
      </w: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п</w:t>
      </w: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рофессиональной переподготовки/ переквалификация</w:t>
      </w: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Специалист по пожарной</w:t>
      </w: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безопасности/профилактике</w:t>
      </w: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</w:p>
    <w:p>
      <w:pPr>
        <w:jc w:val="center"/>
        <w:spacing w:after="0" w:line="276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574"/>
        <w:gridCol w:w="2502"/>
        <w:gridCol w:w="6495"/>
      </w:tblGrid>
      <w:tr>
        <w:tblPrEx/>
        <w:trPr/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№ п/п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307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Параметры требований к услугам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Требования к услугам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307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Наименование услуг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3" w:type="pct"/>
            <w:textDirection w:val="lrTb"/>
            <w:noWrap w:val="false"/>
          </w:tcPr>
          <w:p>
            <w:pPr>
              <w:ind w:right="-5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Оказание образовательных услуг по обучению работников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Роскомнадзора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по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ограмме п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рофессиональной переподготовки/ переквалификация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Специалист по пожарной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безопасности/профилактике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(далее – услуги,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обучение, образовательная программа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соответственно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).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trHeight w:val="756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2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307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Объем услуг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Продолжительность обучения должна составлять не менее 256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двести пятьдесят шесть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) академических часов.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3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307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Цель и назначение услуг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Получение работниками Заказчика (далее – Слушатели) компетенций, необходимых в профессиональной деятельности в части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 ос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нов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по пожарной профилактике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307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Основание для оказания услуг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Заключение 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контракта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307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Срок оказания услуг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Услуги оказываются в срок с момента заключения (подписания Сторонами)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Контракта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по 30.11.2026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307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Количество Слушателей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3 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(три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) человека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7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307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Место оказания услуг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Обучение Слушателей осуществляется по месту нахождения Исполнителя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 в г. Москва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8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307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Требования к услугам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 р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амках обучения Слушателей учебный процесс должен быть организован на современном уровне с применением инновационных технологий и методик обучения (пункт 3 статьи 20 Федерального закона от 29 декабря 2012 г. № 273-ФЗ «Об образовании в Российской Федерации»)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Исполнитель должен: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numPr>
                <w:ilvl w:val="0"/>
                <w:numId w:val="1"/>
              </w:numPr>
              <w:contextualSpacing/>
              <w:ind w:left="57" w:right="-5" w:hanging="3"/>
              <w:spacing w:after="0" w:line="240" w:lineRule="auto"/>
              <w:tabs>
                <w:tab w:val="left" w:pos="283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обеспечить проведение обучения Слушателей квалифицированными преподавателями, имеющими соответствующую специализацию и опыт работы;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numPr>
                <w:ilvl w:val="0"/>
                <w:numId w:val="1"/>
              </w:numPr>
              <w:contextualSpacing/>
              <w:ind w:left="57" w:right="-5" w:hanging="3"/>
              <w:spacing w:after="0" w:line="240" w:lineRule="auto"/>
              <w:tabs>
                <w:tab w:val="left" w:pos="283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провести обучение Слушателей в течение срока оказания услуг;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numPr>
                <w:ilvl w:val="0"/>
                <w:numId w:val="1"/>
              </w:numPr>
              <w:contextualSpacing/>
              <w:ind w:left="57" w:right="-5" w:hanging="3"/>
              <w:spacing w:after="0" w:line="240" w:lineRule="auto"/>
              <w:tabs>
                <w:tab w:val="left" w:pos="283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обеспечивать учебный процесс современными информационными образовательными технологиями;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numPr>
                <w:ilvl w:val="0"/>
                <w:numId w:val="1"/>
              </w:numPr>
              <w:contextualSpacing/>
              <w:ind w:left="57" w:right="-5" w:hanging="3"/>
              <w:spacing w:after="0" w:line="240" w:lineRule="auto"/>
              <w:tabs>
                <w:tab w:val="left" w:pos="283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обеспечить надлежащий уровень и качество обучения с использованием интерактивных методов ведения занятий и применением технических средств обучения, в случае если это предусмотрено образовательной программой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pStyle w:val="894"/>
              <w:numPr>
                <w:ilvl w:val="0"/>
                <w:numId w:val="1"/>
              </w:numPr>
              <w:ind w:left="142" w:hanging="284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обеспечить доступ к дидактическим и учебно-методическими материалами, изучение которых предусмотрено образовательной программой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 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обеспечить Слушателям предоставление доступа к таким материалам;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pStyle w:val="894"/>
              <w:numPr>
                <w:ilvl w:val="0"/>
                <w:numId w:val="1"/>
              </w:numPr>
              <w:ind w:left="142" w:firstLine="0"/>
              <w:spacing w:after="0" w:line="240" w:lineRule="auto"/>
              <w:tabs>
                <w:tab w:val="left" w:pos="283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сформировать аттестационную комиссию и провести по итогам обучения итоговую аттестацию Слушателей, прошедших обучение и выдать документ о квалификации/ прохождении обучения Слушателям, прошедшим итоговую аттестацию.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307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Условия взаимодействия с Заказчиком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3" w:type="pct"/>
            <w:textDirection w:val="lrTb"/>
            <w:noWrap w:val="false"/>
          </w:tcPr>
          <w:p>
            <w:pPr>
              <w:pStyle w:val="894"/>
              <w:numPr>
                <w:ilvl w:val="0"/>
                <w:numId w:val="24"/>
              </w:numPr>
              <w:ind w:left="0" w:firstLine="142"/>
              <w:spacing w:after="0" w:line="240" w:lineRule="auto"/>
              <w:tabs>
                <w:tab w:val="left" w:pos="283" w:leader="none"/>
              </w:tabs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Для взаимодействия с Заказчиком Исполнитель обязан в течение 1 (одного) рабочего дня с даты заключения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Контракта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 назначить ответственное контактное лицо (координатора), обладающего полной информацией по оказываемым услугам, выделить адрес электронной почты для приема данных (запросов,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заявок) в электронной форме, номер телефона и уведомить об этом Заказчика. Об изменении контактной информации ответственного лица Исполнитель обязан уведомить Заказчика в течение 1 (одного) рабочего дня со дня возникновения таких изменений.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>
          <w:trHeight w:val="962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10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307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Требования к содержанию образовательной программы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hd w:val="clear" w:color="auto" w:fill="ffffff"/>
                <w:lang w:eastAsia="ru-RU"/>
              </w:rPr>
              <w:t xml:space="preserve">Образовательная программа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с ориентировочным составом учебных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модулей и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тем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приведена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 приложении №1 к Техническому заданию.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trHeight w:val="365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11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307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Форма обучения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Дистанционно/Очно/Очно-заочно</w:t>
            </w:r>
            <w:r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12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307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Требования к Исполнителю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3" w:type="pct"/>
            <w:textDirection w:val="lrTb"/>
            <w:noWrap w:val="false"/>
          </w:tcPr>
          <w:p>
            <w:pPr>
              <w:ind w:right="-5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Исполнитель должен обладать лицензией на осуществление образовательной деятельности (пункт 40 части 1 статьи 12 Федерального закона от 4 мая 2011 г. № 99-ФЗ «О лицензировании отдельных видов деятельности»).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  <w:p>
            <w:pPr>
              <w:ind w:right="-5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Исполнитель должен иметь в штате работников, имеющих ученые степени и непосредственно задействованных в образовательном процессе.  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13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307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Требования к итоговой аттестации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3" w:type="pct"/>
            <w:textDirection w:val="lrTb"/>
            <w:noWrap w:val="false"/>
          </w:tcPr>
          <w:p>
            <w:pPr>
              <w:ind w:right="-5"/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По результатам обучения Слушателям, успешно освоившим образовательную программу и прошедшим итоговую аттестацию, выдается документ о квалификации/ прохождении обучения (пункт 17 части 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br/>
              <w:t xml:space="preserve">3 статьи 28 Федерального закона от 29 декабря 2012 г. 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br/>
              <w:t xml:space="preserve">№ 273-ФЗ «Об образовании в Российской Федерации»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; письмо Минобрнауки России от 12.03.2015 №АК-610/06 «О направлении методических рекомендаций» (вместе с «Методическими рекомендациями по разработке, порядку выдачи и  учету документов о квалификации в сфере дополнительного профессионального образования»).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r>
          </w:p>
          <w:p>
            <w:pPr>
              <w:ind w:right="-5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  <w:t xml:space="preserve">По результатам окончания курса выдается документ, установленного образца Исполнителя.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14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307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Минимальные требования к обеспечению Слушателей раздаточным материалом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3" w:type="pct"/>
            <w:textDirection w:val="lrTb"/>
            <w:noWrap w:val="false"/>
          </w:tcPr>
          <w:p>
            <w:pPr>
              <w:spacing w:after="0" w:line="240" w:lineRule="auto"/>
              <w:tabs>
                <w:tab w:val="left" w:pos="1701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Образовательная программа должна реализовываться с использованием учебно-методических материалов: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spacing w:after="0" w:line="240" w:lineRule="auto"/>
              <w:tabs>
                <w:tab w:val="left" w:pos="1701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раздаточные материалы преподавателей (лекции, презентации, доклады, запись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вебинаров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) в электронном виде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0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307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Порядок оплаты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3" w:type="pct"/>
            <w:textDirection w:val="lrTb"/>
            <w:noWrap w:val="false"/>
          </w:tcPr>
          <w:p>
            <w:pPr>
              <w:spacing w:after="0" w:line="240" w:lineRule="auto"/>
              <w:tabs>
                <w:tab w:val="left" w:pos="1701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Оплата осуществляется путем перечисления Заказчиком денежных средств на расчетный счет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Исполнителя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, на основании счета в течение 10 (десяти) рабочих дней с даты подписания Сторонами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документа о пр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емке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в соответствии со Спецификацией (Приложение №2 к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техническому заданию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).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</w:tbl>
    <w:p>
      <w:pPr>
        <w:jc w:val="right"/>
        <w:spacing w:after="0" w:line="276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1f191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1f191a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color w:val="1f191a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color w:val="1f191a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color w:val="1f191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1f191a"/>
          <w:sz w:val="24"/>
          <w:szCs w:val="24"/>
          <w:lang w:eastAsia="ru-RU"/>
        </w:rPr>
        <w:t xml:space="preserve">Срок действия электронной версии контракта до 31.</w:t>
      </w:r>
      <w:r>
        <w:rPr>
          <w:rFonts w:ascii="Times New Roman" w:hAnsi="Times New Roman" w:eastAsia="Times New Roman" w:cs="Times New Roman"/>
          <w:b/>
          <w:color w:val="1f191a"/>
          <w:sz w:val="24"/>
          <w:szCs w:val="24"/>
          <w:lang w:eastAsia="ru-RU"/>
        </w:rPr>
        <w:t xml:space="preserve">12.2026</w:t>
      </w:r>
      <w:r>
        <w:rPr>
          <w:rFonts w:ascii="Times New Roman" w:hAnsi="Times New Roman" w:eastAsia="Times New Roman" w:cs="Times New Roman"/>
          <w:b/>
          <w:color w:val="1f191a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color w:val="1f191a"/>
          <w:sz w:val="24"/>
          <w:szCs w:val="24"/>
          <w:lang w:eastAsia="ru-RU"/>
        </w:rPr>
      </w:r>
    </w:p>
    <w:p>
      <w:pPr>
        <w:jc w:val="right"/>
        <w:spacing w:after="0" w:line="240" w:lineRule="auto"/>
        <w:tabs>
          <w:tab w:val="left" w:pos="7110" w:leader="none"/>
        </w:tabs>
        <w:rPr>
          <w:rFonts w:ascii="Times New Roman" w:hAnsi="Times New Roman" w:eastAsia="Times New Roman" w:cs="Times New Roman"/>
          <w:b/>
          <w:color w:val="1f191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1f191a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color w:val="1f191a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color w:val="1f191a"/>
          <w:sz w:val="24"/>
          <w:szCs w:val="24"/>
          <w:lang w:eastAsia="ru-RU"/>
        </w:rPr>
      </w:r>
    </w:p>
    <w:p>
      <w:pPr>
        <w:jc w:val="right"/>
        <w:spacing w:after="0" w:line="240" w:lineRule="auto"/>
        <w:tabs>
          <w:tab w:val="left" w:pos="7110" w:leader="none"/>
        </w:tabs>
        <w:rPr>
          <w:rFonts w:ascii="Times New Roman" w:hAnsi="Times New Roman" w:eastAsia="Times New Roman" w:cs="Times New Roman"/>
          <w:b/>
          <w:bCs/>
          <w:color w:val="1f191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1f191a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color w:val="1f191a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1f191a"/>
          <w:sz w:val="24"/>
          <w:szCs w:val="24"/>
          <w:lang w:eastAsia="ru-RU"/>
        </w:rPr>
      </w:r>
    </w:p>
    <w:p>
      <w:pPr>
        <w:jc w:val="right"/>
        <w:spacing w:after="0" w:line="240" w:lineRule="auto"/>
        <w:tabs>
          <w:tab w:val="left" w:pos="7110" w:leader="none"/>
        </w:tabs>
        <w:rPr>
          <w:rFonts w:ascii="Times New Roman" w:hAnsi="Times New Roman" w:eastAsia="Times New Roman" w:cs="Times New Roman"/>
          <w:b/>
          <w:bCs/>
          <w:color w:val="1f191a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color w:val="1f191a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color w:val="1f191a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1f191a"/>
          <w:sz w:val="24"/>
          <w:szCs w:val="24"/>
          <w:highlight w:val="none"/>
          <w:lang w:eastAsia="ru-RU"/>
        </w:rPr>
      </w:r>
    </w:p>
    <w:p>
      <w:pPr>
        <w:jc w:val="right"/>
        <w:spacing w:after="0" w:line="240" w:lineRule="auto"/>
        <w:tabs>
          <w:tab w:val="left" w:pos="7110" w:leader="none"/>
        </w:tabs>
        <w:rPr>
          <w:rFonts w:ascii="Times New Roman" w:hAnsi="Times New Roman" w:eastAsia="Times New Roman" w:cs="Times New Roman"/>
          <w:b/>
          <w:bCs/>
          <w:color w:val="1f191a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color w:val="1f191a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color w:val="1f191a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1f191a"/>
          <w:sz w:val="24"/>
          <w:szCs w:val="24"/>
          <w:highlight w:val="none"/>
          <w:lang w:eastAsia="ru-RU"/>
        </w:rPr>
      </w:r>
    </w:p>
    <w:p>
      <w:pPr>
        <w:jc w:val="right"/>
        <w:spacing w:after="0" w:line="240" w:lineRule="auto"/>
        <w:tabs>
          <w:tab w:val="left" w:pos="7110" w:leader="none"/>
        </w:tabs>
        <w:rPr>
          <w:rFonts w:ascii="Times New Roman" w:hAnsi="Times New Roman" w:eastAsia="Times New Roman" w:cs="Times New Roman"/>
          <w:b/>
          <w:bCs/>
          <w:color w:val="1f191a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color w:val="1f191a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color w:val="1f191a"/>
          <w:sz w:val="24"/>
          <w:szCs w:val="24"/>
          <w:highlight w:val="none"/>
          <w:lang w:eastAsia="ru-RU"/>
        </w:rPr>
      </w:r>
    </w:p>
    <w:p>
      <w:pPr>
        <w:jc w:val="right"/>
        <w:spacing w:after="0" w:line="240" w:lineRule="auto"/>
        <w:tabs>
          <w:tab w:val="left" w:pos="7110" w:leader="none"/>
        </w:tabs>
        <w:rPr>
          <w:rFonts w:ascii="Times New Roman" w:hAnsi="Times New Roman" w:eastAsia="Times New Roman" w:cs="Times New Roman"/>
          <w:b/>
          <w:bCs/>
          <w:color w:val="1f191a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color w:val="1f191a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color w:val="1f191a"/>
          <w:sz w:val="24"/>
          <w:szCs w:val="24"/>
          <w:highlight w:val="none"/>
          <w:lang w:eastAsia="ru-RU"/>
        </w:rPr>
      </w:r>
    </w:p>
    <w:p>
      <w:pPr>
        <w:jc w:val="right"/>
        <w:spacing w:after="0" w:line="240" w:lineRule="auto"/>
        <w:tabs>
          <w:tab w:val="left" w:pos="7110" w:leader="none"/>
        </w:tabs>
        <w:rPr>
          <w:rFonts w:ascii="Times New Roman" w:hAnsi="Times New Roman" w:eastAsia="Times New Roman" w:cs="Times New Roman"/>
          <w:b/>
          <w:bCs/>
          <w:color w:val="1f191a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color w:val="1f191a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color w:val="1f191a"/>
          <w:sz w:val="24"/>
          <w:szCs w:val="24"/>
          <w:highlight w:val="none"/>
          <w:lang w:eastAsia="ru-RU"/>
        </w:rPr>
      </w:r>
    </w:p>
    <w:p>
      <w:pPr>
        <w:jc w:val="right"/>
        <w:spacing w:after="0" w:line="240" w:lineRule="auto"/>
        <w:tabs>
          <w:tab w:val="left" w:pos="7110" w:leader="none"/>
        </w:tabs>
        <w:rPr>
          <w:rFonts w:ascii="Times New Roman" w:hAnsi="Times New Roman" w:eastAsia="Times New Roman" w:cs="Times New Roman"/>
          <w:b/>
          <w:bCs/>
          <w:color w:val="1f191a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color w:val="1f191a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color w:val="1f191a"/>
          <w:sz w:val="24"/>
          <w:szCs w:val="24"/>
          <w:highlight w:val="none"/>
          <w:lang w:eastAsia="ru-RU"/>
        </w:rPr>
      </w:r>
    </w:p>
    <w:p>
      <w:pPr>
        <w:jc w:val="right"/>
        <w:spacing w:after="0" w:line="240" w:lineRule="auto"/>
        <w:tabs>
          <w:tab w:val="left" w:pos="7110" w:leader="none"/>
        </w:tabs>
        <w:rPr>
          <w:rFonts w:ascii="Times New Roman" w:hAnsi="Times New Roman" w:eastAsia="Times New Roman" w:cs="Times New Roman"/>
          <w:b/>
          <w:bCs/>
          <w:color w:val="1f191a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color w:val="1f191a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color w:val="1f191a"/>
          <w:sz w:val="24"/>
          <w:szCs w:val="24"/>
          <w:highlight w:val="none"/>
          <w:lang w:eastAsia="ru-RU"/>
        </w:rPr>
      </w:r>
    </w:p>
    <w:p>
      <w:pPr>
        <w:jc w:val="right"/>
        <w:spacing w:after="0" w:line="240" w:lineRule="auto"/>
        <w:tabs>
          <w:tab w:val="left" w:pos="7110" w:leader="none"/>
        </w:tabs>
        <w:rPr>
          <w:rFonts w:ascii="Times New Roman" w:hAnsi="Times New Roman" w:eastAsia="Times New Roman" w:cs="Times New Roman"/>
          <w:b/>
          <w:bCs/>
          <w:color w:val="1f191a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color w:val="1f191a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color w:val="1f191a"/>
          <w:sz w:val="24"/>
          <w:szCs w:val="24"/>
          <w:highlight w:val="none"/>
          <w:lang w:eastAsia="ru-RU"/>
        </w:rPr>
      </w:r>
    </w:p>
    <w:p>
      <w:pPr>
        <w:jc w:val="right"/>
        <w:spacing w:after="0" w:line="240" w:lineRule="auto"/>
        <w:tabs>
          <w:tab w:val="left" w:pos="7110" w:leader="none"/>
        </w:tabs>
        <w:rPr>
          <w:rFonts w:ascii="Times New Roman" w:hAnsi="Times New Roman" w:eastAsia="Times New Roman" w:cs="Times New Roman"/>
          <w:b/>
          <w:bCs/>
          <w:color w:val="1f191a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color w:val="1f191a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color w:val="1f191a"/>
          <w:sz w:val="24"/>
          <w:szCs w:val="24"/>
          <w:highlight w:val="none"/>
          <w:lang w:eastAsia="ru-RU"/>
        </w:rPr>
      </w:r>
    </w:p>
    <w:p>
      <w:pPr>
        <w:jc w:val="right"/>
        <w:spacing w:after="0" w:line="240" w:lineRule="auto"/>
        <w:tabs>
          <w:tab w:val="left" w:pos="7110" w:leader="none"/>
        </w:tabs>
        <w:rPr>
          <w:rFonts w:ascii="Times New Roman" w:hAnsi="Times New Roman" w:eastAsia="Times New Roman" w:cs="Times New Roman"/>
          <w:b/>
          <w:bCs/>
          <w:color w:val="1f191a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color w:val="1f191a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color w:val="1f191a"/>
          <w:sz w:val="24"/>
          <w:szCs w:val="24"/>
          <w:highlight w:val="none"/>
          <w:lang w:eastAsia="ru-RU"/>
        </w:rPr>
      </w:r>
    </w:p>
    <w:p>
      <w:pPr>
        <w:jc w:val="right"/>
        <w:spacing w:after="0" w:line="240" w:lineRule="auto"/>
        <w:tabs>
          <w:tab w:val="left" w:pos="7110" w:leader="none"/>
        </w:tabs>
        <w:rPr>
          <w:rFonts w:ascii="Times New Roman" w:hAnsi="Times New Roman" w:eastAsia="Times New Roman" w:cs="Times New Roman"/>
          <w:b/>
          <w:bCs/>
          <w:color w:val="1f191a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color w:val="1f191a"/>
          <w:sz w:val="24"/>
          <w:szCs w:val="24"/>
          <w:lang w:eastAsia="ru-RU"/>
        </w:rPr>
        <w:t xml:space="preserve">П</w:t>
      </w:r>
      <w:r>
        <w:rPr>
          <w:rFonts w:ascii="Times New Roman" w:hAnsi="Times New Roman" w:eastAsia="Times New Roman" w:cs="Times New Roman"/>
          <w:b/>
          <w:color w:val="1f191a"/>
          <w:sz w:val="24"/>
          <w:szCs w:val="24"/>
          <w:lang w:eastAsia="ru-RU"/>
        </w:rPr>
        <w:t xml:space="preserve">рило</w:t>
      </w:r>
      <w:r>
        <w:rPr>
          <w:rFonts w:ascii="Times New Roman" w:hAnsi="Times New Roman" w:eastAsia="Times New Roman" w:cs="Times New Roman"/>
          <w:b/>
          <w:color w:val="1f191a"/>
          <w:sz w:val="24"/>
          <w:szCs w:val="24"/>
          <w:lang w:eastAsia="ru-RU"/>
        </w:rPr>
        <w:t xml:space="preserve">жении №1 к Техническому заданию</w:t>
      </w:r>
      <w:r>
        <w:rPr>
          <w:rFonts w:ascii="Times New Roman" w:hAnsi="Times New Roman" w:eastAsia="Times New Roman" w:cs="Times New Roman"/>
          <w:b/>
          <w:bCs/>
          <w:color w:val="1f191a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1f191a"/>
          <w:sz w:val="24"/>
          <w:szCs w:val="24"/>
          <w:highlight w:val="none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color w:val="1f191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1f191a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color w:val="1f191a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color w:val="1f191a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1f191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1f191a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color w:val="1f191a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color w:val="1f191a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1f191a"/>
          <w:sz w:val="24"/>
          <w:szCs w:val="24"/>
          <w:lang w:eastAsia="ru-RU"/>
        </w:rPr>
      </w:pPr>
      <w:r>
        <w:rPr>
          <w:rFonts w:hint="eastAsia" w:ascii="Times New Roman" w:hAnsi="Times New Roman" w:eastAsia="Times New Roman" w:cs="Times New Roman"/>
          <w:b/>
          <w:color w:val="1f191a"/>
          <w:sz w:val="24"/>
          <w:szCs w:val="24"/>
          <w:lang w:eastAsia="ru-RU"/>
        </w:rPr>
        <w:t xml:space="preserve">Требование</w:t>
      </w:r>
      <w:r>
        <w:rPr>
          <w:rFonts w:ascii="Times New Roman" w:hAnsi="Times New Roman" w:eastAsia="Times New Roman" w:cs="Times New Roman"/>
          <w:b/>
          <w:color w:val="1f191a"/>
          <w:sz w:val="24"/>
          <w:szCs w:val="24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b/>
          <w:color w:val="1f191a"/>
          <w:sz w:val="24"/>
          <w:szCs w:val="24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b/>
          <w:color w:val="1f191a"/>
          <w:sz w:val="24"/>
          <w:szCs w:val="24"/>
          <w:lang w:eastAsia="ru-RU"/>
        </w:rPr>
        <w:t xml:space="preserve"> </w:t>
      </w:r>
      <w:r>
        <w:rPr>
          <w:rFonts w:hint="eastAsia" w:ascii="Times New Roman" w:hAnsi="Times New Roman" w:eastAsia="Times New Roman" w:cs="Times New Roman"/>
          <w:b/>
          <w:color w:val="1f191a"/>
          <w:sz w:val="24"/>
          <w:szCs w:val="24"/>
          <w:lang w:eastAsia="ru-RU"/>
        </w:rPr>
        <w:t xml:space="preserve">образовательной программе</w:t>
      </w:r>
      <w:r>
        <w:rPr>
          <w:rFonts w:ascii="Times New Roman" w:hAnsi="Times New Roman" w:eastAsia="Times New Roman" w:cs="Times New Roman"/>
          <w:b/>
          <w:color w:val="1f191a"/>
          <w:sz w:val="24"/>
          <w:szCs w:val="24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b/>
          <w:color w:val="1f191a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color w:val="1f191a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jc w:val="center"/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Ориентировочное 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содержание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 (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разделы 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и темы)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 образовательной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 программы: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</w:r>
    </w:p>
    <w:p>
      <w:pPr>
        <w:ind w:firstLine="708"/>
        <w:jc w:val="both"/>
        <w:spacing w:line="240" w:lineRule="auto"/>
        <w:rPr>
          <w:rFonts w:ascii="Times New Roman" w:hAnsi="Times New Roman" w:eastAsia="Times New Roman" w:cs="Times New Roman"/>
          <w:sz w:val="24"/>
          <w:szCs w:val="24"/>
          <w:u w:val="none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u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u w:val="none"/>
          <w:lang w:eastAsia="ru-RU"/>
        </w:rPr>
        <w:t xml:space="preserve">Пр</w:t>
      </w:r>
      <w:r>
        <w:rPr>
          <w:rFonts w:ascii="Times New Roman" w:hAnsi="Times New Roman" w:eastAsia="Times New Roman" w:cs="Times New Roman"/>
          <w:sz w:val="24"/>
          <w:szCs w:val="24"/>
          <w:u w:val="none"/>
          <w:lang w:eastAsia="ru-RU"/>
        </w:rPr>
        <w:t xml:space="preserve">ограмм дополнительного профессионального образования проводится </w:t>
        <w:br/>
        <w:t xml:space="preserve">в соответствии с законодательством об образовании. В соответствии со статьей </w:t>
        <w:br/>
        <w:t xml:space="preserve">76 Федерального закона N 273-ФЗ дополнительное профессиональное образование осуществляется посредством реализации</w:t>
      </w:r>
      <w:r>
        <w:rPr>
          <w:rFonts w:ascii="Times New Roman" w:hAnsi="Times New Roman" w:eastAsia="Times New Roman" w:cs="Times New Roman"/>
          <w:sz w:val="24"/>
          <w:szCs w:val="24"/>
          <w:u w:val="none"/>
          <w:lang w:eastAsia="ru-RU"/>
        </w:rPr>
        <w:t xml:space="preserve"> дополнительных профессиональных программ. </w:t>
      </w:r>
      <w:r>
        <w:rPr>
          <w:rFonts w:ascii="Times New Roman" w:hAnsi="Times New Roman" w:eastAsia="Times New Roman" w:cs="Times New Roman"/>
          <w:sz w:val="24"/>
          <w:szCs w:val="24"/>
          <w:u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u w:val="none"/>
          <w:lang w:eastAsia="ru-RU"/>
        </w:rPr>
      </w:r>
    </w:p>
    <w:p>
      <w:pPr>
        <w:ind w:firstLine="708"/>
        <w:jc w:val="both"/>
        <w:spacing w:line="240" w:lineRule="auto"/>
        <w:rPr>
          <w:rFonts w:ascii="Times New Roman" w:hAnsi="Times New Roman" w:eastAsia="Times New Roman" w:cs="Times New Roman"/>
          <w:sz w:val="24"/>
          <w:szCs w:val="24"/>
          <w:u w:val="none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u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u w:val="none"/>
          <w:lang w:eastAsia="ru-RU"/>
        </w:rPr>
        <w:t xml:space="preserve">Приказом Минобрнауки России от 01.07.2013 N 499 утвержден Порядок организации и осуществления образовательной деятельности по дополнительным профессиональным программам. Содержание дополнительного профессиональног</w:t>
      </w:r>
      <w:r>
        <w:rPr>
          <w:rFonts w:ascii="Times New Roman" w:hAnsi="Times New Roman" w:eastAsia="Times New Roman" w:cs="Times New Roman"/>
          <w:sz w:val="24"/>
          <w:szCs w:val="24"/>
          <w:u w:val="none"/>
          <w:lang w:eastAsia="ru-RU"/>
        </w:rPr>
        <w:t xml:space="preserve">о образования определяется образовательной программой, разработанной на основании типовой программы и утвержденной образовательной организацией с учетом потребностей лица, организации, по инициативе которых осуществляется дополнительное профессиональное об</w:t>
      </w:r>
      <w:r>
        <w:rPr>
          <w:rFonts w:ascii="Times New Roman" w:hAnsi="Times New Roman" w:eastAsia="Times New Roman" w:cs="Times New Roman"/>
          <w:sz w:val="24"/>
          <w:szCs w:val="24"/>
          <w:u w:val="none"/>
          <w:lang w:eastAsia="ru-RU"/>
        </w:rPr>
        <w:t xml:space="preserve">разование. </w:t>
      </w:r>
      <w:r>
        <w:rPr>
          <w:rFonts w:ascii="Times New Roman" w:hAnsi="Times New Roman" w:eastAsia="Times New Roman" w:cs="Times New Roman"/>
          <w:sz w:val="24"/>
          <w:szCs w:val="24"/>
          <w:u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u w:val="none"/>
          <w:lang w:eastAsia="ru-RU"/>
        </w:rPr>
      </w:r>
    </w:p>
    <w:p>
      <w:pPr>
        <w:ind w:firstLine="708"/>
        <w:jc w:val="both"/>
        <w:spacing w:line="240" w:lineRule="auto"/>
        <w:rPr>
          <w:rFonts w:ascii="Times New Roman" w:hAnsi="Times New Roman" w:eastAsia="Times New Roman" w:cs="Times New Roman"/>
          <w:sz w:val="24"/>
          <w:szCs w:val="24"/>
          <w:u w:val="none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u w:val="none"/>
          <w:lang w:eastAsia="ru-RU"/>
        </w:rPr>
        <w:t xml:space="preserve">Типовые дополнительные профессиональные программы в области пожарной безопасности утверждены приказом МЧС России N 596. Содержание дополнительных профессиональных программ должно учитывать профессиональные стандарты, квалификационные требования,</w:t>
      </w:r>
      <w:r>
        <w:rPr>
          <w:rFonts w:ascii="Times New Roman" w:hAnsi="Times New Roman" w:eastAsia="Times New Roman" w:cs="Times New Roman"/>
          <w:sz w:val="24"/>
          <w:szCs w:val="24"/>
          <w:u w:val="none"/>
          <w:lang w:eastAsia="ru-RU"/>
        </w:rPr>
        <w:t xml:space="preserve"> указанные в квалификационных справочниках </w:t>
        <w:br/>
        <w:t xml:space="preserve">по соответствующим должностям, профессиям и специальностям. </w:t>
      </w:r>
      <w:r>
        <w:rPr>
          <w:rFonts w:ascii="Times New Roman" w:hAnsi="Times New Roman" w:eastAsia="Times New Roman" w:cs="Times New Roman"/>
          <w:sz w:val="24"/>
          <w:szCs w:val="24"/>
          <w:u w:val="none"/>
        </w:rPr>
      </w:r>
      <w:r>
        <w:rPr>
          <w:rFonts w:ascii="Times New Roman" w:hAnsi="Times New Roman" w:eastAsia="Times New Roman" w:cs="Times New Roman"/>
          <w:sz w:val="24"/>
          <w:szCs w:val="24"/>
          <w:u w:val="none"/>
          <w:lang w:eastAsia="ru-RU"/>
        </w:rPr>
      </w:r>
    </w:p>
    <w:p>
      <w:pPr>
        <w:ind w:firstLine="708"/>
        <w:jc w:val="both"/>
        <w:spacing w:line="240" w:lineRule="auto"/>
        <w:rPr>
          <w:rFonts w:ascii="Times New Roman" w:hAnsi="Times New Roman" w:eastAsia="Times New Roman" w:cs="Times New Roman"/>
          <w:sz w:val="24"/>
          <w:szCs w:val="24"/>
          <w:u w:val="none"/>
        </w:rPr>
      </w:pPr>
      <w:r>
        <w:rPr>
          <w:rFonts w:ascii="Times New Roman" w:hAnsi="Times New Roman" w:eastAsia="Times New Roman" w:cs="Times New Roman"/>
          <w:sz w:val="24"/>
          <w:szCs w:val="24"/>
          <w:u w:val="none"/>
          <w:lang w:eastAsia="ru-RU"/>
        </w:rPr>
        <w:t xml:space="preserve">Реализация программы повышения квалификации направлена на совершенствование и (или) получение новой компетенции, необходимой для профессиональной деятель</w:t>
      </w:r>
      <w:r>
        <w:rPr>
          <w:rFonts w:ascii="Times New Roman" w:hAnsi="Times New Roman" w:eastAsia="Times New Roman" w:cs="Times New Roman"/>
          <w:sz w:val="24"/>
          <w:szCs w:val="24"/>
          <w:u w:val="none"/>
          <w:lang w:eastAsia="ru-RU"/>
        </w:rPr>
        <w:t xml:space="preserve">ности, и (или) повышение профессионального уровня в рамках имеющейся квалификации. В структуре программы повышения квалификации должно быть представлено описание перечня профессиональных компетенций в рамках имеющейся квалификации, качественное изменение к</w:t>
      </w:r>
      <w:r>
        <w:rPr>
          <w:rFonts w:ascii="Times New Roman" w:hAnsi="Times New Roman" w:eastAsia="Times New Roman" w:cs="Times New Roman"/>
          <w:sz w:val="24"/>
          <w:szCs w:val="24"/>
          <w:u w:val="none"/>
          <w:lang w:eastAsia="ru-RU"/>
        </w:rPr>
        <w:t xml:space="preserve">оторых осуществляется в результате обучения. Реализация программы профессиональной переподготовки направлена на получение компетенции, необходимой для выполнения нового вида профессиональной деятельности, приобретение новой квалификации.</w:t>
      </w:r>
      <w:r>
        <w:rPr>
          <w:rFonts w:ascii="Times New Roman" w:hAnsi="Times New Roman" w:eastAsia="Times New Roman" w:cs="Times New Roman"/>
          <w:sz w:val="24"/>
          <w:szCs w:val="24"/>
          <w:u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u w:val="none"/>
        </w:rPr>
      </w:r>
    </w:p>
    <w:p>
      <w:pPr>
        <w:jc w:val="right"/>
        <w:spacing w:after="0"/>
        <w:tabs>
          <w:tab w:val="left" w:pos="4763" w:leader="none"/>
        </w:tabs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</w:p>
    <w:p>
      <w:pPr>
        <w:jc w:val="right"/>
        <w:spacing w:after="0"/>
        <w:tabs>
          <w:tab w:val="left" w:pos="4763" w:leader="none"/>
        </w:tabs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</w:p>
    <w:p>
      <w:pPr>
        <w:jc w:val="right"/>
        <w:spacing w:after="0"/>
        <w:tabs>
          <w:tab w:val="left" w:pos="4763" w:leader="none"/>
        </w:tabs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</w:p>
    <w:p>
      <w:pPr>
        <w:jc w:val="right"/>
        <w:spacing w:after="0"/>
        <w:tabs>
          <w:tab w:val="left" w:pos="4763" w:leader="none"/>
        </w:tabs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</w:p>
    <w:p>
      <w:pPr>
        <w:jc w:val="right"/>
        <w:spacing w:after="0"/>
        <w:tabs>
          <w:tab w:val="left" w:pos="4763" w:leader="none"/>
        </w:tabs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</w:p>
    <w:p>
      <w:pPr>
        <w:jc w:val="right"/>
        <w:spacing w:after="0"/>
        <w:tabs>
          <w:tab w:val="left" w:pos="4763" w:leader="none"/>
        </w:tabs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</w:p>
    <w:p>
      <w:pPr>
        <w:jc w:val="right"/>
        <w:spacing w:after="0"/>
        <w:tabs>
          <w:tab w:val="left" w:pos="4763" w:leader="none"/>
        </w:tabs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</w:p>
    <w:p>
      <w:pPr>
        <w:jc w:val="right"/>
        <w:spacing w:after="0"/>
        <w:tabs>
          <w:tab w:val="left" w:pos="4763" w:leader="none"/>
        </w:tabs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</w:p>
    <w:p>
      <w:pPr>
        <w:jc w:val="right"/>
        <w:spacing w:after="0"/>
        <w:tabs>
          <w:tab w:val="left" w:pos="4763" w:leader="none"/>
        </w:tabs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</w:p>
    <w:p>
      <w:pPr>
        <w:jc w:val="right"/>
        <w:spacing w:after="0"/>
        <w:tabs>
          <w:tab w:val="left" w:pos="4763" w:leader="none"/>
        </w:tabs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</w:p>
    <w:p>
      <w:pPr>
        <w:jc w:val="right"/>
        <w:spacing w:after="0"/>
        <w:tabs>
          <w:tab w:val="left" w:pos="4763" w:leader="none"/>
        </w:tabs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</w:p>
    <w:p>
      <w:pPr>
        <w:jc w:val="right"/>
        <w:spacing w:after="0"/>
        <w:tabs>
          <w:tab w:val="left" w:pos="4763" w:leader="none"/>
        </w:tabs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</w:p>
    <w:p>
      <w:pPr>
        <w:jc w:val="right"/>
        <w:spacing w:after="0"/>
        <w:tabs>
          <w:tab w:val="left" w:pos="4763" w:leader="none"/>
        </w:tabs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</w:p>
    <w:p>
      <w:pPr>
        <w:jc w:val="right"/>
        <w:spacing w:after="0"/>
        <w:tabs>
          <w:tab w:val="left" w:pos="4763" w:leader="none"/>
        </w:tabs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</w:p>
    <w:p>
      <w:pPr>
        <w:jc w:val="right"/>
        <w:spacing w:after="0"/>
        <w:tabs>
          <w:tab w:val="left" w:pos="4763" w:leader="none"/>
        </w:tabs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</w:p>
    <w:p>
      <w:pPr>
        <w:jc w:val="right"/>
        <w:spacing w:after="0"/>
        <w:tabs>
          <w:tab w:val="left" w:pos="4763" w:leader="none"/>
        </w:tabs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</w:p>
    <w:p>
      <w:pPr>
        <w:jc w:val="right"/>
        <w:spacing w:after="0"/>
        <w:tabs>
          <w:tab w:val="left" w:pos="4763" w:leader="none"/>
        </w:tabs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</w:p>
    <w:p>
      <w:pPr>
        <w:jc w:val="right"/>
        <w:spacing w:after="0"/>
        <w:tabs>
          <w:tab w:val="left" w:pos="4763" w:leader="none"/>
        </w:tabs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Приложение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№ 2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</w:p>
    <w:p>
      <w:pPr>
        <w:jc w:val="right"/>
        <w:spacing w:after="0"/>
        <w:tabs>
          <w:tab w:val="left" w:pos="4763" w:leader="none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 Техническому заданию </w:t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jc w:val="center"/>
        <w:tabs>
          <w:tab w:val="left" w:pos="3960" w:leader="none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center"/>
        <w:tabs>
          <w:tab w:val="left" w:pos="3960" w:leader="none"/>
        </w:tabs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Спецификация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</w:p>
    <w:p>
      <w:pPr>
        <w:jc w:val="center"/>
        <w:tabs>
          <w:tab w:val="left" w:pos="3960" w:leader="none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tbl>
      <w:tblPr>
        <w:tblStyle w:val="903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457"/>
        <w:gridCol w:w="4078"/>
        <w:gridCol w:w="850"/>
        <w:gridCol w:w="1134"/>
        <w:gridCol w:w="1334"/>
        <w:gridCol w:w="1983"/>
      </w:tblGrid>
      <w:tr>
        <w:tblPrEx/>
        <w:trPr/>
        <w:tc>
          <w:tcPr>
            <w:tcW w:w="457" w:type="dxa"/>
            <w:textDirection w:val="lrTb"/>
            <w:noWrap w:val="false"/>
          </w:tcPr>
          <w:p>
            <w:pPr>
              <w:tabs>
                <w:tab w:val="left" w:pos="3960" w:leader="none"/>
              </w:tabs>
              <w:rPr>
                <w:b/>
              </w:rPr>
            </w:pPr>
            <w:r>
              <w:rPr>
                <w:b/>
              </w:rPr>
              <w:t xml:space="preserve">№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4078" w:type="dxa"/>
            <w:textDirection w:val="lrTb"/>
            <w:noWrap w:val="false"/>
          </w:tcPr>
          <w:p>
            <w:pPr>
              <w:tabs>
                <w:tab w:val="left" w:pos="3960" w:leader="none"/>
              </w:tabs>
              <w:rPr>
                <w:b/>
              </w:rPr>
            </w:pPr>
            <w:r>
              <w:rPr>
                <w:b/>
              </w:rPr>
              <w:t xml:space="preserve">Наименование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tabs>
                <w:tab w:val="left" w:pos="3960" w:leader="none"/>
              </w:tabs>
              <w:rPr>
                <w:b/>
              </w:rPr>
            </w:pPr>
            <w:r>
              <w:rPr>
                <w:b/>
              </w:rPr>
              <w:t xml:space="preserve">Ед. </w:t>
            </w:r>
            <w:r>
              <w:rPr>
                <w:b/>
              </w:rPr>
              <w:t xml:space="preserve">изм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tabs>
                <w:tab w:val="left" w:pos="3960" w:leader="none"/>
              </w:tabs>
              <w:rPr>
                <w:b/>
              </w:rPr>
            </w:pPr>
            <w:r>
              <w:rPr>
                <w:b/>
              </w:rPr>
              <w:t xml:space="preserve">Кол-во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1334" w:type="dxa"/>
            <w:textDirection w:val="lrTb"/>
            <w:noWrap w:val="false"/>
          </w:tcPr>
          <w:p>
            <w:pPr>
              <w:tabs>
                <w:tab w:val="left" w:pos="3960" w:leader="none"/>
              </w:tabs>
              <w:rPr>
                <w:b/>
              </w:rPr>
            </w:pPr>
            <w:r>
              <w:rPr>
                <w:b/>
              </w:rPr>
              <w:t xml:space="preserve">Цена*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1983" w:type="dxa"/>
            <w:textDirection w:val="lrTb"/>
            <w:noWrap w:val="false"/>
          </w:tcPr>
          <w:p>
            <w:pPr>
              <w:tabs>
                <w:tab w:val="left" w:pos="3960" w:leader="none"/>
              </w:tabs>
              <w:rPr>
                <w:b/>
              </w:rPr>
            </w:pPr>
            <w:r>
              <w:rPr>
                <w:b/>
              </w:rPr>
              <w:t xml:space="preserve">Цена общая*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blPrEx/>
        <w:trPr/>
        <w:tc>
          <w:tcPr>
            <w:tcW w:w="457" w:type="dxa"/>
            <w:textDirection w:val="lrTb"/>
            <w:noWrap w:val="false"/>
          </w:tcPr>
          <w:p>
            <w:pPr>
              <w:tabs>
                <w:tab w:val="left" w:pos="3960" w:leader="none"/>
              </w:tabs>
            </w:pPr>
            <w:r>
              <w:t xml:space="preserve">1</w:t>
            </w:r>
            <w:r/>
          </w:p>
        </w:tc>
        <w:tc>
          <w:tcPr>
            <w:tcW w:w="4078" w:type="dxa"/>
            <w:textDirection w:val="lrTb"/>
            <w:noWrap w:val="false"/>
          </w:tcPr>
          <w:p>
            <w:pPr>
              <w:jc w:val="left"/>
              <w:rPr>
                <w:i/>
                <w:color w:val="000000"/>
                <w:lang w:eastAsia="ru-RU"/>
              </w:rPr>
            </w:pPr>
            <w:r>
              <w:rPr>
                <w:b w:val="0"/>
                <w:bCs w:val="0"/>
              </w:rPr>
              <w:t xml:space="preserve">О</w:t>
            </w:r>
            <w:r>
              <w:rPr>
                <w:b w:val="0"/>
                <w:bCs w:val="0"/>
              </w:rPr>
              <w:t xml:space="preserve">казание образовательных услуг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по обучению работников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Роскомнадзора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 по программе повышения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lang w:eastAsia="ru-RU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lang w:eastAsia="ru-RU"/>
              </w:rPr>
              <w:t xml:space="preserve">рофессиональной переподготовки/ переквалификация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lang w:eastAsia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lang w:eastAsia="ru-RU"/>
              </w:rPr>
              <w:t xml:space="preserve">Специалист по пожарной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lang w:eastAsia="ru-RU"/>
              </w:rPr>
              <w:t xml:space="preserve">безопасности/профилактике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lang w:eastAsia="ru-RU"/>
              </w:rPr>
              <w:t xml:space="preserve">»</w:t>
            </w:r>
            <w:r>
              <w:rPr>
                <w:i/>
                <w:color w:val="000000"/>
                <w:lang w:eastAsia="ru-RU"/>
              </w:rPr>
            </w:r>
            <w:r>
              <w:rPr>
                <w:i/>
                <w:color w:val="000000"/>
                <w:lang w:eastAsia="ru-RU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tabs>
                <w:tab w:val="left" w:pos="3960" w:leader="none"/>
              </w:tabs>
            </w:pPr>
            <w:r>
              <w:t xml:space="preserve">чел.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tabs>
                <w:tab w:val="left" w:pos="3960" w:leader="none"/>
              </w:tabs>
            </w:pPr>
            <w:r>
              <w:t xml:space="preserve">3</w:t>
            </w:r>
            <w:r/>
          </w:p>
        </w:tc>
        <w:tc>
          <w:tcPr>
            <w:tcW w:w="1334" w:type="dxa"/>
            <w:textDirection w:val="lrTb"/>
            <w:noWrap w:val="false"/>
          </w:tcPr>
          <w:p>
            <w:pPr>
              <w:jc w:val="center"/>
              <w:tabs>
                <w:tab w:val="left" w:pos="3960" w:leader="none"/>
              </w:tabs>
            </w:pPr>
            <w:r>
              <w:t xml:space="preserve">15 566,00</w:t>
            </w:r>
            <w:r/>
          </w:p>
        </w:tc>
        <w:tc>
          <w:tcPr>
            <w:tcW w:w="1983" w:type="dxa"/>
            <w:textDirection w:val="lrTb"/>
            <w:noWrap w:val="false"/>
          </w:tcPr>
          <w:p>
            <w:pPr>
              <w:jc w:val="center"/>
              <w:tabs>
                <w:tab w:val="left" w:pos="3960" w:leader="none"/>
              </w:tabs>
            </w:pPr>
            <w:r>
              <w:t xml:space="preserve">46 698,00</w:t>
            </w:r>
            <w:r/>
          </w:p>
        </w:tc>
      </w:tr>
      <w:tr>
        <w:tblPrEx/>
        <w:trPr/>
        <w:tc>
          <w:tcPr>
            <w:tcW w:w="457" w:type="dxa"/>
            <w:textDirection w:val="lrTb"/>
            <w:noWrap w:val="false"/>
          </w:tcPr>
          <w:p>
            <w:pPr>
              <w:tabs>
                <w:tab w:val="left" w:pos="3960" w:leader="none"/>
              </w:tabs>
            </w:pPr>
            <w:r/>
            <w:r/>
          </w:p>
        </w:tc>
        <w:tc>
          <w:tcPr>
            <w:tcW w:w="4078" w:type="dxa"/>
            <w:textDirection w:val="lrTb"/>
            <w:noWrap w:val="false"/>
          </w:tcPr>
          <w:p>
            <w:pPr>
              <w:pStyle w:val="890"/>
              <w:rPr>
                <w:b w:val="0"/>
                <w:sz w:val="24"/>
                <w:szCs w:val="24"/>
              </w:rPr>
              <w:outlineLvl w:val="0"/>
            </w:pPr>
            <w:r>
              <w:rPr>
                <w:b w:val="0"/>
                <w:sz w:val="24"/>
                <w:szCs w:val="24"/>
              </w:rPr>
            </w:r>
            <w:r>
              <w:rPr>
                <w:b w:val="0"/>
                <w:sz w:val="24"/>
                <w:szCs w:val="24"/>
              </w:rPr>
            </w:r>
            <w:r>
              <w:rPr>
                <w:b w:val="0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tabs>
                <w:tab w:val="left" w:pos="3960" w:leader="none"/>
              </w:tabs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tabs>
                <w:tab w:val="left" w:pos="3960" w:leader="none"/>
              </w:tabs>
            </w:pPr>
            <w:r/>
            <w:r/>
          </w:p>
        </w:tc>
        <w:tc>
          <w:tcPr>
            <w:tcW w:w="1334" w:type="dxa"/>
            <w:textDirection w:val="lrTb"/>
            <w:noWrap w:val="false"/>
          </w:tcPr>
          <w:p>
            <w:pPr>
              <w:tabs>
                <w:tab w:val="left" w:pos="3960" w:leader="none"/>
              </w:tabs>
              <w:rPr>
                <w:b/>
              </w:rPr>
            </w:pPr>
            <w:r>
              <w:rPr>
                <w:b/>
              </w:rPr>
              <w:t xml:space="preserve">ИТОГО: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1983" w:type="dxa"/>
            <w:textDirection w:val="lrTb"/>
            <w:noWrap w:val="false"/>
          </w:tcPr>
          <w:p>
            <w:pPr>
              <w:jc w:val="center"/>
              <w:tabs>
                <w:tab w:val="left" w:pos="3960" w:leader="none"/>
              </w:tabs>
            </w:pPr>
            <w:r>
              <w:t xml:space="preserve">46 698,00</w:t>
            </w:r>
            <w:r/>
          </w:p>
        </w:tc>
      </w:tr>
    </w:tbl>
    <w:p>
      <w:pPr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*Валюта рубль Российской Федерации. 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**Указанное значение цены будет снижено </w:t>
      </w:r>
      <w:r>
        <w:rPr>
          <w:rFonts w:ascii="Times New Roman" w:hAnsi="Times New Roman" w:cs="Times New Roman"/>
          <w:sz w:val="24"/>
          <w:szCs w:val="24"/>
        </w:rPr>
        <w:t xml:space="preserve">пропорционально поданному ценовому предложению участника закупочной сессии, с которым заключается контракт при этом, в случае если при делении на коэффициент снижения образуется более двух значений после запятой, то округление происходит в меньшую сторону.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Итоговая стоимость является твердой и определяется на весь срок исполнения обязательств сторон.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76" w:lineRule="auto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Segoe UI">
    <w:panose1 w:val="020B050204050402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4330" w:hanging="360"/>
        <w:tabs>
          <w:tab w:val="num" w:pos="433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5050" w:hanging="360"/>
        <w:tabs>
          <w:tab w:val="num" w:pos="505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5770" w:hanging="360"/>
        <w:tabs>
          <w:tab w:val="num" w:pos="577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6490" w:hanging="360"/>
        <w:tabs>
          <w:tab w:val="num" w:pos="649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7210" w:hanging="360"/>
        <w:tabs>
          <w:tab w:val="num" w:pos="721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7930" w:hanging="360"/>
        <w:tabs>
          <w:tab w:val="num" w:pos="793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8650" w:hanging="360"/>
        <w:tabs>
          <w:tab w:val="num" w:pos="865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9370" w:hanging="360"/>
        <w:tabs>
          <w:tab w:val="num" w:pos="937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10090" w:hanging="360"/>
        <w:tabs>
          <w:tab w:val="num" w:pos="10090" w:leader="none"/>
        </w:tabs>
      </w:pPr>
      <w:rPr>
        <w:rFonts w:hint="default" w:ascii="Wingdings" w:hAnsi="Wingdings"/>
        <w:sz w:val="20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22"/>
  </w:num>
  <w:num w:numId="2">
    <w:abstractNumId w:val="6"/>
  </w:num>
  <w:num w:numId="3">
    <w:abstractNumId w:val="2"/>
  </w:num>
  <w:num w:numId="4">
    <w:abstractNumId w:val="17"/>
  </w:num>
  <w:num w:numId="5">
    <w:abstractNumId w:val="23"/>
  </w:num>
  <w:num w:numId="6">
    <w:abstractNumId w:val="25"/>
  </w:num>
  <w:num w:numId="7">
    <w:abstractNumId w:val="12"/>
  </w:num>
  <w:num w:numId="8">
    <w:abstractNumId w:val="27"/>
  </w:num>
  <w:num w:numId="9">
    <w:abstractNumId w:val="19"/>
  </w:num>
  <w:num w:numId="10">
    <w:abstractNumId w:val="21"/>
  </w:num>
  <w:num w:numId="11">
    <w:abstractNumId w:val="28"/>
  </w:num>
  <w:num w:numId="12">
    <w:abstractNumId w:val="5"/>
  </w:num>
  <w:num w:numId="13">
    <w:abstractNumId w:val="11"/>
  </w:num>
  <w:num w:numId="14">
    <w:abstractNumId w:val="1"/>
  </w:num>
  <w:num w:numId="15">
    <w:abstractNumId w:val="10"/>
  </w:num>
  <w:num w:numId="16">
    <w:abstractNumId w:val="8"/>
  </w:num>
  <w:num w:numId="17">
    <w:abstractNumId w:val="20"/>
  </w:num>
  <w:num w:numId="18">
    <w:abstractNumId w:val="7"/>
  </w:num>
  <w:num w:numId="19">
    <w:abstractNumId w:val="24"/>
  </w:num>
  <w:num w:numId="20">
    <w:abstractNumId w:val="16"/>
  </w:num>
  <w:num w:numId="21">
    <w:abstractNumId w:val="15"/>
  </w:num>
  <w:num w:numId="22">
    <w:abstractNumId w:val="14"/>
  </w:num>
  <w:num w:numId="23">
    <w:abstractNumId w:val="3"/>
  </w:num>
  <w:num w:numId="24">
    <w:abstractNumId w:val="26"/>
  </w:num>
  <w:num w:numId="25">
    <w:abstractNumId w:val="0"/>
  </w:num>
  <w:num w:numId="26">
    <w:abstractNumId w:val="9"/>
  </w:num>
  <w:num w:numId="27">
    <w:abstractNumId w:val="18"/>
  </w:num>
  <w:num w:numId="28">
    <w:abstractNumId w:val="4"/>
  </w:num>
  <w:num w:numId="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4">
    <w:name w:val="Heading 1 Char"/>
    <w:basedOn w:val="891"/>
    <w:link w:val="890"/>
    <w:uiPriority w:val="9"/>
    <w:rPr>
      <w:rFonts w:ascii="Arial" w:hAnsi="Arial" w:eastAsia="Arial" w:cs="Arial"/>
      <w:sz w:val="40"/>
      <w:szCs w:val="40"/>
    </w:rPr>
  </w:style>
  <w:style w:type="paragraph" w:styleId="715">
    <w:name w:val="Heading 2"/>
    <w:basedOn w:val="889"/>
    <w:next w:val="889"/>
    <w:link w:val="7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16">
    <w:name w:val="Heading 2 Char"/>
    <w:basedOn w:val="891"/>
    <w:link w:val="715"/>
    <w:uiPriority w:val="9"/>
    <w:rPr>
      <w:rFonts w:ascii="Arial" w:hAnsi="Arial" w:eastAsia="Arial" w:cs="Arial"/>
      <w:sz w:val="34"/>
    </w:rPr>
  </w:style>
  <w:style w:type="paragraph" w:styleId="717">
    <w:name w:val="Heading 3"/>
    <w:basedOn w:val="889"/>
    <w:next w:val="889"/>
    <w:link w:val="7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18">
    <w:name w:val="Heading 3 Char"/>
    <w:basedOn w:val="891"/>
    <w:link w:val="717"/>
    <w:uiPriority w:val="9"/>
    <w:rPr>
      <w:rFonts w:ascii="Arial" w:hAnsi="Arial" w:eastAsia="Arial" w:cs="Arial"/>
      <w:sz w:val="30"/>
      <w:szCs w:val="30"/>
    </w:rPr>
  </w:style>
  <w:style w:type="paragraph" w:styleId="719">
    <w:name w:val="Heading 4"/>
    <w:basedOn w:val="889"/>
    <w:next w:val="889"/>
    <w:link w:val="7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0">
    <w:name w:val="Heading 4 Char"/>
    <w:basedOn w:val="891"/>
    <w:link w:val="719"/>
    <w:uiPriority w:val="9"/>
    <w:rPr>
      <w:rFonts w:ascii="Arial" w:hAnsi="Arial" w:eastAsia="Arial" w:cs="Arial"/>
      <w:b/>
      <w:bCs/>
      <w:sz w:val="26"/>
      <w:szCs w:val="26"/>
    </w:rPr>
  </w:style>
  <w:style w:type="paragraph" w:styleId="721">
    <w:name w:val="Heading 5"/>
    <w:basedOn w:val="889"/>
    <w:next w:val="889"/>
    <w:link w:val="7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2">
    <w:name w:val="Heading 5 Char"/>
    <w:basedOn w:val="891"/>
    <w:link w:val="721"/>
    <w:uiPriority w:val="9"/>
    <w:rPr>
      <w:rFonts w:ascii="Arial" w:hAnsi="Arial" w:eastAsia="Arial" w:cs="Arial"/>
      <w:b/>
      <w:bCs/>
      <w:sz w:val="24"/>
      <w:szCs w:val="24"/>
    </w:rPr>
  </w:style>
  <w:style w:type="paragraph" w:styleId="723">
    <w:name w:val="Heading 6"/>
    <w:basedOn w:val="889"/>
    <w:next w:val="889"/>
    <w:link w:val="7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4">
    <w:name w:val="Heading 6 Char"/>
    <w:basedOn w:val="891"/>
    <w:link w:val="723"/>
    <w:uiPriority w:val="9"/>
    <w:rPr>
      <w:rFonts w:ascii="Arial" w:hAnsi="Arial" w:eastAsia="Arial" w:cs="Arial"/>
      <w:b/>
      <w:bCs/>
      <w:sz w:val="22"/>
      <w:szCs w:val="22"/>
    </w:rPr>
  </w:style>
  <w:style w:type="paragraph" w:styleId="725">
    <w:name w:val="Heading 7"/>
    <w:basedOn w:val="889"/>
    <w:next w:val="889"/>
    <w:link w:val="7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6">
    <w:name w:val="Heading 7 Char"/>
    <w:basedOn w:val="891"/>
    <w:link w:val="7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7">
    <w:name w:val="Heading 8"/>
    <w:basedOn w:val="889"/>
    <w:next w:val="889"/>
    <w:link w:val="7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8">
    <w:name w:val="Heading 8 Char"/>
    <w:basedOn w:val="891"/>
    <w:link w:val="727"/>
    <w:uiPriority w:val="9"/>
    <w:rPr>
      <w:rFonts w:ascii="Arial" w:hAnsi="Arial" w:eastAsia="Arial" w:cs="Arial"/>
      <w:i/>
      <w:iCs/>
      <w:sz w:val="22"/>
      <w:szCs w:val="22"/>
    </w:rPr>
  </w:style>
  <w:style w:type="paragraph" w:styleId="729">
    <w:name w:val="Heading 9"/>
    <w:basedOn w:val="889"/>
    <w:next w:val="889"/>
    <w:link w:val="7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0">
    <w:name w:val="Heading 9 Char"/>
    <w:basedOn w:val="891"/>
    <w:link w:val="729"/>
    <w:uiPriority w:val="9"/>
    <w:rPr>
      <w:rFonts w:ascii="Arial" w:hAnsi="Arial" w:eastAsia="Arial" w:cs="Arial"/>
      <w:i/>
      <w:iCs/>
      <w:sz w:val="21"/>
      <w:szCs w:val="21"/>
    </w:rPr>
  </w:style>
  <w:style w:type="paragraph" w:styleId="731">
    <w:name w:val="No Spacing"/>
    <w:uiPriority w:val="1"/>
    <w:qFormat/>
    <w:pPr>
      <w:spacing w:before="0" w:after="0" w:line="240" w:lineRule="auto"/>
    </w:pPr>
  </w:style>
  <w:style w:type="paragraph" w:styleId="732">
    <w:name w:val="Title"/>
    <w:basedOn w:val="889"/>
    <w:next w:val="889"/>
    <w:link w:val="7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3">
    <w:name w:val="Title Char"/>
    <w:basedOn w:val="891"/>
    <w:link w:val="732"/>
    <w:uiPriority w:val="10"/>
    <w:rPr>
      <w:sz w:val="48"/>
      <w:szCs w:val="48"/>
    </w:rPr>
  </w:style>
  <w:style w:type="paragraph" w:styleId="734">
    <w:name w:val="Subtitle"/>
    <w:basedOn w:val="889"/>
    <w:next w:val="889"/>
    <w:link w:val="735"/>
    <w:uiPriority w:val="11"/>
    <w:qFormat/>
    <w:pPr>
      <w:spacing w:before="200" w:after="200"/>
    </w:pPr>
    <w:rPr>
      <w:sz w:val="24"/>
      <w:szCs w:val="24"/>
    </w:rPr>
  </w:style>
  <w:style w:type="character" w:styleId="735">
    <w:name w:val="Subtitle Char"/>
    <w:basedOn w:val="891"/>
    <w:link w:val="734"/>
    <w:uiPriority w:val="11"/>
    <w:rPr>
      <w:sz w:val="24"/>
      <w:szCs w:val="24"/>
    </w:rPr>
  </w:style>
  <w:style w:type="paragraph" w:styleId="736">
    <w:name w:val="Quote"/>
    <w:basedOn w:val="889"/>
    <w:next w:val="889"/>
    <w:link w:val="737"/>
    <w:uiPriority w:val="29"/>
    <w:qFormat/>
    <w:pPr>
      <w:ind w:left="720" w:right="720"/>
    </w:pPr>
    <w:rPr>
      <w:i/>
    </w:rPr>
  </w:style>
  <w:style w:type="character" w:styleId="737">
    <w:name w:val="Quote Char"/>
    <w:link w:val="736"/>
    <w:uiPriority w:val="29"/>
    <w:rPr>
      <w:i/>
    </w:rPr>
  </w:style>
  <w:style w:type="paragraph" w:styleId="738">
    <w:name w:val="Intense Quote"/>
    <w:basedOn w:val="889"/>
    <w:next w:val="889"/>
    <w:link w:val="7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9">
    <w:name w:val="Intense Quote Char"/>
    <w:link w:val="738"/>
    <w:uiPriority w:val="30"/>
    <w:rPr>
      <w:i/>
    </w:rPr>
  </w:style>
  <w:style w:type="paragraph" w:styleId="740">
    <w:name w:val="Header"/>
    <w:basedOn w:val="889"/>
    <w:link w:val="7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1">
    <w:name w:val="Header Char"/>
    <w:basedOn w:val="891"/>
    <w:link w:val="740"/>
    <w:uiPriority w:val="99"/>
  </w:style>
  <w:style w:type="paragraph" w:styleId="742">
    <w:name w:val="Footer"/>
    <w:basedOn w:val="889"/>
    <w:link w:val="7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3">
    <w:name w:val="Footer Char"/>
    <w:basedOn w:val="891"/>
    <w:link w:val="742"/>
    <w:uiPriority w:val="99"/>
  </w:style>
  <w:style w:type="paragraph" w:styleId="744">
    <w:name w:val="Caption"/>
    <w:basedOn w:val="889"/>
    <w:next w:val="889"/>
    <w:link w:val="74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5">
    <w:name w:val="Caption Char"/>
    <w:basedOn w:val="891"/>
    <w:link w:val="744"/>
    <w:uiPriority w:val="35"/>
    <w:rPr>
      <w:b/>
      <w:bCs/>
      <w:color w:val="4f81bd" w:themeColor="accent1"/>
      <w:sz w:val="18"/>
      <w:szCs w:val="18"/>
    </w:rPr>
  </w:style>
  <w:style w:type="table" w:styleId="746">
    <w:name w:val="Table Grid Light"/>
    <w:basedOn w:val="89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7">
    <w:name w:val="Plain Table 1"/>
    <w:basedOn w:val="89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8">
    <w:name w:val="Plain Table 2"/>
    <w:basedOn w:val="89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9">
    <w:name w:val="Plain Table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0">
    <w:name w:val="Plain Table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Plain Table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2">
    <w:name w:val="Grid Table 1 Light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1 Light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Grid Table 1 Light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Grid Table 1 Light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1 Light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2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2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2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2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2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2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3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3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3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3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4"/>
    <w:basedOn w:val="8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4">
    <w:name w:val="Grid Table 4 - Accent 1"/>
    <w:basedOn w:val="8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5">
    <w:name w:val="Grid Table 4 - Accent 2"/>
    <w:basedOn w:val="8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6">
    <w:name w:val="Grid Table 4 - Accent 3"/>
    <w:basedOn w:val="8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7">
    <w:name w:val="Grid Table 4 - Accent 4"/>
    <w:basedOn w:val="8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8">
    <w:name w:val="Grid Table 4 - Accent 5"/>
    <w:basedOn w:val="8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9">
    <w:name w:val="Grid Table 4 - Accent 6"/>
    <w:basedOn w:val="8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0">
    <w:name w:val="Grid Table 5 Dark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1">
    <w:name w:val="Grid Table 5 Dark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82">
    <w:name w:val="Grid Table 5 Dark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83">
    <w:name w:val="Grid Table 5 Dark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84">
    <w:name w:val="Grid Table 5 Dark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85">
    <w:name w:val="Grid Table 5 Dark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86">
    <w:name w:val="Grid Table 5 Dark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87">
    <w:name w:val="Grid Table 6 Colorful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8">
    <w:name w:val="Grid Table 6 Colorful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9">
    <w:name w:val="Grid Table 6 Colorful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0">
    <w:name w:val="Grid Table 6 Colorful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1">
    <w:name w:val="Grid Table 6 Colorful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2">
    <w:name w:val="Grid Table 6 Colorful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3">
    <w:name w:val="Grid Table 6 Colorful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4">
    <w:name w:val="Grid Table 7 Colorful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7 Colorful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7 Colorful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7 Colorful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7 Colorful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7 Colorful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7 Colorful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1 Light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1 Light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1 Light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1 Light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9">
    <w:name w:val="List Table 2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0">
    <w:name w:val="List Table 2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1">
    <w:name w:val="List Table 2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2">
    <w:name w:val="List Table 2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3">
    <w:name w:val="List Table 2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4">
    <w:name w:val="List Table 2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5">
    <w:name w:val="List Table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3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3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3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3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4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4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5 Dark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5 Dark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3">
    <w:name w:val="List Table 5 Dark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4">
    <w:name w:val="List Table 5 Dark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5">
    <w:name w:val="List Table 5 Dark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6">
    <w:name w:val="List Table 6 Colorful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7">
    <w:name w:val="List Table 6 Colorful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8">
    <w:name w:val="List Table 6 Colorful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9">
    <w:name w:val="List Table 6 Colorful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0">
    <w:name w:val="List Table 6 Colorful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1">
    <w:name w:val="List Table 6 Colorful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2">
    <w:name w:val="List Table 6 Colorful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3">
    <w:name w:val="List Table 7 Colorful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4">
    <w:name w:val="List Table 7 Colorful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45">
    <w:name w:val="List Table 7 Colorful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46">
    <w:name w:val="List Table 7 Colorful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47">
    <w:name w:val="List Table 7 Colorful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48">
    <w:name w:val="List Table 7 Colorful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49">
    <w:name w:val="List Table 7 Colorful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50">
    <w:name w:val="Lined - Accent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1">
    <w:name w:val="Lined - Accent 1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52">
    <w:name w:val="Lined - Accent 2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53">
    <w:name w:val="Lined - Accent 3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54">
    <w:name w:val="Lined - Accent 4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5">
    <w:name w:val="Lined - Accent 5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56">
    <w:name w:val="Lined - Accent 6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7">
    <w:name w:val="Bordered &amp; Lined - Accent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8">
    <w:name w:val="Bordered &amp; Lined - Accent 1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59">
    <w:name w:val="Bordered &amp; Lined - Accent 2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60">
    <w:name w:val="Bordered &amp; Lined - Accent 3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61">
    <w:name w:val="Bordered &amp; Lined - Accent 4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62">
    <w:name w:val="Bordered &amp; Lined - Accent 5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63">
    <w:name w:val="Bordered &amp; Lined - Accent 6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64">
    <w:name w:val="Bordered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5">
    <w:name w:val="Bordered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6">
    <w:name w:val="Bordered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7">
    <w:name w:val="Bordered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8">
    <w:name w:val="Bordered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9">
    <w:name w:val="Bordered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0">
    <w:name w:val="Bordered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71">
    <w:name w:val="Hyperlink"/>
    <w:uiPriority w:val="99"/>
    <w:unhideWhenUsed/>
    <w:rPr>
      <w:color w:val="0000ff" w:themeColor="hyperlink"/>
      <w:u w:val="single"/>
    </w:rPr>
  </w:style>
  <w:style w:type="paragraph" w:styleId="872">
    <w:name w:val="footnote text"/>
    <w:basedOn w:val="889"/>
    <w:link w:val="873"/>
    <w:uiPriority w:val="99"/>
    <w:semiHidden/>
    <w:unhideWhenUsed/>
    <w:pPr>
      <w:spacing w:after="40" w:line="240" w:lineRule="auto"/>
    </w:pPr>
    <w:rPr>
      <w:sz w:val="18"/>
    </w:rPr>
  </w:style>
  <w:style w:type="character" w:styleId="873">
    <w:name w:val="Footnote Text Char"/>
    <w:link w:val="872"/>
    <w:uiPriority w:val="99"/>
    <w:rPr>
      <w:sz w:val="18"/>
    </w:rPr>
  </w:style>
  <w:style w:type="character" w:styleId="874">
    <w:name w:val="footnote reference"/>
    <w:basedOn w:val="891"/>
    <w:uiPriority w:val="99"/>
    <w:unhideWhenUsed/>
    <w:rPr>
      <w:vertAlign w:val="superscript"/>
    </w:rPr>
  </w:style>
  <w:style w:type="paragraph" w:styleId="875">
    <w:name w:val="endnote text"/>
    <w:basedOn w:val="889"/>
    <w:link w:val="876"/>
    <w:uiPriority w:val="99"/>
    <w:semiHidden/>
    <w:unhideWhenUsed/>
    <w:pPr>
      <w:spacing w:after="0" w:line="240" w:lineRule="auto"/>
    </w:pPr>
    <w:rPr>
      <w:sz w:val="20"/>
    </w:rPr>
  </w:style>
  <w:style w:type="character" w:styleId="876">
    <w:name w:val="Endnote Text Char"/>
    <w:link w:val="875"/>
    <w:uiPriority w:val="99"/>
    <w:rPr>
      <w:sz w:val="20"/>
    </w:rPr>
  </w:style>
  <w:style w:type="character" w:styleId="877">
    <w:name w:val="endnote reference"/>
    <w:basedOn w:val="891"/>
    <w:uiPriority w:val="99"/>
    <w:semiHidden/>
    <w:unhideWhenUsed/>
    <w:rPr>
      <w:vertAlign w:val="superscript"/>
    </w:rPr>
  </w:style>
  <w:style w:type="paragraph" w:styleId="878">
    <w:name w:val="toc 1"/>
    <w:basedOn w:val="889"/>
    <w:next w:val="889"/>
    <w:uiPriority w:val="39"/>
    <w:unhideWhenUsed/>
    <w:pPr>
      <w:ind w:left="0" w:right="0" w:firstLine="0"/>
      <w:spacing w:after="57"/>
    </w:pPr>
  </w:style>
  <w:style w:type="paragraph" w:styleId="879">
    <w:name w:val="toc 2"/>
    <w:basedOn w:val="889"/>
    <w:next w:val="889"/>
    <w:uiPriority w:val="39"/>
    <w:unhideWhenUsed/>
    <w:pPr>
      <w:ind w:left="283" w:right="0" w:firstLine="0"/>
      <w:spacing w:after="57"/>
    </w:pPr>
  </w:style>
  <w:style w:type="paragraph" w:styleId="880">
    <w:name w:val="toc 3"/>
    <w:basedOn w:val="889"/>
    <w:next w:val="889"/>
    <w:uiPriority w:val="39"/>
    <w:unhideWhenUsed/>
    <w:pPr>
      <w:ind w:left="567" w:right="0" w:firstLine="0"/>
      <w:spacing w:after="57"/>
    </w:pPr>
  </w:style>
  <w:style w:type="paragraph" w:styleId="881">
    <w:name w:val="toc 4"/>
    <w:basedOn w:val="889"/>
    <w:next w:val="889"/>
    <w:uiPriority w:val="39"/>
    <w:unhideWhenUsed/>
    <w:pPr>
      <w:ind w:left="850" w:right="0" w:firstLine="0"/>
      <w:spacing w:after="57"/>
    </w:pPr>
  </w:style>
  <w:style w:type="paragraph" w:styleId="882">
    <w:name w:val="toc 5"/>
    <w:basedOn w:val="889"/>
    <w:next w:val="889"/>
    <w:uiPriority w:val="39"/>
    <w:unhideWhenUsed/>
    <w:pPr>
      <w:ind w:left="1134" w:right="0" w:firstLine="0"/>
      <w:spacing w:after="57"/>
    </w:pPr>
  </w:style>
  <w:style w:type="paragraph" w:styleId="883">
    <w:name w:val="toc 6"/>
    <w:basedOn w:val="889"/>
    <w:next w:val="889"/>
    <w:uiPriority w:val="39"/>
    <w:unhideWhenUsed/>
    <w:pPr>
      <w:ind w:left="1417" w:right="0" w:firstLine="0"/>
      <w:spacing w:after="57"/>
    </w:pPr>
  </w:style>
  <w:style w:type="paragraph" w:styleId="884">
    <w:name w:val="toc 7"/>
    <w:basedOn w:val="889"/>
    <w:next w:val="889"/>
    <w:uiPriority w:val="39"/>
    <w:unhideWhenUsed/>
    <w:pPr>
      <w:ind w:left="1701" w:right="0" w:firstLine="0"/>
      <w:spacing w:after="57"/>
    </w:pPr>
  </w:style>
  <w:style w:type="paragraph" w:styleId="885">
    <w:name w:val="toc 8"/>
    <w:basedOn w:val="889"/>
    <w:next w:val="889"/>
    <w:uiPriority w:val="39"/>
    <w:unhideWhenUsed/>
    <w:pPr>
      <w:ind w:left="1984" w:right="0" w:firstLine="0"/>
      <w:spacing w:after="57"/>
    </w:pPr>
  </w:style>
  <w:style w:type="paragraph" w:styleId="886">
    <w:name w:val="toc 9"/>
    <w:basedOn w:val="889"/>
    <w:next w:val="889"/>
    <w:uiPriority w:val="39"/>
    <w:unhideWhenUsed/>
    <w:pPr>
      <w:ind w:left="2268" w:right="0" w:firstLine="0"/>
      <w:spacing w:after="57"/>
    </w:pPr>
  </w:style>
  <w:style w:type="paragraph" w:styleId="887">
    <w:name w:val="TOC Heading"/>
    <w:uiPriority w:val="39"/>
    <w:unhideWhenUsed/>
  </w:style>
  <w:style w:type="paragraph" w:styleId="888">
    <w:name w:val="table of figures"/>
    <w:basedOn w:val="889"/>
    <w:next w:val="889"/>
    <w:uiPriority w:val="99"/>
    <w:unhideWhenUsed/>
    <w:pPr>
      <w:spacing w:after="0" w:afterAutospacing="0"/>
    </w:pPr>
  </w:style>
  <w:style w:type="paragraph" w:styleId="889" w:default="1">
    <w:name w:val="Normal"/>
    <w:qFormat/>
  </w:style>
  <w:style w:type="paragraph" w:styleId="890">
    <w:name w:val="Heading 1"/>
    <w:basedOn w:val="889"/>
    <w:link w:val="902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character" w:styleId="891" w:default="1">
    <w:name w:val="Default Paragraph Font"/>
    <w:uiPriority w:val="1"/>
    <w:semiHidden/>
    <w:unhideWhenUsed/>
  </w:style>
  <w:style w:type="table" w:styleId="89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3" w:default="1">
    <w:name w:val="No List"/>
    <w:uiPriority w:val="99"/>
    <w:semiHidden/>
    <w:unhideWhenUsed/>
  </w:style>
  <w:style w:type="paragraph" w:styleId="894">
    <w:name w:val="List Paragraph"/>
    <w:basedOn w:val="889"/>
    <w:uiPriority w:val="34"/>
    <w:qFormat/>
    <w:pPr>
      <w:contextualSpacing/>
      <w:ind w:left="720"/>
    </w:pPr>
  </w:style>
  <w:style w:type="paragraph" w:styleId="895">
    <w:name w:val="Balloon Text"/>
    <w:basedOn w:val="889"/>
    <w:link w:val="89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96" w:customStyle="1">
    <w:name w:val="Текст выноски Знак"/>
    <w:basedOn w:val="891"/>
    <w:link w:val="895"/>
    <w:uiPriority w:val="99"/>
    <w:semiHidden/>
    <w:rPr>
      <w:rFonts w:ascii="Segoe UI" w:hAnsi="Segoe UI" w:cs="Segoe UI"/>
      <w:sz w:val="18"/>
      <w:szCs w:val="18"/>
    </w:rPr>
  </w:style>
  <w:style w:type="character" w:styleId="897">
    <w:name w:val="annotation reference"/>
    <w:basedOn w:val="891"/>
    <w:uiPriority w:val="99"/>
    <w:semiHidden/>
    <w:unhideWhenUsed/>
    <w:rPr>
      <w:sz w:val="16"/>
      <w:szCs w:val="16"/>
    </w:rPr>
  </w:style>
  <w:style w:type="paragraph" w:styleId="898">
    <w:name w:val="annotation text"/>
    <w:basedOn w:val="889"/>
    <w:link w:val="899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99" w:customStyle="1">
    <w:name w:val="Текст примечания Знак"/>
    <w:basedOn w:val="891"/>
    <w:link w:val="898"/>
    <w:uiPriority w:val="99"/>
    <w:semiHidden/>
    <w:rPr>
      <w:sz w:val="20"/>
      <w:szCs w:val="20"/>
    </w:rPr>
  </w:style>
  <w:style w:type="paragraph" w:styleId="900">
    <w:name w:val="annotation subject"/>
    <w:basedOn w:val="898"/>
    <w:next w:val="898"/>
    <w:link w:val="901"/>
    <w:uiPriority w:val="99"/>
    <w:semiHidden/>
    <w:unhideWhenUsed/>
    <w:rPr>
      <w:b/>
      <w:bCs/>
    </w:rPr>
  </w:style>
  <w:style w:type="character" w:styleId="901" w:customStyle="1">
    <w:name w:val="Тема примечания Знак"/>
    <w:basedOn w:val="899"/>
    <w:link w:val="900"/>
    <w:uiPriority w:val="99"/>
    <w:semiHidden/>
    <w:rPr>
      <w:b/>
      <w:bCs/>
      <w:sz w:val="20"/>
      <w:szCs w:val="20"/>
    </w:rPr>
  </w:style>
  <w:style w:type="character" w:styleId="902" w:customStyle="1">
    <w:name w:val="Заголовок 1 Знак"/>
    <w:basedOn w:val="891"/>
    <w:link w:val="890"/>
    <w:uiPriority w:val="9"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table" w:styleId="903">
    <w:name w:val="Table Grid"/>
    <w:basedOn w:val="892"/>
    <w:uiPriority w:val="59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Тарунина Инесса Викторовна</dc:creator>
  <cp:keywords/>
  <dc:description/>
  <cp:lastModifiedBy>vo-603@JSRK.RU</cp:lastModifiedBy>
  <cp:revision>14</cp:revision>
  <dcterms:created xsi:type="dcterms:W3CDTF">2025-10-13T14:57:00Z</dcterms:created>
  <dcterms:modified xsi:type="dcterms:W3CDTF">2026-10-02T12:56:15Z</dcterms:modified>
</cp:coreProperties>
</file>