
<file path=[Content_Types].xml><?xml version="1.0" encoding="utf-8"?>
<Types xmlns="http://schemas.openxmlformats.org/package/2006/content-types">
  <Default ContentType="image/png" Extension="pn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4.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6000000">
      <w:pPr>
        <w:ind/>
        <w:jc w:val="center"/>
        <w:rPr>
          <w:b w:val="1"/>
          <w:color w:val="000000"/>
          <w:sz w:val="22"/>
        </w:rPr>
      </w:pPr>
      <w:r>
        <w:rPr>
          <w:b w:val="1"/>
          <w:color w:val="000000"/>
          <w:sz w:val="22"/>
        </w:rPr>
        <w:t>КОНТРАКТ</w:t>
      </w:r>
      <w:r>
        <w:rPr>
          <w:b w:val="1"/>
          <w:color w:val="000000"/>
          <w:sz w:val="22"/>
        </w:rPr>
        <w:t xml:space="preserve"> № РГМУ</w:t>
      </w:r>
      <w:r>
        <w:rPr>
          <w:b w:val="1"/>
          <w:color w:val="000000"/>
          <w:sz w:val="22"/>
        </w:rPr>
        <w:t xml:space="preserve"> 33544</w:t>
      </w:r>
    </w:p>
    <w:p w14:paraId="07000000">
      <w:pPr>
        <w:ind/>
        <w:jc w:val="center"/>
        <w:rPr>
          <w:b w:val="1"/>
          <w:color w:val="000000"/>
          <w:sz w:val="20"/>
        </w:rPr>
      </w:pPr>
      <w:r>
        <w:rPr>
          <w:sz w:val="22"/>
        </w:rPr>
        <w:t xml:space="preserve">Услуги в области защиты информации </w:t>
      </w:r>
      <w:r>
        <w:rPr>
          <w:b w:val="0"/>
          <w:sz w:val="22"/>
        </w:rPr>
        <w:t>ЭДО</w:t>
      </w:r>
      <w:r>
        <w:rPr>
          <w:b w:val="0"/>
          <w:color w:val="000000"/>
          <w:sz w:val="22"/>
        </w:rPr>
        <w:t xml:space="preserve"> «Дело»</w:t>
      </w:r>
    </w:p>
    <w:p w14:paraId="08000000">
      <w:pPr>
        <w:ind/>
        <w:jc w:val="center"/>
        <w:rPr>
          <w:b w:val="1"/>
          <w:color w:val="000000"/>
          <w:sz w:val="20"/>
        </w:rPr>
      </w:pPr>
      <w:r>
        <w:rPr>
          <w:b w:val="1"/>
          <w:color w:val="000000"/>
          <w:sz w:val="24"/>
        </w:rPr>
        <w:t>ИКЗ:</w:t>
      </w:r>
      <w:r>
        <w:rPr>
          <w:b w:val="1"/>
        </w:rPr>
        <w:t>261616303285061630100100140000000244</w:t>
      </w:r>
    </w:p>
    <w:p w14:paraId="09000000">
      <w:pPr>
        <w:widowControl w:val="0"/>
        <w:tabs>
          <w:tab w:leader="none" w:pos="7088" w:val="left"/>
        </w:tabs>
        <w:spacing w:line="264" w:lineRule="auto"/>
        <w:ind w:firstLine="284" w:left="0"/>
        <w:jc w:val="center"/>
        <w:rPr>
          <w:sz w:val="22"/>
        </w:rPr>
      </w:pPr>
    </w:p>
    <w:p w14:paraId="0A000000">
      <w:pPr>
        <w:widowControl w:val="0"/>
        <w:tabs>
          <w:tab w:leader="none" w:pos="7088" w:val="left"/>
        </w:tabs>
        <w:spacing w:line="264" w:lineRule="auto"/>
        <w:ind w:firstLine="284" w:left="0"/>
        <w:jc w:val="center"/>
        <w:rPr>
          <w:sz w:val="22"/>
        </w:rPr>
      </w:pPr>
    </w:p>
    <w:p w14:paraId="0B000000">
      <w:pPr>
        <w:widowControl w:val="0"/>
        <w:tabs>
          <w:tab w:leader="none" w:pos="7088" w:val="left"/>
        </w:tabs>
        <w:ind w:firstLine="284" w:left="0"/>
        <w:rPr>
          <w:sz w:val="22"/>
        </w:rPr>
      </w:pPr>
      <w:r>
        <w:rPr>
          <w:sz w:val="22"/>
        </w:rPr>
        <w:t xml:space="preserve">г. Ростов-на-Дону                                                 </w:t>
      </w:r>
      <w:r>
        <w:rPr>
          <w:sz w:val="22"/>
        </w:rPr>
        <w:t xml:space="preserve">                            </w:t>
      </w:r>
      <w:r>
        <w:rPr>
          <w:sz w:val="22"/>
        </w:rPr>
        <w:t xml:space="preserve">        </w:t>
      </w:r>
      <w:r>
        <w:rPr>
          <w:sz w:val="22"/>
        </w:rPr>
        <w:t xml:space="preserve">   </w:t>
      </w:r>
      <w:r>
        <w:rPr>
          <w:color w:val="000000"/>
          <w:sz w:val="22"/>
        </w:rPr>
        <w:t>«</w:t>
      </w:r>
      <w:r>
        <w:rPr>
          <w:color w:val="000000"/>
          <w:sz w:val="22"/>
        </w:rPr>
        <w:t>___»_________________</w:t>
      </w:r>
      <w:r>
        <w:rPr>
          <w:color w:val="000000"/>
          <w:sz w:val="22"/>
        </w:rPr>
        <w:t>2026</w:t>
      </w:r>
      <w:r>
        <w:rPr>
          <w:sz w:val="22"/>
        </w:rPr>
        <w:t xml:space="preserve"> г.</w:t>
      </w:r>
    </w:p>
    <w:p w14:paraId="0C000000">
      <w:pPr>
        <w:widowControl w:val="0"/>
        <w:tabs>
          <w:tab w:leader="none" w:pos="7088" w:val="left"/>
        </w:tabs>
        <w:ind w:firstLine="284" w:left="0"/>
        <w:jc w:val="center"/>
        <w:rPr>
          <w:sz w:val="22"/>
        </w:rPr>
      </w:pPr>
    </w:p>
    <w:p w14:paraId="0D000000">
      <w:pPr>
        <w:pStyle w:val="Style_3"/>
        <w:ind w:firstLine="284" w:left="0"/>
        <w:jc w:val="both"/>
        <w:rPr>
          <w:rFonts w:ascii="Times New Roman" w:hAnsi="Times New Roman"/>
          <w:sz w:val="22"/>
        </w:rPr>
      </w:pPr>
      <w:r>
        <w:rPr>
          <w:rFonts w:ascii="Times New Roman" w:hAnsi="Times New Roman"/>
          <w:sz w:val="22"/>
        </w:rPr>
        <w:t xml:space="preserve">_________________________________________, </w:t>
      </w:r>
      <w:bookmarkStart w:id="1" w:name="_GoBack"/>
      <w:bookmarkEnd w:id="1"/>
      <w:r>
        <w:rPr>
          <w:rFonts w:ascii="Times New Roman" w:hAnsi="Times New Roman"/>
          <w:sz w:val="22"/>
        </w:rPr>
        <w:t xml:space="preserve">именуемое в дальнейшем «Исполнитель», </w:t>
      </w:r>
      <w:r>
        <w:rPr>
          <w:rFonts w:ascii="Times New Roman" w:hAnsi="Times New Roman"/>
          <w:sz w:val="22"/>
        </w:rPr>
        <w:t>в лице ____________________________</w:t>
      </w:r>
      <w:r>
        <w:rPr>
          <w:rFonts w:ascii="Times New Roman" w:hAnsi="Times New Roman"/>
          <w:sz w:val="22"/>
        </w:rPr>
        <w:t>, действующего на основании _______________________</w:t>
      </w:r>
      <w:r>
        <w:rPr>
          <w:rFonts w:ascii="Times New Roman" w:hAnsi="Times New Roman"/>
          <w:sz w:val="22"/>
        </w:rPr>
        <w:t xml:space="preserve">, с одной стороны, и </w:t>
      </w:r>
      <w:r>
        <w:rPr>
          <w:rFonts w:ascii="Times New Roman" w:hAnsi="Times New Roman"/>
          <w:sz w:val="22"/>
        </w:rPr>
        <w:t>Федеральное государственное бюджетное образовательное учреждение высшего образования «Ростовский государственный медицинский университет» Министерства здравоохранения Российской Федерации именуемый (</w:t>
      </w:r>
      <w:r>
        <w:rPr>
          <w:rFonts w:ascii="Times New Roman" w:hAnsi="Times New Roman"/>
          <w:sz w:val="22"/>
        </w:rPr>
        <w:t>ое</w:t>
      </w:r>
      <w:r>
        <w:rPr>
          <w:rFonts w:ascii="Times New Roman" w:hAnsi="Times New Roman"/>
          <w:sz w:val="22"/>
        </w:rPr>
        <w:t xml:space="preserve">) в дальнейшем «Заказчик», в лице </w:t>
      </w:r>
      <w:r>
        <w:rPr>
          <w:rFonts w:ascii="Times New Roman" w:hAnsi="Times New Roman"/>
          <w:sz w:val="22"/>
        </w:rPr>
        <w:t>и.о</w:t>
      </w:r>
      <w:r>
        <w:rPr>
          <w:rFonts w:ascii="Times New Roman" w:hAnsi="Times New Roman"/>
          <w:sz w:val="22"/>
        </w:rPr>
        <w:t>. ректора Шишова Михаила Алексеевича, действующего на основании Устава</w:t>
      </w:r>
      <w:r>
        <w:rPr>
          <w:rFonts w:ascii="Times New Roman" w:hAnsi="Times New Roman"/>
          <w:sz w:val="22"/>
        </w:rPr>
        <w:t xml:space="preserve">, с другой стороны, совместно именуемые в дальнейшем «Стороны», </w:t>
      </w:r>
      <w:bookmarkStart w:id="2" w:name="_Hlk145582900"/>
      <w:r>
        <w:rPr>
          <w:rFonts w:ascii="Times New Roman" w:hAnsi="Times New Roman"/>
          <w:sz w:val="22"/>
        </w:rPr>
        <w:t xml:space="preserve">руководствуясь пунктом </w:t>
      </w:r>
      <w:r>
        <w:rPr>
          <w:rFonts w:ascii="Times New Roman" w:hAnsi="Times New Roman"/>
          <w:sz w:val="22"/>
        </w:rPr>
        <w:t>5</w:t>
      </w:r>
      <w:r>
        <w:rPr>
          <w:rFonts w:ascii="Times New Roman" w:hAnsi="Times New Roman"/>
          <w:sz w:val="22"/>
        </w:rPr>
        <w:t xml:space="preserve"> части 1 статьи 93 Федерального закона от 05.04.2013 № 44-ФЗ "О </w:t>
      </w:r>
      <w:r>
        <w:rPr>
          <w:rFonts w:ascii="Times New Roman" w:hAnsi="Times New Roman"/>
          <w:sz w:val="22"/>
        </w:rPr>
        <w:t>Контракт</w:t>
      </w:r>
      <w:r>
        <w:rPr>
          <w:rFonts w:ascii="Times New Roman" w:hAnsi="Times New Roman"/>
          <w:sz w:val="22"/>
        </w:rPr>
        <w:t>ной системе в сфере закупок товаров, работ, услуг для обеспечения государственных и муниципальных нужд" (далее – Закон № 44-ФЗ)</w:t>
      </w:r>
      <w:bookmarkEnd w:id="2"/>
      <w:r>
        <w:rPr>
          <w:rFonts w:ascii="Times New Roman" w:hAnsi="Times New Roman"/>
          <w:sz w:val="22"/>
        </w:rPr>
        <w:t>,</w:t>
      </w:r>
      <w:r>
        <w:rPr>
          <w:rFonts w:ascii="Times New Roman" w:hAnsi="Times New Roman"/>
          <w:sz w:val="22"/>
        </w:rPr>
        <w:t xml:space="preserve">заключили настоящий </w:t>
      </w:r>
      <w:r>
        <w:rPr>
          <w:rFonts w:ascii="Times New Roman" w:hAnsi="Times New Roman"/>
          <w:sz w:val="22"/>
        </w:rPr>
        <w:t>Контракт</w:t>
      </w:r>
      <w:r>
        <w:rPr>
          <w:rFonts w:ascii="Times New Roman" w:hAnsi="Times New Roman"/>
          <w:sz w:val="22"/>
        </w:rPr>
        <w:t xml:space="preserve"> (далее – </w:t>
      </w:r>
      <w:r>
        <w:rPr>
          <w:rFonts w:ascii="Times New Roman" w:hAnsi="Times New Roman"/>
          <w:sz w:val="22"/>
        </w:rPr>
        <w:t>Контракт</w:t>
      </w:r>
      <w:r>
        <w:rPr>
          <w:rFonts w:ascii="Times New Roman" w:hAnsi="Times New Roman"/>
          <w:sz w:val="22"/>
        </w:rPr>
        <w:t>) о нижеследующем:</w:t>
      </w:r>
    </w:p>
    <w:p w14:paraId="0E000000">
      <w:pPr>
        <w:pStyle w:val="Style_3"/>
        <w:ind w:firstLine="284" w:left="0"/>
        <w:jc w:val="both"/>
        <w:rPr>
          <w:rFonts w:ascii="Times New Roman" w:hAnsi="Times New Roman"/>
          <w:sz w:val="22"/>
        </w:rPr>
      </w:pPr>
    </w:p>
    <w:p w14:paraId="0F000000">
      <w:pPr>
        <w:pStyle w:val="Style_4"/>
      </w:pPr>
      <w:r>
        <w:t>I</w:t>
      </w:r>
      <w:r>
        <w:t xml:space="preserve">. ПРЕДМЕТ </w:t>
      </w:r>
      <w:r>
        <w:t>КОНТРАКТА</w:t>
      </w:r>
    </w:p>
    <w:p w14:paraId="10000000">
      <w:pPr>
        <w:tabs>
          <w:tab w:leader="none" w:pos="709" w:val="left"/>
        </w:tabs>
        <w:ind w:firstLine="283" w:left="0"/>
        <w:jc w:val="both"/>
      </w:pPr>
      <w:r>
        <w:rPr>
          <w:sz w:val="22"/>
        </w:rPr>
        <w:t xml:space="preserve">1.1. </w:t>
      </w:r>
      <w:r>
        <w:rPr>
          <w:sz w:val="22"/>
        </w:rPr>
        <w:t xml:space="preserve">Исполнитель обязуется </w:t>
      </w:r>
      <w:r>
        <w:rPr>
          <w:sz w:val="22"/>
        </w:rPr>
        <w:t xml:space="preserve">оказать </w:t>
      </w:r>
      <w:bookmarkStart w:id="3" w:name="_Hlk133500675"/>
      <w:r>
        <w:rPr>
          <w:sz w:val="22"/>
        </w:rPr>
        <w:t>услуги в области защиты информации</w:t>
      </w:r>
      <w:bookmarkEnd w:id="3"/>
      <w:r>
        <w:rPr>
          <w:sz w:val="22"/>
        </w:rPr>
        <w:t xml:space="preserve"> </w:t>
      </w:r>
      <w:r>
        <w:rPr>
          <w:sz w:val="22"/>
        </w:rPr>
        <w:t>(далее по тексту «Услуги») в соответствии с Приложение</w:t>
      </w:r>
      <w:r>
        <w:rPr>
          <w:sz w:val="22"/>
        </w:rPr>
        <w:t>м</w:t>
      </w:r>
      <w:r>
        <w:rPr>
          <w:sz w:val="22"/>
        </w:rPr>
        <w:t xml:space="preserve"> № 1 «</w:t>
      </w:r>
      <w:r>
        <w:rPr>
          <w:sz w:val="22"/>
        </w:rPr>
        <w:t>Спецификация</w:t>
      </w:r>
      <w:r>
        <w:rPr>
          <w:sz w:val="22"/>
        </w:rPr>
        <w:t>», являюще</w:t>
      </w:r>
      <w:r>
        <w:rPr>
          <w:sz w:val="22"/>
        </w:rPr>
        <w:t>мся</w:t>
      </w:r>
      <w:r>
        <w:rPr>
          <w:sz w:val="22"/>
        </w:rPr>
        <w:t xml:space="preserve"> неотъемлемой частью</w:t>
      </w:r>
      <w:r>
        <w:rPr>
          <w:sz w:val="22"/>
        </w:rPr>
        <w:t xml:space="preserve"> настоящего</w:t>
      </w:r>
      <w:r>
        <w:rPr>
          <w:sz w:val="22"/>
        </w:rPr>
        <w:t xml:space="preserve"> </w:t>
      </w:r>
      <w:r>
        <w:rPr>
          <w:sz w:val="22"/>
        </w:rPr>
        <w:t>Контракт</w:t>
      </w:r>
      <w:r>
        <w:rPr>
          <w:sz w:val="22"/>
        </w:rPr>
        <w:t xml:space="preserve">а, в порядке и на условиях, предусмотренных настоящим </w:t>
      </w:r>
      <w:r>
        <w:rPr>
          <w:sz w:val="22"/>
        </w:rPr>
        <w:t>Контракт</w:t>
      </w:r>
      <w:r>
        <w:rPr>
          <w:sz w:val="22"/>
        </w:rPr>
        <w:t>ом, а Заказчик принимает и оплачивает выполненные Исполнителем Услуги.</w:t>
      </w:r>
    </w:p>
    <w:p w14:paraId="11000000">
      <w:pPr>
        <w:tabs>
          <w:tab w:leader="none" w:pos="709" w:val="left"/>
        </w:tabs>
        <w:ind w:firstLine="283" w:left="0"/>
        <w:jc w:val="both"/>
      </w:pPr>
      <w:r>
        <w:rPr>
          <w:sz w:val="22"/>
        </w:rPr>
        <w:t xml:space="preserve">1.2. </w:t>
      </w:r>
      <w:r>
        <w:rPr>
          <w:sz w:val="22"/>
        </w:rPr>
        <w:t xml:space="preserve">Услуги оказываются Исполнителем в соответствии с требованиями </w:t>
      </w:r>
      <w:r>
        <w:rPr>
          <w:sz w:val="22"/>
        </w:rPr>
        <w:t xml:space="preserve">настоящего </w:t>
      </w:r>
      <w:r>
        <w:rPr>
          <w:sz w:val="22"/>
        </w:rPr>
        <w:t>Контракт</w:t>
      </w:r>
      <w:r>
        <w:rPr>
          <w:sz w:val="22"/>
        </w:rPr>
        <w:t>а.</w:t>
      </w:r>
    </w:p>
    <w:p w14:paraId="12000000">
      <w:pPr>
        <w:ind w:firstLine="283" w:left="0"/>
        <w:jc w:val="both"/>
      </w:pPr>
      <w:r>
        <w:rPr>
          <w:sz w:val="22"/>
        </w:rPr>
        <w:t xml:space="preserve">1.3. Объем технической поддержки, оказываемый в период действия сертификата технической поддержки, приведен в приложение № 2 к настоящему </w:t>
      </w:r>
      <w:r>
        <w:rPr>
          <w:sz w:val="22"/>
        </w:rPr>
        <w:t>Контракт</w:t>
      </w:r>
      <w:r>
        <w:rPr>
          <w:sz w:val="22"/>
        </w:rPr>
        <w:t>у.</w:t>
      </w:r>
    </w:p>
    <w:p w14:paraId="13000000">
      <w:pPr>
        <w:ind w:firstLine="283" w:left="0"/>
        <w:jc w:val="both"/>
      </w:pPr>
      <w:r>
        <w:rPr>
          <w:sz w:val="22"/>
        </w:rPr>
        <w:t xml:space="preserve">1.4. Передача неисключительных прав в рамках настоящего </w:t>
      </w:r>
      <w:r>
        <w:rPr>
          <w:sz w:val="22"/>
        </w:rPr>
        <w:t>Контракт</w:t>
      </w:r>
      <w:r>
        <w:rPr>
          <w:sz w:val="22"/>
        </w:rPr>
        <w:t xml:space="preserve">а осуществляется в соответствии с соглашением согласно приложения № 3 к настоящему </w:t>
      </w:r>
      <w:r>
        <w:rPr>
          <w:sz w:val="22"/>
        </w:rPr>
        <w:t>Контракт</w:t>
      </w:r>
      <w:r>
        <w:rPr>
          <w:sz w:val="22"/>
        </w:rPr>
        <w:t>у.</w:t>
      </w:r>
    </w:p>
    <w:p w14:paraId="14000000">
      <w:pPr>
        <w:pStyle w:val="Style_5"/>
        <w:spacing w:after="0"/>
        <w:ind w:firstLine="283" w:left="0"/>
        <w:jc w:val="both"/>
        <w:rPr>
          <w:sz w:val="22"/>
        </w:rPr>
      </w:pPr>
      <w:r>
        <w:rPr>
          <w:sz w:val="22"/>
        </w:rPr>
        <w:t>1.5. Представитель Заказчика получает документы и технические средства у Исполнителя на основании предъявляемой представителем доверенности, составленной по</w:t>
      </w:r>
      <w:r>
        <w:rPr>
          <w:sz w:val="22"/>
        </w:rPr>
        <w:t xml:space="preserve"> </w:t>
      </w:r>
      <w:r>
        <w:rPr>
          <w:sz w:val="22"/>
        </w:rPr>
        <w:t>форме</w:t>
      </w:r>
      <w:r>
        <w:rPr>
          <w:sz w:val="22"/>
        </w:rPr>
        <w:t>,</w:t>
      </w:r>
      <w:r>
        <w:rPr>
          <w:sz w:val="22"/>
        </w:rPr>
        <w:t xml:space="preserve"> согласованной сторонами в приложении № 4 к настоящему </w:t>
      </w:r>
      <w:r>
        <w:rPr>
          <w:sz w:val="22"/>
        </w:rPr>
        <w:t>Контракт</w:t>
      </w:r>
      <w:r>
        <w:rPr>
          <w:sz w:val="22"/>
        </w:rPr>
        <w:t>у. Указанные в настоящем пункте документы и технические средства передаются по адресу нахождения Исполнителя:___________________</w:t>
      </w:r>
    </w:p>
    <w:p w14:paraId="15000000">
      <w:pPr>
        <w:pStyle w:val="Style_5"/>
        <w:spacing w:after="0"/>
        <w:ind w:firstLine="283" w:left="0"/>
        <w:jc w:val="both"/>
        <w:rPr>
          <w:sz w:val="22"/>
        </w:rPr>
      </w:pPr>
      <w:r>
        <w:rPr>
          <w:sz w:val="22"/>
        </w:rPr>
        <w:t xml:space="preserve">1.6. При оказании Исполнителем услуг, связанных с установкой программного обеспечения, установкой и настройкой средств защиты информации, средств криптографической защиты информации на автоматизированные рабочие места (персональные компьютеры, вычислительную технику) Заказчика Исполнитель руководствуется эксплуатационной документацией на соответствующее программное обеспечение (средство защиты информации, средство криптографической защиты информации). Заказчик обеспечивает соответствие данных автоматизированных рабочих мест (персональных компьютеров, вычислительной техники) минимальным системным требованиям, указанным в эксплуатационной документации на соответствующее поставляемое программное обеспечение (средство защиты информации, средство криптографической защиты информации) поставляемое Заказчику согласно спецификации, Приложение № 1 к настоящему </w:t>
      </w:r>
      <w:r>
        <w:rPr>
          <w:sz w:val="22"/>
        </w:rPr>
        <w:t>Контракт</w:t>
      </w:r>
      <w:r>
        <w:rPr>
          <w:sz w:val="22"/>
        </w:rPr>
        <w:t>у.</w:t>
      </w:r>
    </w:p>
    <w:p w14:paraId="16000000">
      <w:pPr>
        <w:pStyle w:val="Style_5"/>
        <w:spacing w:after="0"/>
        <w:ind w:firstLine="283" w:left="0"/>
        <w:jc w:val="both"/>
        <w:rPr>
          <w:sz w:val="22"/>
        </w:rPr>
      </w:pPr>
      <w:r>
        <w:rPr>
          <w:sz w:val="22"/>
        </w:rPr>
        <w:t xml:space="preserve">1.7. Передача сертификатов, сертификатов технической поддержки, лицензий, прав на экземпляры программ для ЭВМ, в случае наличия таковых в Спецификации (Приложение № 1 к настоящему </w:t>
      </w:r>
      <w:r>
        <w:rPr>
          <w:sz w:val="22"/>
        </w:rPr>
        <w:t>Контракт</w:t>
      </w:r>
      <w:r>
        <w:rPr>
          <w:sz w:val="22"/>
        </w:rPr>
        <w:t xml:space="preserve">у), осуществляется Исполнителем путем направления экземпляров программ для ЭВМ, и/или ключей активации, и/или кодов доступа, и/или ссылок для активации, и/или сертификатов, и/или сертификатов технической поддержки, и/или лицензий в электронном виде по электронной почте на адрес электронной почты Заказчика указанный в разделе «Юридические адреса, банковские реквизиты и подписи Сторон» настоящего </w:t>
      </w:r>
      <w:r>
        <w:rPr>
          <w:sz w:val="22"/>
        </w:rPr>
        <w:t>Контракт</w:t>
      </w:r>
      <w:r>
        <w:rPr>
          <w:sz w:val="22"/>
        </w:rPr>
        <w:t xml:space="preserve">а. Обязанность Исполнителя по передаче права использования экземпляра программ для ЭВМ, и/или лицензии, и/или сертификата, и/или сертификата технической поддержки считается исполненной с момента отправки Исполнителем электронного письма с необходимыми данными указанными в настоящем пункте </w:t>
      </w:r>
      <w:r>
        <w:rPr>
          <w:sz w:val="22"/>
        </w:rPr>
        <w:t>Контракт</w:t>
      </w:r>
      <w:r>
        <w:rPr>
          <w:sz w:val="22"/>
        </w:rPr>
        <w:t>а.</w:t>
      </w:r>
    </w:p>
    <w:p w14:paraId="17000000">
      <w:pPr>
        <w:pStyle w:val="Style_5"/>
        <w:spacing w:after="0"/>
        <w:ind w:firstLine="283" w:left="0"/>
        <w:jc w:val="both"/>
        <w:rPr>
          <w:sz w:val="22"/>
        </w:rPr>
      </w:pPr>
    </w:p>
    <w:p w14:paraId="18000000">
      <w:pPr>
        <w:pStyle w:val="Style_5"/>
        <w:spacing w:after="0"/>
        <w:ind/>
        <w:jc w:val="center"/>
        <w:rPr>
          <w:sz w:val="22"/>
        </w:rPr>
      </w:pPr>
      <w:r>
        <w:rPr>
          <w:sz w:val="22"/>
        </w:rPr>
        <w:t>II</w:t>
      </w:r>
      <w:r>
        <w:rPr>
          <w:sz w:val="22"/>
        </w:rPr>
        <w:t xml:space="preserve">. </w:t>
      </w:r>
      <w:r>
        <w:rPr>
          <w:sz w:val="22"/>
        </w:rPr>
        <w:t>ЦЕНА</w:t>
      </w:r>
      <w:r>
        <w:rPr>
          <w:sz w:val="22"/>
        </w:rPr>
        <w:t xml:space="preserve"> </w:t>
      </w:r>
      <w:r>
        <w:rPr>
          <w:sz w:val="22"/>
        </w:rPr>
        <w:t>КОНТРАКТ</w:t>
      </w:r>
      <w:r>
        <w:rPr>
          <w:sz w:val="22"/>
        </w:rPr>
        <w:t>А</w:t>
      </w:r>
    </w:p>
    <w:p w14:paraId="19000000">
      <w:pPr>
        <w:pStyle w:val="Style_5"/>
        <w:spacing w:after="0"/>
        <w:ind w:firstLine="283" w:left="0"/>
        <w:jc w:val="both"/>
        <w:rPr>
          <w:sz w:val="22"/>
        </w:rPr>
      </w:pPr>
      <w:r>
        <w:rPr>
          <w:sz w:val="22"/>
        </w:rPr>
        <w:t xml:space="preserve">2.1. </w:t>
      </w:r>
      <w:r>
        <w:rPr>
          <w:sz w:val="22"/>
        </w:rPr>
        <w:t xml:space="preserve">Цена </w:t>
      </w:r>
      <w:r>
        <w:rPr>
          <w:sz w:val="22"/>
        </w:rPr>
        <w:t>Контракт</w:t>
      </w:r>
      <w:r>
        <w:rPr>
          <w:sz w:val="22"/>
        </w:rPr>
        <w:t>а составляет</w:t>
      </w:r>
      <w:r>
        <w:rPr>
          <w:sz w:val="22"/>
        </w:rPr>
        <w:t>:</w:t>
      </w:r>
      <w:r>
        <w:rPr>
          <w:sz w:val="22"/>
        </w:rPr>
        <w:t xml:space="preserve"> </w:t>
      </w:r>
      <w:r>
        <w:rPr>
          <w:sz w:val="22"/>
        </w:rPr>
        <w:t>_________________________________</w:t>
      </w:r>
    </w:p>
    <w:p w14:paraId="1A000000">
      <w:pPr>
        <w:pStyle w:val="Style_5"/>
        <w:spacing w:after="0"/>
        <w:ind w:firstLine="283" w:left="0"/>
        <w:jc w:val="both"/>
        <w:rPr>
          <w:sz w:val="22"/>
        </w:rPr>
      </w:pPr>
      <w:r>
        <w:rPr>
          <w:sz w:val="22"/>
        </w:rPr>
        <w:t xml:space="preserve">2.2. Цена </w:t>
      </w:r>
      <w:r>
        <w:rPr>
          <w:sz w:val="22"/>
        </w:rPr>
        <w:t>Контракт</w:t>
      </w:r>
      <w:r>
        <w:rPr>
          <w:sz w:val="22"/>
        </w:rPr>
        <w:t>а включает в себя</w:t>
      </w:r>
      <w:r>
        <w:rPr>
          <w:sz w:val="22"/>
        </w:rPr>
        <w:t xml:space="preserve"> </w:t>
      </w:r>
      <w:r>
        <w:rPr>
          <w:sz w:val="22"/>
        </w:rPr>
        <w:t>общ</w:t>
      </w:r>
      <w:r>
        <w:rPr>
          <w:sz w:val="22"/>
        </w:rPr>
        <w:t>ую</w:t>
      </w:r>
      <w:r>
        <w:rPr>
          <w:sz w:val="22"/>
        </w:rPr>
        <w:t xml:space="preserve"> стоимость Услуг, </w:t>
      </w:r>
      <w:r>
        <w:rPr>
          <w:sz w:val="22"/>
        </w:rPr>
        <w:t>состоящую из</w:t>
      </w:r>
      <w:r>
        <w:rPr>
          <w:sz w:val="22"/>
        </w:rPr>
        <w:t xml:space="preserve"> </w:t>
      </w:r>
      <w:r>
        <w:rPr>
          <w:sz w:val="22"/>
        </w:rPr>
        <w:t xml:space="preserve">всех </w:t>
      </w:r>
      <w:r>
        <w:rPr>
          <w:sz w:val="22"/>
        </w:rPr>
        <w:t>расход</w:t>
      </w:r>
      <w:r>
        <w:rPr>
          <w:sz w:val="22"/>
        </w:rPr>
        <w:t>ов</w:t>
      </w:r>
      <w:r>
        <w:rPr>
          <w:sz w:val="22"/>
        </w:rPr>
        <w:t xml:space="preserve"> Исполнителя, производимы</w:t>
      </w:r>
      <w:r>
        <w:rPr>
          <w:sz w:val="22"/>
        </w:rPr>
        <w:t>х</w:t>
      </w:r>
      <w:r>
        <w:rPr>
          <w:sz w:val="22"/>
        </w:rPr>
        <w:t xml:space="preserve"> им в процессе</w:t>
      </w:r>
      <w:r>
        <w:rPr>
          <w:sz w:val="22"/>
        </w:rPr>
        <w:t xml:space="preserve"> оказания Услуг</w:t>
      </w:r>
      <w:r>
        <w:rPr>
          <w:sz w:val="22"/>
        </w:rPr>
        <w:t xml:space="preserve">, в том числе </w:t>
      </w:r>
      <w:r>
        <w:rPr>
          <w:sz w:val="22"/>
        </w:rPr>
        <w:t xml:space="preserve">расходы на </w:t>
      </w:r>
      <w:r>
        <w:rPr>
          <w:sz w:val="22"/>
        </w:rPr>
        <w:t>технически</w:t>
      </w:r>
      <w:r>
        <w:rPr>
          <w:sz w:val="22"/>
        </w:rPr>
        <w:t>е</w:t>
      </w:r>
      <w:r>
        <w:rPr>
          <w:sz w:val="22"/>
        </w:rPr>
        <w:t xml:space="preserve"> средств</w:t>
      </w:r>
      <w:r>
        <w:rPr>
          <w:sz w:val="22"/>
        </w:rPr>
        <w:t>а,</w:t>
      </w:r>
      <w:r>
        <w:rPr>
          <w:sz w:val="22"/>
        </w:rPr>
        <w:t xml:space="preserve"> </w:t>
      </w:r>
      <w:r>
        <w:rPr>
          <w:sz w:val="22"/>
        </w:rPr>
        <w:t>р</w:t>
      </w:r>
      <w:r>
        <w:rPr>
          <w:sz w:val="22"/>
        </w:rPr>
        <w:t>абот</w:t>
      </w:r>
      <w:r>
        <w:rPr>
          <w:sz w:val="22"/>
        </w:rPr>
        <w:t>ы</w:t>
      </w:r>
      <w:r>
        <w:rPr>
          <w:sz w:val="22"/>
        </w:rPr>
        <w:t>, транспортные, командировочные расходы</w:t>
      </w:r>
      <w:r>
        <w:rPr>
          <w:sz w:val="22"/>
        </w:rPr>
        <w:t xml:space="preserve">, а также все налоги, пошлины, сборы, прочие затраты и иные расходы, которые Заказчик должен оплачивать в соответствии с условиями </w:t>
      </w:r>
      <w:r>
        <w:rPr>
          <w:sz w:val="22"/>
        </w:rPr>
        <w:t>Контракт</w:t>
      </w:r>
      <w:r>
        <w:rPr>
          <w:sz w:val="22"/>
        </w:rPr>
        <w:t>а.</w:t>
      </w:r>
    </w:p>
    <w:p w14:paraId="1B000000">
      <w:pPr>
        <w:pStyle w:val="Style_3"/>
        <w:ind w:firstLine="284" w:left="0"/>
        <w:jc w:val="both"/>
      </w:pPr>
      <w:r>
        <w:rPr>
          <w:rFonts w:ascii="Times New Roman" w:hAnsi="Times New Roman"/>
          <w:sz w:val="22"/>
        </w:rPr>
        <w:t xml:space="preserve">2.3. Цена </w:t>
      </w:r>
      <w:r>
        <w:rPr>
          <w:rFonts w:ascii="Times New Roman" w:hAnsi="Times New Roman"/>
          <w:sz w:val="22"/>
        </w:rPr>
        <w:t>Контракт</w:t>
      </w:r>
      <w:r>
        <w:rPr>
          <w:rFonts w:ascii="Times New Roman" w:hAnsi="Times New Roman"/>
          <w:sz w:val="22"/>
        </w:rPr>
        <w:t xml:space="preserve">а является твердой и определяется на весь срок исполнения </w:t>
      </w:r>
      <w:r>
        <w:rPr>
          <w:rFonts w:ascii="Times New Roman" w:hAnsi="Times New Roman"/>
          <w:sz w:val="22"/>
        </w:rPr>
        <w:t>Контракт</w:t>
      </w:r>
      <w:r>
        <w:rPr>
          <w:rFonts w:ascii="Times New Roman" w:hAnsi="Times New Roman"/>
          <w:sz w:val="22"/>
        </w:rPr>
        <w:t>а.</w:t>
      </w:r>
    </w:p>
    <w:p w14:paraId="1C000000">
      <w:pPr>
        <w:pStyle w:val="Style_3"/>
        <w:ind w:firstLine="284" w:left="0"/>
        <w:jc w:val="both"/>
      </w:pPr>
      <w:bookmarkStart w:id="4" w:name="_Hlk145583185"/>
      <w:bookmarkEnd w:id="4"/>
      <w:bookmarkStart w:id="5" w:name="P41"/>
      <w:bookmarkEnd w:id="5"/>
      <w:r>
        <w:rPr>
          <w:rFonts w:ascii="Times New Roman" w:hAnsi="Times New Roman"/>
          <w:sz w:val="22"/>
        </w:rPr>
        <w:t xml:space="preserve">2.4. </w:t>
      </w:r>
      <w:r>
        <w:rPr>
          <w:rFonts w:ascii="Times New Roman" w:hAnsi="Times New Roman"/>
          <w:sz w:val="22"/>
        </w:rPr>
        <w:t>Оплата производится за счет бюджетного учреждения</w:t>
      </w:r>
      <w:r>
        <w:rPr>
          <w:rFonts w:ascii="Times New Roman" w:hAnsi="Times New Roman"/>
          <w:sz w:val="22"/>
        </w:rPr>
        <w:t>.</w:t>
      </w:r>
    </w:p>
    <w:p w14:paraId="1D000000">
      <w:pPr>
        <w:ind w:firstLine="284" w:left="0"/>
        <w:jc w:val="both"/>
        <w:rPr>
          <w:sz w:val="22"/>
        </w:rPr>
      </w:pPr>
      <w:bookmarkStart w:id="6" w:name="_Hlk145583185_Копия_1"/>
      <w:bookmarkEnd w:id="6"/>
      <w:r>
        <w:rPr>
          <w:sz w:val="22"/>
        </w:rPr>
        <w:t xml:space="preserve">2.5. Оплата оказанных услуг производится по факту их оказания в срок </w:t>
      </w:r>
      <w:r>
        <w:rPr>
          <w:sz w:val="22"/>
        </w:rPr>
        <w:t>не более 7 (семи) рабочих дней с даты приемки оказанных услуг,</w:t>
      </w:r>
      <w:r>
        <w:rPr>
          <w:sz w:val="22"/>
        </w:rPr>
        <w:t xml:space="preserve"> по безналичному расчёту, путем перечисления денежных средств на расчетный счет Исполнителя, подтверждённой одним из следующих документов:</w:t>
      </w:r>
    </w:p>
    <w:p w14:paraId="1E000000">
      <w:pPr>
        <w:ind w:firstLine="284" w:left="0"/>
        <w:jc w:val="both"/>
        <w:rPr>
          <w:sz w:val="22"/>
        </w:rPr>
      </w:pPr>
      <w:r>
        <w:rPr>
          <w:sz w:val="22"/>
        </w:rPr>
        <w:t xml:space="preserve"> • для электронного документооборота (ЭДО) — УПД в формате 5.03, утверждённом приказом ФНС России от 19.12.2023 № ЕД-7-26/970@;</w:t>
      </w:r>
    </w:p>
    <w:p w14:paraId="1F000000">
      <w:pPr>
        <w:ind w:firstLine="284" w:left="0"/>
        <w:jc w:val="both"/>
      </w:pPr>
      <w:r>
        <w:rPr>
          <w:sz w:val="22"/>
        </w:rPr>
        <w:t xml:space="preserve"> • для бумажного документооборота — Актом оказанных услуг, Актом приёма-передачи прав или Товарной накладной. Перечисление денежных средств осуществляется на расчётный счёт Исполнителя по безналичному расчёту».</w:t>
      </w:r>
    </w:p>
    <w:p w14:paraId="20000000">
      <w:pPr>
        <w:ind w:firstLine="284" w:left="0"/>
        <w:jc w:val="both"/>
      </w:pPr>
      <w:r>
        <w:rPr>
          <w:sz w:val="22"/>
        </w:rPr>
        <w:t xml:space="preserve">2.6.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w:t>
      </w:r>
      <w:r>
        <w:rPr>
          <w:sz w:val="22"/>
        </w:rPr>
        <w:t>Контракт</w:t>
      </w:r>
      <w:r>
        <w:rPr>
          <w:sz w:val="22"/>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1000000">
      <w:pPr>
        <w:ind w:firstLine="284" w:left="0"/>
        <w:jc w:val="both"/>
        <w:rPr>
          <w:sz w:val="22"/>
        </w:rPr>
      </w:pPr>
      <w:r>
        <w:rPr>
          <w:sz w:val="22"/>
        </w:rPr>
        <w:t xml:space="preserve">2.7. При исполнении </w:t>
      </w:r>
      <w:r>
        <w:rPr>
          <w:sz w:val="22"/>
        </w:rPr>
        <w:t>Контракт</w:t>
      </w:r>
      <w:r>
        <w:rPr>
          <w:sz w:val="22"/>
        </w:rPr>
        <w:t xml:space="preserve">а по согласованию Заказчика с Исполнителем допускается выполнение Услуг, качество, технические, экологические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экологическими и функциональными характеристиками, указанными в Спецификации к настоящему </w:t>
      </w:r>
      <w:r>
        <w:rPr>
          <w:sz w:val="22"/>
        </w:rPr>
        <w:t>Контракт</w:t>
      </w:r>
      <w:r>
        <w:rPr>
          <w:sz w:val="22"/>
        </w:rPr>
        <w:t>у.</w:t>
      </w:r>
    </w:p>
    <w:p w14:paraId="22000000">
      <w:pPr>
        <w:ind w:firstLine="284" w:left="0"/>
        <w:jc w:val="both"/>
        <w:rPr>
          <w:sz w:val="22"/>
        </w:rPr>
      </w:pPr>
      <w:r>
        <w:rPr>
          <w:sz w:val="22"/>
        </w:rPr>
        <w:t xml:space="preserve">2.8. </w:t>
      </w:r>
      <w:r>
        <w:rPr>
          <w:sz w:val="22"/>
        </w:rPr>
        <w:t xml:space="preserve">Датой оплаты считается дата поступления денежных средств на счет Исполнителя, указанного в настоящем </w:t>
      </w:r>
      <w:r>
        <w:rPr>
          <w:sz w:val="22"/>
        </w:rPr>
        <w:t>Контракт</w:t>
      </w:r>
      <w:r>
        <w:rPr>
          <w:sz w:val="22"/>
        </w:rPr>
        <w:t>е.</w:t>
      </w:r>
    </w:p>
    <w:p w14:paraId="23000000">
      <w:pPr>
        <w:pStyle w:val="Style_6"/>
        <w:tabs>
          <w:tab w:leader="none" w:pos="1307" w:val="clear"/>
        </w:tabs>
        <w:ind w:firstLine="284" w:left="0"/>
        <w:rPr>
          <w:sz w:val="22"/>
        </w:rPr>
      </w:pPr>
    </w:p>
    <w:p w14:paraId="24000000">
      <w:pPr>
        <w:pStyle w:val="Style_4"/>
      </w:pPr>
      <w:r>
        <w:t>III</w:t>
      </w:r>
      <w:r>
        <w:t>. ПОРЯДОК СДАЧИ И ПРИЁМА УСЛУГ</w:t>
      </w:r>
    </w:p>
    <w:p w14:paraId="25000000">
      <w:pPr>
        <w:ind w:firstLine="284" w:left="0"/>
        <w:jc w:val="both"/>
        <w:rPr>
          <w:sz w:val="22"/>
        </w:rPr>
      </w:pPr>
      <w:r>
        <w:rPr>
          <w:sz w:val="22"/>
        </w:rPr>
        <w:t xml:space="preserve">3.1. </w:t>
      </w:r>
      <w:bookmarkStart w:id="7" w:name="_Hlk135995133"/>
      <w:r>
        <w:rPr>
          <w:sz w:val="22"/>
        </w:rPr>
        <w:t xml:space="preserve">Порядок оказания Услуг указан в Спецификации (Приложение №1 к </w:t>
      </w:r>
      <w:r>
        <w:rPr>
          <w:sz w:val="22"/>
        </w:rPr>
        <w:t>Контракт</w:t>
      </w:r>
      <w:r>
        <w:rPr>
          <w:sz w:val="22"/>
        </w:rPr>
        <w:t xml:space="preserve">у). Исполнитель оказывает Услуги с момента подписания </w:t>
      </w:r>
      <w:r>
        <w:rPr>
          <w:sz w:val="22"/>
        </w:rPr>
        <w:t>Контракт</w:t>
      </w:r>
      <w:r>
        <w:rPr>
          <w:sz w:val="22"/>
        </w:rPr>
        <w:t xml:space="preserve">а в </w:t>
      </w:r>
      <w:r>
        <w:rPr>
          <w:sz w:val="22"/>
        </w:rPr>
        <w:t>срок</w:t>
      </w:r>
      <w:r>
        <w:rPr>
          <w:b w:val="1"/>
          <w:i w:val="1"/>
          <w:sz w:val="22"/>
        </w:rPr>
        <w:t xml:space="preserve"> не позднее </w:t>
      </w:r>
      <w:r>
        <w:rPr>
          <w:b w:val="1"/>
          <w:i w:val="1"/>
          <w:sz w:val="22"/>
        </w:rPr>
        <w:t>20.12</w:t>
      </w:r>
      <w:r>
        <w:rPr>
          <w:b w:val="1"/>
          <w:i w:val="1"/>
          <w:sz w:val="22"/>
        </w:rPr>
        <w:t>.2026</w:t>
      </w:r>
      <w:r>
        <w:rPr>
          <w:b w:val="1"/>
          <w:i w:val="1"/>
          <w:sz w:val="22"/>
        </w:rPr>
        <w:t>.</w:t>
      </w:r>
      <w:r>
        <w:rPr>
          <w:sz w:val="22"/>
        </w:rPr>
        <w:t xml:space="preserve"> Услуга оказывается по адресу: г. Ростов-на-Дону, ул. Ульяновская, 25.</w:t>
      </w:r>
      <w:bookmarkEnd w:id="7"/>
    </w:p>
    <w:p w14:paraId="26000000">
      <w:pPr>
        <w:ind w:firstLine="284" w:left="0"/>
        <w:jc w:val="both"/>
        <w:rPr>
          <w:sz w:val="22"/>
        </w:rPr>
      </w:pPr>
      <w:r>
        <w:rPr>
          <w:sz w:val="22"/>
        </w:rPr>
        <w:t>3.2.</w:t>
      </w:r>
      <w:r>
        <w:rPr>
          <w:sz w:val="22"/>
        </w:rPr>
        <w:t xml:space="preserve"> Исполнитель </w:t>
      </w:r>
      <w:r>
        <w:rPr>
          <w:b w:val="1"/>
          <w:i w:val="1"/>
          <w:sz w:val="22"/>
        </w:rPr>
        <w:t>не позднее 10 (десяти) рабочих дней с момента оказания Услуг, составляет документ о приёмке</w:t>
      </w:r>
      <w:r>
        <w:rPr>
          <w:sz w:val="22"/>
        </w:rPr>
        <w:t>, подписывает подписью лица</w:t>
      </w:r>
      <w:r>
        <w:rPr>
          <w:sz w:val="22"/>
        </w:rPr>
        <w:t>, имеющего право действовать от имени Исполнителя, и направляет Заказчику:</w:t>
      </w:r>
    </w:p>
    <w:p w14:paraId="27000000">
      <w:pPr>
        <w:ind w:firstLine="284" w:left="0"/>
        <w:jc w:val="both"/>
        <w:rPr>
          <w:sz w:val="22"/>
        </w:rPr>
      </w:pPr>
      <w:r>
        <w:rPr>
          <w:sz w:val="22"/>
        </w:rPr>
        <w:t>• при использовании ЭДО — УПД (версия 5.03), подписанный усиленной квалифицированной электронной подписью (УКЭП);</w:t>
      </w:r>
    </w:p>
    <w:p w14:paraId="28000000">
      <w:pPr>
        <w:ind w:firstLine="284" w:left="0"/>
        <w:jc w:val="both"/>
        <w:rPr>
          <w:sz w:val="22"/>
        </w:rPr>
      </w:pPr>
      <w:r>
        <w:rPr>
          <w:sz w:val="22"/>
        </w:rPr>
        <w:t>• при бумажном документообороте — Акт оказанных услуг / Акт приёма-передачи прав / Товарную накладную, подписанные уполномоченным лицом Исполнителя. К документу прилагаются счёт и счёт-фактура (в зависимости от условий уплаты НДС). Документ считается подписанным с момента подтверждения Заказчиком».</w:t>
      </w:r>
    </w:p>
    <w:p w14:paraId="29000000">
      <w:pPr>
        <w:ind w:firstLine="284" w:left="0"/>
        <w:jc w:val="both"/>
        <w:rPr>
          <w:sz w:val="22"/>
        </w:rPr>
      </w:pPr>
      <w:r>
        <w:rPr>
          <w:sz w:val="22"/>
        </w:rPr>
        <w:t>Документ о приемке услуг считается подписанным с момента его подписания Заказчиком.</w:t>
      </w:r>
    </w:p>
    <w:p w14:paraId="2A000000">
      <w:pPr>
        <w:ind w:firstLine="284" w:left="0"/>
        <w:jc w:val="both"/>
        <w:rPr>
          <w:sz w:val="22"/>
        </w:rPr>
      </w:pPr>
      <w:r>
        <w:rPr>
          <w:sz w:val="22"/>
        </w:rPr>
        <w:t xml:space="preserve">3.3. </w:t>
      </w:r>
      <w:r>
        <w:rPr>
          <w:sz w:val="22"/>
        </w:rPr>
        <w:t xml:space="preserve">Если в рамках оказания Услуг передаются технические средства, права на ПО или иные материалы, указанные в Спецификации к </w:t>
      </w:r>
      <w:r>
        <w:rPr>
          <w:sz w:val="22"/>
        </w:rPr>
        <w:t>Контракт</w:t>
      </w:r>
      <w:r>
        <w:rPr>
          <w:sz w:val="22"/>
        </w:rPr>
        <w:t>у, их приёмка оформляется:</w:t>
      </w:r>
    </w:p>
    <w:p w14:paraId="2B000000">
      <w:pPr>
        <w:ind w:firstLine="284" w:left="0"/>
        <w:jc w:val="both"/>
        <w:rPr>
          <w:sz w:val="22"/>
        </w:rPr>
      </w:pPr>
      <w:r>
        <w:rPr>
          <w:sz w:val="22"/>
        </w:rPr>
        <w:t xml:space="preserve"> • в рамках ЭДО — УПД (версия 5.03) с отметкой о передаче материальных ценностей;</w:t>
      </w:r>
    </w:p>
    <w:p w14:paraId="2C000000">
      <w:pPr>
        <w:ind w:firstLine="284" w:left="0"/>
        <w:jc w:val="both"/>
        <w:rPr>
          <w:sz w:val="22"/>
        </w:rPr>
      </w:pPr>
      <w:r>
        <w:rPr>
          <w:sz w:val="22"/>
        </w:rPr>
        <w:t xml:space="preserve"> • в бумажном виде — Актами приёма-передачи, Товарными накладными или Соглашениями о передаче неисключительных прав. Стороны подтверждают соответствие формата документов актуальным требованиям законодательства с 01.01.2026».</w:t>
      </w:r>
    </w:p>
    <w:p w14:paraId="2D000000">
      <w:pPr>
        <w:ind w:firstLine="284" w:left="0"/>
        <w:jc w:val="both"/>
        <w:rPr>
          <w:sz w:val="22"/>
        </w:rPr>
      </w:pPr>
      <w:r>
        <w:rPr>
          <w:sz w:val="22"/>
        </w:rPr>
        <w:t xml:space="preserve">3.4. В случае изменения расчетного счета, Исполнитель обязан в течение трех рабочих дней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w:t>
      </w:r>
      <w:r>
        <w:rPr>
          <w:sz w:val="22"/>
        </w:rPr>
        <w:t>Контракт</w:t>
      </w:r>
      <w:r>
        <w:rPr>
          <w:sz w:val="22"/>
        </w:rPr>
        <w:t>е счет Исполнителя, несет Исполнитель.</w:t>
      </w:r>
    </w:p>
    <w:p w14:paraId="2E000000">
      <w:pPr>
        <w:widowControl w:val="0"/>
        <w:ind w:firstLine="284" w:left="0"/>
        <w:jc w:val="both"/>
        <w:rPr>
          <w:sz w:val="22"/>
        </w:rPr>
      </w:pPr>
      <w:r>
        <w:rPr>
          <w:sz w:val="22"/>
        </w:rPr>
        <w:t xml:space="preserve">3.5. </w:t>
      </w:r>
      <w:r>
        <w:rPr>
          <w:b w:val="1"/>
          <w:i w:val="1"/>
          <w:sz w:val="22"/>
        </w:rPr>
        <w:t>В 10 (десятидневный) срок</w:t>
      </w:r>
      <w:r>
        <w:rPr>
          <w:sz w:val="22"/>
        </w:rPr>
        <w:t xml:space="preserve">, следующий за днем поступления Документа о приемке, Заказчик </w:t>
      </w:r>
      <w:r>
        <w:rPr>
          <w:sz w:val="22"/>
        </w:rPr>
        <w:t>организует приемку</w:t>
      </w:r>
      <w:r>
        <w:rPr>
          <w:sz w:val="22"/>
        </w:rPr>
        <w:t xml:space="preserve"> оказанной Исполнителем услуги по </w:t>
      </w:r>
      <w:r>
        <w:rPr>
          <w:sz w:val="22"/>
        </w:rPr>
        <w:t>Контракт</w:t>
      </w:r>
      <w:r>
        <w:rPr>
          <w:sz w:val="22"/>
        </w:rPr>
        <w:t xml:space="preserve">у на предмет соответствия оказанной услуги требованиям и условиям </w:t>
      </w:r>
      <w:r>
        <w:rPr>
          <w:sz w:val="22"/>
        </w:rPr>
        <w:t>Контракт</w:t>
      </w:r>
      <w:r>
        <w:rPr>
          <w:sz w:val="22"/>
        </w:rPr>
        <w:t xml:space="preserve">а. </w:t>
      </w:r>
    </w:p>
    <w:p w14:paraId="2F000000">
      <w:pPr>
        <w:widowControl w:val="0"/>
        <w:ind w:firstLine="284" w:left="0"/>
        <w:jc w:val="both"/>
        <w:rPr>
          <w:sz w:val="22"/>
        </w:rPr>
      </w:pPr>
      <w:r>
        <w:rPr>
          <w:sz w:val="22"/>
        </w:rPr>
        <w:t xml:space="preserve">3.6. По результатам приемки Заказчик </w:t>
      </w:r>
      <w:r>
        <w:rPr>
          <w:b w:val="1"/>
          <w:i w:val="1"/>
          <w:sz w:val="22"/>
        </w:rPr>
        <w:t>в течение 10 (десяти) дней с даты представления Исполнителем всех необходимых для приёмки документов</w:t>
      </w:r>
      <w:r>
        <w:rPr>
          <w:sz w:val="22"/>
        </w:rPr>
        <w:t>, осуществляет одно из следующих действий:</w:t>
      </w:r>
    </w:p>
    <w:p w14:paraId="30000000">
      <w:pPr>
        <w:ind w:firstLine="567" w:left="0"/>
        <w:jc w:val="both"/>
        <w:rPr>
          <w:sz w:val="22"/>
        </w:rPr>
      </w:pPr>
      <w:r>
        <w:rPr>
          <w:sz w:val="22"/>
        </w:rPr>
        <w:t>а) подписывает Документ о приемке и направляет одну его копию в адрес Исполнителя;</w:t>
      </w:r>
    </w:p>
    <w:p w14:paraId="31000000">
      <w:pPr>
        <w:ind w:firstLine="567" w:left="0"/>
        <w:jc w:val="both"/>
        <w:rPr>
          <w:sz w:val="22"/>
        </w:rPr>
      </w:pPr>
      <w:r>
        <w:rPr>
          <w:sz w:val="22"/>
        </w:rPr>
        <w:t>б) составляет и подписывает мотивированный отказ от подписания Документа о приемке с указанием причин такого отказа и направляет его в адрес Исполнителя.</w:t>
      </w:r>
    </w:p>
    <w:p w14:paraId="32000000">
      <w:pPr>
        <w:ind w:firstLine="283" w:left="0"/>
        <w:jc w:val="both"/>
        <w:rPr>
          <w:sz w:val="22"/>
        </w:rPr>
      </w:pPr>
      <w:r>
        <w:rPr>
          <w:sz w:val="22"/>
        </w:rPr>
        <w:t xml:space="preserve">3.7. </w:t>
      </w:r>
      <w:r>
        <w:rPr>
          <w:sz w:val="22"/>
        </w:rPr>
        <w:t>Если Заказчик в течение 10 (десяти) рабочих дней не подписал документ о приёмке и не направил мотивированный отказ, услуги считаются принятыми без замечаний. Оплата производится на основании:</w:t>
      </w:r>
    </w:p>
    <w:p w14:paraId="33000000">
      <w:pPr>
        <w:ind w:firstLine="283" w:left="0"/>
        <w:jc w:val="both"/>
        <w:rPr>
          <w:sz w:val="22"/>
        </w:rPr>
      </w:pPr>
      <w:r>
        <w:rPr>
          <w:sz w:val="22"/>
        </w:rPr>
        <w:t xml:space="preserve"> • для ЭДО — УПД (версия 5.03);</w:t>
      </w:r>
    </w:p>
    <w:p w14:paraId="34000000">
      <w:pPr>
        <w:ind w:firstLine="283" w:left="0"/>
        <w:jc w:val="both"/>
        <w:rPr>
          <w:sz w:val="22"/>
        </w:rPr>
      </w:pPr>
      <w:r>
        <w:rPr>
          <w:sz w:val="22"/>
        </w:rPr>
        <w:t xml:space="preserve"> • для бумажного документооборота — подписанного акта или накладной. Несоблюдение сроков рассмотрения документов влечёт обязанность Заказчика оплатить услуги согласно счёту и счёту-фактуре (с учётом условий НДС)».</w:t>
      </w:r>
    </w:p>
    <w:p w14:paraId="35000000">
      <w:pPr>
        <w:ind w:firstLine="284" w:left="0"/>
        <w:jc w:val="both"/>
        <w:rPr>
          <w:sz w:val="22"/>
        </w:rPr>
      </w:pPr>
      <w:r>
        <w:rPr>
          <w:sz w:val="22"/>
        </w:rPr>
        <w:t>3.8.</w:t>
      </w:r>
      <w:r>
        <w:rPr>
          <w:sz w:val="22"/>
        </w:rPr>
        <w:t xml:space="preserve"> Если в процессе сдачи-приемки выполненных Услуг Заказчиком будут выявлены недостатки</w:t>
      </w:r>
      <w:r>
        <w:rPr>
          <w:sz w:val="22"/>
        </w:rPr>
        <w:t>/несоответствия</w:t>
      </w:r>
      <w:r>
        <w:rPr>
          <w:sz w:val="22"/>
        </w:rPr>
        <w:t>, в том числе в случае выявления внешних признаков ненадлежащего качества</w:t>
      </w:r>
      <w:r>
        <w:rPr>
          <w:sz w:val="22"/>
        </w:rPr>
        <w:t xml:space="preserve">, </w:t>
      </w:r>
      <w:r>
        <w:rPr>
          <w:sz w:val="22"/>
        </w:rPr>
        <w:t xml:space="preserve">окончательный расчет с Исполнителем производится после полного устранения выявленных недостатков и </w:t>
      </w:r>
      <w:r>
        <w:rPr>
          <w:sz w:val="22"/>
        </w:rPr>
        <w:t>подписания Документа о приемке</w:t>
      </w:r>
      <w:r>
        <w:rPr>
          <w:sz w:val="22"/>
        </w:rPr>
        <w:t>.</w:t>
      </w:r>
      <w:r>
        <w:rPr>
          <w:sz w:val="22"/>
        </w:rPr>
        <w:t xml:space="preserve"> Заказчик</w:t>
      </w:r>
      <w:r>
        <w:rPr>
          <w:sz w:val="22"/>
        </w:rPr>
        <w:t xml:space="preserve"> вправе не отказывать в приемке Услуг в случае выявления несоответствия этих Услуг условиям </w:t>
      </w:r>
      <w:r>
        <w:rPr>
          <w:sz w:val="22"/>
        </w:rPr>
        <w:t>Контракт</w:t>
      </w:r>
      <w:r>
        <w:rPr>
          <w:sz w:val="22"/>
        </w:rPr>
        <w:t>а, если выявленное несоответствие не препятствует приемке и устранено Исполнителем.</w:t>
      </w:r>
    </w:p>
    <w:p w14:paraId="36000000">
      <w:pPr>
        <w:widowControl w:val="0"/>
        <w:ind w:firstLine="284" w:left="0"/>
        <w:jc w:val="both"/>
        <w:rPr>
          <w:sz w:val="22"/>
        </w:rPr>
      </w:pPr>
    </w:p>
    <w:p w14:paraId="37000000">
      <w:pPr>
        <w:pStyle w:val="Style_4"/>
      </w:pPr>
      <w:r>
        <w:t>IV</w:t>
      </w:r>
      <w:r>
        <w:t>. ПРАВА И ОБЯЗАННОСТИ СТОРОН</w:t>
      </w:r>
    </w:p>
    <w:p w14:paraId="38000000">
      <w:pPr>
        <w:tabs>
          <w:tab w:leader="none" w:pos="709" w:val="left"/>
        </w:tabs>
        <w:ind w:firstLine="284" w:left="0"/>
        <w:jc w:val="both"/>
        <w:rPr>
          <w:sz w:val="22"/>
        </w:rPr>
      </w:pPr>
      <w:r>
        <w:rPr>
          <w:sz w:val="22"/>
        </w:rPr>
        <w:t>4.1. Исполнитель имеет право:</w:t>
      </w:r>
    </w:p>
    <w:p w14:paraId="39000000">
      <w:pPr>
        <w:tabs>
          <w:tab w:leader="none" w:pos="709" w:val="left"/>
        </w:tabs>
        <w:ind w:firstLine="284" w:left="0"/>
        <w:jc w:val="both"/>
        <w:rPr>
          <w:sz w:val="22"/>
        </w:rPr>
      </w:pPr>
      <w:r>
        <w:rPr>
          <w:sz w:val="22"/>
        </w:rPr>
        <w:t>4.1.1. Самостоятельно определять способы, оборудование для выполнения Услуг.</w:t>
      </w:r>
    </w:p>
    <w:p w14:paraId="3A000000">
      <w:pPr>
        <w:tabs>
          <w:tab w:leader="none" w:pos="709" w:val="left"/>
        </w:tabs>
        <w:ind w:firstLine="284" w:left="0"/>
        <w:jc w:val="both"/>
        <w:rPr>
          <w:sz w:val="22"/>
        </w:rPr>
      </w:pPr>
      <w:r>
        <w:rPr>
          <w:sz w:val="22"/>
        </w:rPr>
        <w:t xml:space="preserve">4.1.2. Запрашивать у Заказчика информацию, необходимую для оказания услуг по </w:t>
      </w:r>
      <w:r>
        <w:rPr>
          <w:sz w:val="22"/>
        </w:rPr>
        <w:t>Контракт</w:t>
      </w:r>
      <w:r>
        <w:rPr>
          <w:sz w:val="22"/>
        </w:rPr>
        <w:t>у.</w:t>
      </w:r>
    </w:p>
    <w:p w14:paraId="3B000000">
      <w:pPr>
        <w:tabs>
          <w:tab w:leader="none" w:pos="709" w:val="left"/>
        </w:tabs>
        <w:ind w:firstLine="284" w:left="0"/>
        <w:jc w:val="both"/>
        <w:rPr>
          <w:sz w:val="22"/>
        </w:rPr>
      </w:pPr>
      <w:r>
        <w:rPr>
          <w:sz w:val="22"/>
        </w:rPr>
        <w:t>4.1.3. Требовать от Заказчика оплаты принятых без замечаний Услуг.</w:t>
      </w:r>
    </w:p>
    <w:p w14:paraId="3C000000">
      <w:pPr>
        <w:tabs>
          <w:tab w:leader="none" w:pos="709" w:val="left"/>
        </w:tabs>
        <w:ind w:firstLine="284" w:left="0"/>
        <w:jc w:val="both"/>
        <w:rPr>
          <w:sz w:val="22"/>
        </w:rPr>
      </w:pPr>
      <w:r>
        <w:rPr>
          <w:sz w:val="22"/>
        </w:rPr>
        <w:t xml:space="preserve">4.2. Исполнитель обязуется: </w:t>
      </w:r>
    </w:p>
    <w:p w14:paraId="3D000000">
      <w:pPr>
        <w:tabs>
          <w:tab w:leader="none" w:pos="709" w:val="left"/>
        </w:tabs>
        <w:ind w:firstLine="284" w:left="0"/>
        <w:jc w:val="both"/>
        <w:rPr>
          <w:spacing w:val="-2"/>
          <w:sz w:val="22"/>
        </w:rPr>
      </w:pPr>
      <w:r>
        <w:rPr>
          <w:sz w:val="22"/>
        </w:rPr>
        <w:t xml:space="preserve">4.2.1. Оказать Услуги своевременно, качественно и в полном объеме, в соответствии с требованиями настоящего </w:t>
      </w:r>
      <w:r>
        <w:rPr>
          <w:sz w:val="22"/>
        </w:rPr>
        <w:t>Контракт</w:t>
      </w:r>
      <w:r>
        <w:rPr>
          <w:sz w:val="22"/>
        </w:rPr>
        <w:t>а.</w:t>
      </w:r>
    </w:p>
    <w:p w14:paraId="3E000000">
      <w:pPr>
        <w:tabs>
          <w:tab w:leader="none" w:pos="709" w:val="left"/>
        </w:tabs>
        <w:ind w:firstLine="284" w:left="0"/>
        <w:jc w:val="both"/>
        <w:rPr>
          <w:sz w:val="22"/>
        </w:rPr>
      </w:pPr>
      <w:r>
        <w:rPr>
          <w:sz w:val="22"/>
        </w:rPr>
        <w:t xml:space="preserve">4.2.2. По требованию Заказчика своими средствами и за свой счет в срок, согласованный с Заказчиком устранить допущенные по своей вине в оказанных услугах недостатки или иные отступления от условий </w:t>
      </w:r>
      <w:r>
        <w:rPr>
          <w:sz w:val="22"/>
        </w:rPr>
        <w:t>Контракт</w:t>
      </w:r>
      <w:r>
        <w:rPr>
          <w:sz w:val="22"/>
        </w:rPr>
        <w:t>а.</w:t>
      </w:r>
    </w:p>
    <w:p w14:paraId="3F000000">
      <w:pPr>
        <w:widowControl w:val="0"/>
        <w:tabs>
          <w:tab w:leader="none" w:pos="709" w:val="left"/>
          <w:tab w:leader="none" w:pos="1134" w:val="left"/>
          <w:tab w:leader="none" w:pos="1276" w:val="left"/>
        </w:tabs>
        <w:ind w:firstLine="284" w:left="0"/>
        <w:contextualSpacing w:val="1"/>
        <w:jc w:val="both"/>
        <w:rPr>
          <w:sz w:val="22"/>
        </w:rPr>
      </w:pPr>
      <w:r>
        <w:rPr>
          <w:sz w:val="22"/>
        </w:rPr>
        <w:t>4.2.3. Устранять все дефекты и неполадки, возникшие по вине Исполнителя, с надлежащим качеством.</w:t>
      </w:r>
    </w:p>
    <w:p w14:paraId="40000000">
      <w:pPr>
        <w:tabs>
          <w:tab w:leader="none" w:pos="709" w:val="left"/>
        </w:tabs>
        <w:ind w:firstLine="284" w:left="0"/>
        <w:jc w:val="both"/>
        <w:rPr>
          <w:sz w:val="22"/>
        </w:rPr>
      </w:pPr>
      <w:r>
        <w:rPr>
          <w:sz w:val="22"/>
        </w:rPr>
        <w:t xml:space="preserve">4.2.4 </w:t>
      </w:r>
      <w:bookmarkStart w:id="8" w:name="_Hlk103596300"/>
      <w:r>
        <w:rPr>
          <w:sz w:val="22"/>
        </w:rPr>
        <w:t xml:space="preserve">Оказать услугу в соответствии с условиями </w:t>
      </w:r>
      <w:r>
        <w:rPr>
          <w:sz w:val="22"/>
        </w:rPr>
        <w:t>Контракт</w:t>
      </w:r>
      <w:r>
        <w:rPr>
          <w:sz w:val="22"/>
        </w:rPr>
        <w:t>а и передать Заказчику ее результаты по акту оказанных услуг.</w:t>
      </w:r>
      <w:bookmarkEnd w:id="8"/>
    </w:p>
    <w:p w14:paraId="41000000">
      <w:pPr>
        <w:tabs>
          <w:tab w:leader="none" w:pos="709" w:val="left"/>
        </w:tabs>
        <w:ind w:firstLine="284" w:left="0"/>
        <w:jc w:val="both"/>
        <w:rPr>
          <w:sz w:val="22"/>
        </w:rPr>
      </w:pPr>
      <w:r>
        <w:rPr>
          <w:sz w:val="22"/>
        </w:rPr>
        <w:t>4.3. Заказчик обязан:</w:t>
      </w:r>
    </w:p>
    <w:p w14:paraId="42000000">
      <w:pPr>
        <w:widowControl w:val="0"/>
        <w:tabs>
          <w:tab w:leader="none" w:pos="706" w:val="left"/>
        </w:tabs>
        <w:ind w:firstLine="284" w:left="0"/>
        <w:jc w:val="both"/>
        <w:rPr>
          <w:sz w:val="22"/>
        </w:rPr>
      </w:pPr>
      <w:r>
        <w:rPr>
          <w:sz w:val="22"/>
        </w:rPr>
        <w:t xml:space="preserve">4.3.1. принять Услуги в соответствии с п. 3.1-3.8. настоящего </w:t>
      </w:r>
      <w:r>
        <w:rPr>
          <w:sz w:val="22"/>
        </w:rPr>
        <w:t>Контракт</w:t>
      </w:r>
      <w:r>
        <w:rPr>
          <w:sz w:val="22"/>
        </w:rPr>
        <w:t>а и, при отсутствии претензий относительно качества, количества, ассортимента и других характеристик Услуг, подписать документ о приемке;</w:t>
      </w:r>
    </w:p>
    <w:p w14:paraId="43000000">
      <w:pPr>
        <w:widowControl w:val="0"/>
        <w:tabs>
          <w:tab w:leader="none" w:pos="0" w:val="left"/>
          <w:tab w:leader="none" w:pos="284" w:val="left"/>
          <w:tab w:leader="none" w:pos="993" w:val="left"/>
        </w:tabs>
        <w:ind w:firstLine="284" w:left="0"/>
        <w:contextualSpacing w:val="1"/>
        <w:jc w:val="both"/>
        <w:rPr>
          <w:sz w:val="22"/>
        </w:rPr>
      </w:pPr>
      <w:r>
        <w:rPr>
          <w:spacing w:val="1"/>
          <w:sz w:val="22"/>
        </w:rPr>
        <w:t xml:space="preserve">4.3.2. оплатить выполненные </w:t>
      </w:r>
      <w:r>
        <w:rPr>
          <w:sz w:val="22"/>
        </w:rPr>
        <w:t>Услуги</w:t>
      </w:r>
      <w:r>
        <w:rPr>
          <w:spacing w:val="1"/>
          <w:sz w:val="22"/>
        </w:rPr>
        <w:t xml:space="preserve">, в соответствии с условиями настоящего </w:t>
      </w:r>
      <w:r>
        <w:rPr>
          <w:spacing w:val="1"/>
          <w:sz w:val="22"/>
        </w:rPr>
        <w:t>Контракт</w:t>
      </w:r>
      <w:r>
        <w:rPr>
          <w:spacing w:val="1"/>
          <w:sz w:val="22"/>
        </w:rPr>
        <w:t>а</w:t>
      </w:r>
      <w:r>
        <w:rPr>
          <w:sz w:val="22"/>
        </w:rPr>
        <w:t>.</w:t>
      </w:r>
      <w:r>
        <w:rPr>
          <w:sz w:val="22"/>
        </w:rPr>
        <w:t xml:space="preserve"> Взыскивать пени и штрафы (неустойки), в соответствии с </w:t>
      </w:r>
      <w:r>
        <w:rPr>
          <w:sz w:val="22"/>
        </w:rPr>
        <w:t>Контракт</w:t>
      </w:r>
      <w:r>
        <w:rPr>
          <w:sz w:val="22"/>
        </w:rPr>
        <w:t xml:space="preserve">ом за неисполнение или ненадлежащее исполнение Исполнителем обязательств, предусмотренных </w:t>
      </w:r>
      <w:r>
        <w:rPr>
          <w:sz w:val="22"/>
        </w:rPr>
        <w:t>Контракт</w:t>
      </w:r>
      <w:r>
        <w:rPr>
          <w:sz w:val="22"/>
        </w:rPr>
        <w:t xml:space="preserve">ом, в том числе из общей суммы по </w:t>
      </w:r>
      <w:r>
        <w:rPr>
          <w:sz w:val="22"/>
        </w:rPr>
        <w:t>Контракт</w:t>
      </w:r>
      <w:r>
        <w:rPr>
          <w:sz w:val="22"/>
        </w:rPr>
        <w:t>у с зачислением указанной суммы в доход бюджета</w:t>
      </w:r>
      <w:r>
        <w:rPr>
          <w:sz w:val="22"/>
        </w:rPr>
        <w:t>.</w:t>
      </w:r>
    </w:p>
    <w:p w14:paraId="44000000">
      <w:pPr>
        <w:widowControl w:val="0"/>
        <w:tabs>
          <w:tab w:leader="none" w:pos="0" w:val="left"/>
          <w:tab w:leader="none" w:pos="284" w:val="left"/>
          <w:tab w:leader="none" w:pos="993" w:val="left"/>
        </w:tabs>
        <w:ind w:firstLine="284" w:left="0"/>
        <w:contextualSpacing w:val="1"/>
        <w:jc w:val="both"/>
        <w:rPr>
          <w:sz w:val="22"/>
        </w:rPr>
      </w:pPr>
      <w:r>
        <w:rPr>
          <w:sz w:val="22"/>
        </w:rPr>
        <w:t>4.3.3. Не совершать действий, которые могут потенциально нанести вред оборудованию или установленному на него программному обеспечению Исполнителя.</w:t>
      </w:r>
    </w:p>
    <w:p w14:paraId="45000000">
      <w:pPr>
        <w:tabs>
          <w:tab w:leader="none" w:pos="709" w:val="left"/>
        </w:tabs>
        <w:ind w:firstLine="284" w:left="0"/>
        <w:jc w:val="both"/>
        <w:rPr>
          <w:sz w:val="22"/>
        </w:rPr>
      </w:pPr>
      <w:r>
        <w:rPr>
          <w:sz w:val="22"/>
        </w:rPr>
        <w:t>4.4. Заказчик имеет право:</w:t>
      </w:r>
    </w:p>
    <w:p w14:paraId="46000000">
      <w:pPr>
        <w:tabs>
          <w:tab w:leader="none" w:pos="709" w:val="left"/>
        </w:tabs>
        <w:ind w:firstLine="284" w:left="0"/>
        <w:jc w:val="both"/>
        <w:rPr>
          <w:sz w:val="22"/>
        </w:rPr>
      </w:pPr>
      <w:r>
        <w:rPr>
          <w:sz w:val="22"/>
        </w:rPr>
        <w:t xml:space="preserve">4.4.1. Требовать надлежащего выполнения обязательств Исполнителем по настоящему </w:t>
      </w:r>
      <w:r>
        <w:rPr>
          <w:sz w:val="22"/>
        </w:rPr>
        <w:t>Контракт</w:t>
      </w:r>
      <w:r>
        <w:rPr>
          <w:sz w:val="22"/>
        </w:rPr>
        <w:t>у;</w:t>
      </w:r>
    </w:p>
    <w:p w14:paraId="47000000">
      <w:pPr>
        <w:tabs>
          <w:tab w:leader="none" w:pos="709" w:val="left"/>
        </w:tabs>
        <w:ind w:firstLine="284" w:left="0"/>
        <w:jc w:val="both"/>
        <w:rPr>
          <w:sz w:val="22"/>
        </w:rPr>
      </w:pPr>
      <w:r>
        <w:rPr>
          <w:sz w:val="22"/>
        </w:rPr>
        <w:t>4.4.2. На любом этапе выполнения Услуг проверять их ход и качество, а также качество запасных частей и расходных материалов, необходимых для их выполнения Услуг.</w:t>
      </w:r>
    </w:p>
    <w:p w14:paraId="48000000">
      <w:pPr>
        <w:pStyle w:val="Style_3"/>
        <w:ind w:firstLine="284" w:left="0"/>
        <w:jc w:val="both"/>
        <w:rPr>
          <w:rFonts w:ascii="Times New Roman" w:hAnsi="Times New Roman"/>
          <w:sz w:val="22"/>
        </w:rPr>
      </w:pPr>
    </w:p>
    <w:p w14:paraId="49000000">
      <w:pPr>
        <w:pStyle w:val="Style_4"/>
      </w:pPr>
      <w:r>
        <w:t>V</w:t>
      </w:r>
      <w:r>
        <w:t>. ОТВЕТСТВЕННОСТЬ СТОРОН</w:t>
      </w:r>
    </w:p>
    <w:p w14:paraId="4A000000">
      <w:pPr>
        <w:pStyle w:val="Style_3"/>
        <w:ind w:firstLine="284" w:left="0"/>
        <w:jc w:val="both"/>
        <w:rPr>
          <w:rFonts w:ascii="Times New Roman" w:hAnsi="Times New Roman"/>
          <w:sz w:val="22"/>
        </w:rPr>
      </w:pPr>
      <w:r>
        <w:rPr>
          <w:rFonts w:ascii="Times New Roman" w:hAnsi="Times New Roman"/>
          <w:sz w:val="22"/>
        </w:rPr>
        <w:t xml:space="preserve">5.1. За неисполнение или ненадлежащее исполнение </w:t>
      </w:r>
      <w:r>
        <w:rPr>
          <w:rFonts w:ascii="Times New Roman" w:hAnsi="Times New Roman"/>
          <w:sz w:val="22"/>
        </w:rPr>
        <w:t>Контракт</w:t>
      </w:r>
      <w:r>
        <w:rPr>
          <w:rFonts w:ascii="Times New Roman" w:hAnsi="Times New Roman"/>
          <w:sz w:val="22"/>
        </w:rPr>
        <w:t xml:space="preserve">а Стороны несут ответственность в соответствии с законодательством Российской Федерации и условиями </w:t>
      </w:r>
      <w:r>
        <w:rPr>
          <w:rFonts w:ascii="Times New Roman" w:hAnsi="Times New Roman"/>
          <w:sz w:val="22"/>
        </w:rPr>
        <w:t>Контракт</w:t>
      </w:r>
      <w:r>
        <w:rPr>
          <w:rFonts w:ascii="Times New Roman" w:hAnsi="Times New Roman"/>
          <w:sz w:val="22"/>
        </w:rPr>
        <w:t>а.</w:t>
      </w:r>
    </w:p>
    <w:p w14:paraId="4B000000">
      <w:pPr>
        <w:pStyle w:val="Style_3"/>
        <w:ind w:firstLine="284" w:left="0"/>
        <w:jc w:val="both"/>
        <w:rPr>
          <w:rFonts w:ascii="Times New Roman" w:hAnsi="Times New Roman"/>
          <w:sz w:val="22"/>
        </w:rPr>
      </w:pPr>
      <w:r>
        <w:rPr>
          <w:rFonts w:ascii="Times New Roman" w:hAnsi="Times New Roman"/>
          <w:sz w:val="22"/>
        </w:rPr>
        <w:t xml:space="preserve">5.2. В случае полного (частичного) неисполнения условий </w:t>
      </w:r>
      <w:r>
        <w:rPr>
          <w:rFonts w:ascii="Times New Roman" w:hAnsi="Times New Roman"/>
          <w:sz w:val="22"/>
        </w:rPr>
        <w:t>Контракт</w:t>
      </w:r>
      <w:r>
        <w:rPr>
          <w:rFonts w:ascii="Times New Roman" w:hAnsi="Times New Roman"/>
          <w:sz w:val="22"/>
        </w:rPr>
        <w:t>а одной из Сторон эта Сторона обязана возместить другой Стороне причиненные убытки помимо начисленной неустойки.</w:t>
      </w:r>
    </w:p>
    <w:p w14:paraId="4C000000">
      <w:pPr>
        <w:pStyle w:val="Style_3"/>
        <w:ind w:firstLine="284" w:left="0"/>
        <w:jc w:val="both"/>
        <w:rPr>
          <w:rFonts w:ascii="Times New Roman" w:hAnsi="Times New Roman"/>
          <w:sz w:val="22"/>
        </w:rPr>
      </w:pPr>
      <w:r>
        <w:rPr>
          <w:rFonts w:ascii="Times New Roman" w:hAnsi="Times New Roman"/>
          <w:sz w:val="22"/>
        </w:rPr>
        <w:t xml:space="preserve">5.3. В случае просрочки исполнения Исполнителем обязательств (в том числе гарантийного обязательства), предусмотренных </w:t>
      </w:r>
      <w:r>
        <w:rPr>
          <w:rFonts w:ascii="Times New Roman" w:hAnsi="Times New Roman"/>
          <w:sz w:val="22"/>
        </w:rPr>
        <w:t>Контракт</w:t>
      </w:r>
      <w:r>
        <w:rPr>
          <w:rFonts w:ascii="Times New Roman" w:hAnsi="Times New Roman"/>
          <w:sz w:val="22"/>
        </w:rPr>
        <w:t xml:space="preserve">ом, Исполнитель уплачивает Заказчику пени. Пеня начисляется за каждый день просрочки исполнения Исполнителем обязательства, предусмотренного </w:t>
      </w:r>
      <w:r>
        <w:rPr>
          <w:rFonts w:ascii="Times New Roman" w:hAnsi="Times New Roman"/>
          <w:sz w:val="22"/>
        </w:rPr>
        <w:t>Контракт</w:t>
      </w:r>
      <w:r>
        <w:rPr>
          <w:rFonts w:ascii="Times New Roman" w:hAnsi="Times New Roman"/>
          <w:sz w:val="22"/>
        </w:rPr>
        <w:t xml:space="preserve">ом, начиная со дня, следующего после дня истечения установленного </w:t>
      </w:r>
      <w:r>
        <w:rPr>
          <w:rFonts w:ascii="Times New Roman" w:hAnsi="Times New Roman"/>
          <w:sz w:val="22"/>
        </w:rPr>
        <w:t>Контракт</w:t>
      </w:r>
      <w:r>
        <w:rPr>
          <w:rFonts w:ascii="Times New Roman" w:hAnsi="Times New Roman"/>
          <w:sz w:val="22"/>
        </w:rPr>
        <w:t xml:space="preserve">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w:t>
      </w:r>
      <w:r>
        <w:rPr>
          <w:rFonts w:ascii="Times New Roman" w:hAnsi="Times New Roman"/>
          <w:sz w:val="22"/>
        </w:rPr>
        <w:t>Контракт</w:t>
      </w:r>
      <w:r>
        <w:rPr>
          <w:rFonts w:ascii="Times New Roman" w:hAnsi="Times New Roman"/>
          <w:sz w:val="22"/>
        </w:rPr>
        <w:t xml:space="preserve">а (отдельного этапа исполнения </w:t>
      </w:r>
      <w:r>
        <w:rPr>
          <w:rFonts w:ascii="Times New Roman" w:hAnsi="Times New Roman"/>
          <w:sz w:val="22"/>
        </w:rPr>
        <w:t>Контракт</w:t>
      </w:r>
      <w:r>
        <w:rPr>
          <w:rFonts w:ascii="Times New Roman" w:hAnsi="Times New Roman"/>
          <w:sz w:val="22"/>
        </w:rPr>
        <w:t xml:space="preserve">а), уменьшенной на сумму, пропорциональную объему обязательств, предусмотренных </w:t>
      </w:r>
      <w:r>
        <w:rPr>
          <w:rFonts w:ascii="Times New Roman" w:hAnsi="Times New Roman"/>
          <w:sz w:val="22"/>
        </w:rPr>
        <w:t>Контракт</w:t>
      </w:r>
      <w:r>
        <w:rPr>
          <w:rFonts w:ascii="Times New Roman" w:hAnsi="Times New Roman"/>
          <w:sz w:val="22"/>
        </w:rPr>
        <w:t xml:space="preserve">ом (соответствующим отдельным этапом исполнения </w:t>
      </w:r>
      <w:r>
        <w:rPr>
          <w:rFonts w:ascii="Times New Roman" w:hAnsi="Times New Roman"/>
          <w:sz w:val="22"/>
        </w:rPr>
        <w:t>Контракт</w:t>
      </w:r>
      <w:r>
        <w:rPr>
          <w:rFonts w:ascii="Times New Roman" w:hAnsi="Times New Roman"/>
          <w:sz w:val="22"/>
        </w:rPr>
        <w:t>а) и фактически исполненных Исполнителем.</w:t>
      </w:r>
    </w:p>
    <w:p w14:paraId="4D000000">
      <w:pPr>
        <w:pStyle w:val="Style_3"/>
        <w:ind w:firstLine="284" w:left="0"/>
        <w:jc w:val="both"/>
        <w:rPr>
          <w:rFonts w:ascii="Times New Roman" w:hAnsi="Times New Roman"/>
          <w:sz w:val="22"/>
        </w:rPr>
      </w:pPr>
      <w:r>
        <w:rPr>
          <w:rFonts w:ascii="Times New Roman" w:hAnsi="Times New Roman"/>
          <w:sz w:val="22"/>
        </w:rPr>
        <w:t xml:space="preserve">5.4. За каждый факт неисполнения или ненадлежащего исполнения Исполнителем обязательств, предусмотренных настоящим </w:t>
      </w:r>
      <w:r>
        <w:rPr>
          <w:rFonts w:ascii="Times New Roman" w:hAnsi="Times New Roman"/>
          <w:sz w:val="22"/>
        </w:rPr>
        <w:t>Контракт</w:t>
      </w:r>
      <w:r>
        <w:rPr>
          <w:rFonts w:ascii="Times New Roman" w:hAnsi="Times New Roman"/>
          <w:sz w:val="22"/>
        </w:rPr>
        <w:t xml:space="preserve">ом, за исключением просрочки Исполнителем обязательств (в том числе гарантийного обязательства), предусмотренных настоящим </w:t>
      </w:r>
      <w:r>
        <w:rPr>
          <w:rFonts w:ascii="Times New Roman" w:hAnsi="Times New Roman"/>
          <w:sz w:val="22"/>
        </w:rPr>
        <w:t>Контракт</w:t>
      </w:r>
      <w:r>
        <w:rPr>
          <w:rFonts w:ascii="Times New Roman" w:hAnsi="Times New Roman"/>
          <w:sz w:val="22"/>
        </w:rPr>
        <w:t xml:space="preserve">ом, Исполнитель уплачивает Заказчику штраф. Размер штрафа определяется в соответствии с </w:t>
      </w:r>
      <w:r>
        <w:rPr>
          <w:rFonts w:ascii="Times New Roman" w:hAnsi="Times New Roman"/>
          <w:sz w:val="22"/>
        </w:rPr>
        <w:fldChar w:fldCharType="begin"/>
      </w:r>
      <w:r>
        <w:rPr>
          <w:rFonts w:ascii="Times New Roman" w:hAnsi="Times New Roman"/>
          <w:sz w:val="22"/>
        </w:rPr>
        <w:instrText>HYPERLINK "consultantplus://offline/ref=8F8AF2F3203F8C8EBCE0BFF5F8C0BF793518995031B60664E605E3599035E93B422AD5B39DC054AEB453E3857DB810F61D793FK6e2M"</w:instrText>
      </w:r>
      <w:r>
        <w:rPr>
          <w:rFonts w:ascii="Times New Roman" w:hAnsi="Times New Roman"/>
          <w:sz w:val="22"/>
        </w:rPr>
        <w:fldChar w:fldCharType="separate"/>
      </w:r>
      <w:r>
        <w:rPr>
          <w:rFonts w:ascii="Times New Roman" w:hAnsi="Times New Roman"/>
          <w:sz w:val="22"/>
        </w:rPr>
        <w:t>Правилами</w:t>
      </w:r>
      <w:r>
        <w:rPr>
          <w:rFonts w:ascii="Times New Roman" w:hAnsi="Times New Roman"/>
          <w:sz w:val="22"/>
        </w:rPr>
        <w:fldChar w:fldCharType="end"/>
      </w:r>
      <w:r>
        <w:rPr>
          <w:rFonts w:ascii="Times New Roman" w:hAnsi="Times New Roman"/>
          <w:sz w:val="22"/>
        </w:rPr>
        <w:t xml:space="preserve">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w:t>
      </w:r>
      <w:r>
        <w:rPr>
          <w:rFonts w:ascii="Times New Roman" w:hAnsi="Times New Roman"/>
          <w:sz w:val="22"/>
        </w:rPr>
        <w:t>Контракт</w:t>
      </w:r>
      <w:r>
        <w:rPr>
          <w:rFonts w:ascii="Times New Roman" w:hAnsi="Times New Roman"/>
          <w:sz w:val="22"/>
        </w:rPr>
        <w:t xml:space="preserve">ом (за исключением просрочки </w:t>
      </w:r>
      <w:r>
        <w:rPr>
          <w:rFonts w:ascii="Times New Roman" w:hAnsi="Times New Roman"/>
          <w:sz w:val="22"/>
        </w:rPr>
        <w:t>исполнения обязательств заказчиком,  исполнителем), утвержденными постановлением Правительства Российской Федерации от 30 августа 2017 г. № 1042  (далее - Правила), и составляет</w:t>
      </w:r>
      <w:r>
        <w:rPr>
          <w:rFonts w:ascii="Times New Roman" w:hAnsi="Times New Roman"/>
          <w:sz w:val="22"/>
        </w:rPr>
        <w:t xml:space="preserve"> 10 процентов цены </w:t>
      </w:r>
      <w:r>
        <w:rPr>
          <w:rFonts w:ascii="Times New Roman" w:hAnsi="Times New Roman"/>
          <w:sz w:val="22"/>
        </w:rPr>
        <w:t>Контракт</w:t>
      </w:r>
      <w:r>
        <w:rPr>
          <w:rFonts w:ascii="Times New Roman" w:hAnsi="Times New Roman"/>
          <w:sz w:val="22"/>
        </w:rPr>
        <w:t>а</w:t>
      </w:r>
      <w:r>
        <w:rPr>
          <w:rFonts w:ascii="Times New Roman" w:hAnsi="Times New Roman"/>
          <w:sz w:val="22"/>
        </w:rPr>
        <w:t>.</w:t>
      </w:r>
    </w:p>
    <w:p w14:paraId="4E000000">
      <w:pPr>
        <w:ind w:firstLine="284" w:left="0"/>
        <w:jc w:val="both"/>
        <w:rPr>
          <w:sz w:val="22"/>
        </w:rPr>
      </w:pPr>
      <w:r>
        <w:rPr>
          <w:sz w:val="22"/>
        </w:rPr>
        <w:t xml:space="preserve">5.5. За каждый факт неисполнения или ненадлежащего исполнения Исполнителем обязательства, предусмотренного </w:t>
      </w:r>
      <w:r>
        <w:rPr>
          <w:sz w:val="22"/>
        </w:rPr>
        <w:t>Контракт</w:t>
      </w:r>
      <w:r>
        <w:rPr>
          <w:sz w:val="22"/>
        </w:rPr>
        <w:t xml:space="preserve">ом, которое не имеет стоимостного выражения, Исполнитель уплачивает Заказчику штраф. Размер штрафа определяется в соответствии с </w:t>
      </w:r>
      <w:r>
        <w:rPr>
          <w:sz w:val="22"/>
        </w:rPr>
        <w:fldChar w:fldCharType="begin"/>
      </w:r>
      <w:r>
        <w:rPr>
          <w:sz w:val="22"/>
        </w:rPr>
        <w:instrText>HYPERLINK "consultantplus://offline/ref=782E9CC4CCC6932545801925E3B536176E57B6381BDA0BD7655CABC93DB89C271041D8CF0ACBB4D2653D7F184B7ED2198541ED34VBP"</w:instrText>
      </w:r>
      <w:r>
        <w:rPr>
          <w:sz w:val="22"/>
        </w:rPr>
        <w:fldChar w:fldCharType="separate"/>
      </w:r>
      <w:r>
        <w:rPr>
          <w:sz w:val="22"/>
        </w:rPr>
        <w:t>Правилами</w:t>
      </w:r>
      <w:r>
        <w:rPr>
          <w:sz w:val="22"/>
        </w:rPr>
        <w:fldChar w:fldCharType="end"/>
      </w:r>
      <w:r>
        <w:rPr>
          <w:sz w:val="22"/>
        </w:rPr>
        <w:t xml:space="preserve"> и составляет</w:t>
      </w:r>
      <w:bookmarkStart w:id="9" w:name="P1557"/>
      <w:bookmarkEnd w:id="9"/>
      <w:r>
        <w:rPr>
          <w:sz w:val="22"/>
        </w:rPr>
        <w:t xml:space="preserve"> 1000 рублей.</w:t>
      </w:r>
    </w:p>
    <w:p w14:paraId="4F000000">
      <w:pPr>
        <w:ind w:firstLine="284" w:left="0"/>
        <w:jc w:val="both"/>
        <w:rPr>
          <w:sz w:val="22"/>
        </w:rPr>
      </w:pPr>
      <w:r>
        <w:rPr>
          <w:sz w:val="22"/>
        </w:rPr>
        <w:t xml:space="preserve">5.6. </w:t>
      </w:r>
      <w:bookmarkStart w:id="10" w:name="P1558"/>
      <w:bookmarkEnd w:id="10"/>
      <w:r>
        <w:rPr>
          <w:sz w:val="22"/>
        </w:rPr>
        <w:t xml:space="preserve">В случае просрочки исполнения Заказчиком обязательств, предусмотренных </w:t>
      </w:r>
      <w:r>
        <w:rPr>
          <w:sz w:val="22"/>
        </w:rPr>
        <w:t>Контракт</w:t>
      </w:r>
      <w:r>
        <w:rPr>
          <w:sz w:val="22"/>
        </w:rPr>
        <w:t xml:space="preserve">ом, а также в иных случаях неисполнения или ненадлежащего исполнения Заказчиком обязательств, предусмотренных </w:t>
      </w:r>
      <w:r>
        <w:rPr>
          <w:sz w:val="22"/>
        </w:rPr>
        <w:t>Контракт</w:t>
      </w:r>
      <w:r>
        <w:rPr>
          <w:sz w:val="22"/>
        </w:rPr>
        <w:t xml:space="preserve">ом, Исполнитель вправе потребовать уплаты неустоек (штрафов, пеней). Пеня начисляется за каждый день просрочки исполнения обязательства, предусмотренного </w:t>
      </w:r>
      <w:r>
        <w:rPr>
          <w:sz w:val="22"/>
        </w:rPr>
        <w:t>Контракт</w:t>
      </w:r>
      <w:r>
        <w:rPr>
          <w:sz w:val="22"/>
        </w:rPr>
        <w:t xml:space="preserve">ом, начиная со дня, следующего после дня истечения установленного </w:t>
      </w:r>
      <w:r>
        <w:rPr>
          <w:sz w:val="22"/>
        </w:rPr>
        <w:t>Контракт</w:t>
      </w:r>
      <w:r>
        <w:rPr>
          <w:sz w:val="22"/>
        </w:rPr>
        <w:t xml:space="preserve">ом срока исполнения обязательства. Такая пеня устанавливается </w:t>
      </w:r>
      <w:r>
        <w:rPr>
          <w:sz w:val="22"/>
        </w:rPr>
        <w:t>Контракт</w:t>
      </w:r>
      <w:r>
        <w:rPr>
          <w:sz w:val="22"/>
        </w:rPr>
        <w:t xml:space="preserve">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0000000">
      <w:pPr>
        <w:ind w:firstLine="284" w:left="0"/>
        <w:jc w:val="both"/>
        <w:rPr>
          <w:sz w:val="22"/>
        </w:rPr>
      </w:pPr>
      <w:r>
        <w:rPr>
          <w:sz w:val="22"/>
        </w:rPr>
        <w:t xml:space="preserve">5.7. За каждый факт неисполнения Заказчиком обязательств, предусмотренных </w:t>
      </w:r>
      <w:r>
        <w:rPr>
          <w:sz w:val="22"/>
        </w:rPr>
        <w:t>Контракт</w:t>
      </w:r>
      <w:r>
        <w:rPr>
          <w:sz w:val="22"/>
        </w:rPr>
        <w:t xml:space="preserve">ом, за исключением просрочки исполнения обязательств, предусмотренных </w:t>
      </w:r>
      <w:r>
        <w:rPr>
          <w:sz w:val="22"/>
        </w:rPr>
        <w:t>Контракт</w:t>
      </w:r>
      <w:r>
        <w:rPr>
          <w:sz w:val="22"/>
        </w:rPr>
        <w:t xml:space="preserve">ом, Исполнитель вправе потребовать уплату штрафа. Размер штрафа определяется в соответствии с </w:t>
      </w:r>
      <w:r>
        <w:rPr>
          <w:sz w:val="22"/>
        </w:rPr>
        <w:fldChar w:fldCharType="begin"/>
      </w:r>
      <w:r>
        <w:rPr>
          <w:sz w:val="22"/>
        </w:rPr>
        <w:instrText>HYPERLINK "consultantplus://offline/ref=782E9CC4CCC6932545801925E3B536176E57B6381BDA0BD7655CABC93DB89C271041D8CF0ACBB4D2653D7F184B7ED2198541ED34VBP"</w:instrText>
      </w:r>
      <w:r>
        <w:rPr>
          <w:sz w:val="22"/>
        </w:rPr>
        <w:fldChar w:fldCharType="separate"/>
      </w:r>
      <w:r>
        <w:rPr>
          <w:sz w:val="22"/>
        </w:rPr>
        <w:t>Правилами</w:t>
      </w:r>
      <w:r>
        <w:rPr>
          <w:sz w:val="22"/>
        </w:rPr>
        <w:fldChar w:fldCharType="end"/>
      </w:r>
      <w:r>
        <w:rPr>
          <w:sz w:val="22"/>
        </w:rPr>
        <w:t xml:space="preserve"> и составляет 1000 рублей.</w:t>
      </w:r>
    </w:p>
    <w:p w14:paraId="51000000">
      <w:pPr>
        <w:pStyle w:val="Style_3"/>
        <w:ind w:firstLine="284" w:left="0"/>
        <w:jc w:val="both"/>
        <w:rPr>
          <w:rFonts w:ascii="Times New Roman" w:hAnsi="Times New Roman"/>
          <w:sz w:val="22"/>
        </w:rPr>
      </w:pPr>
      <w:r>
        <w:rPr>
          <w:rFonts w:ascii="Times New Roman" w:hAnsi="Times New Roman"/>
          <w:sz w:val="22"/>
        </w:rPr>
        <w:t xml:space="preserve">5.8. Применение неустойки (штрафа, пени) не освобождает Стороны от исполнения обязательств по </w:t>
      </w:r>
      <w:r>
        <w:rPr>
          <w:rFonts w:ascii="Times New Roman" w:hAnsi="Times New Roman"/>
          <w:sz w:val="22"/>
        </w:rPr>
        <w:t>Контракт</w:t>
      </w:r>
      <w:r>
        <w:rPr>
          <w:rFonts w:ascii="Times New Roman" w:hAnsi="Times New Roman"/>
          <w:sz w:val="22"/>
        </w:rPr>
        <w:t>у.</w:t>
      </w:r>
    </w:p>
    <w:p w14:paraId="52000000">
      <w:pPr>
        <w:pStyle w:val="Style_3"/>
        <w:ind w:firstLine="284" w:left="0"/>
        <w:jc w:val="both"/>
        <w:rPr>
          <w:rFonts w:ascii="Times New Roman" w:hAnsi="Times New Roman"/>
          <w:sz w:val="22"/>
        </w:rPr>
      </w:pPr>
      <w:r>
        <w:rPr>
          <w:rFonts w:ascii="Times New Roman" w:hAnsi="Times New Roman"/>
          <w:sz w:val="22"/>
        </w:rPr>
        <w:t xml:space="preserve">5.9. Общая сумма начисленных штрафов за неисполнение или ненадлежащее исполнение Исполнителем обязательств, предусмотренных </w:t>
      </w:r>
      <w:r>
        <w:rPr>
          <w:rFonts w:ascii="Times New Roman" w:hAnsi="Times New Roman"/>
          <w:sz w:val="22"/>
        </w:rPr>
        <w:t>Контракт</w:t>
      </w:r>
      <w:r>
        <w:rPr>
          <w:rFonts w:ascii="Times New Roman" w:hAnsi="Times New Roman"/>
          <w:sz w:val="22"/>
        </w:rPr>
        <w:t xml:space="preserve">ом, не может превышать цену </w:t>
      </w:r>
      <w:r>
        <w:rPr>
          <w:rFonts w:ascii="Times New Roman" w:hAnsi="Times New Roman"/>
          <w:sz w:val="22"/>
        </w:rPr>
        <w:t>Контракт</w:t>
      </w:r>
      <w:r>
        <w:rPr>
          <w:rFonts w:ascii="Times New Roman" w:hAnsi="Times New Roman"/>
          <w:sz w:val="22"/>
        </w:rPr>
        <w:t>а.</w:t>
      </w:r>
    </w:p>
    <w:p w14:paraId="53000000">
      <w:pPr>
        <w:pStyle w:val="Style_3"/>
        <w:ind w:firstLine="284" w:left="0"/>
        <w:jc w:val="both"/>
        <w:rPr>
          <w:rFonts w:ascii="Times New Roman" w:hAnsi="Times New Roman"/>
          <w:sz w:val="22"/>
        </w:rPr>
      </w:pPr>
      <w:r>
        <w:rPr>
          <w:rFonts w:ascii="Times New Roman" w:hAnsi="Times New Roman"/>
          <w:sz w:val="22"/>
        </w:rPr>
        <w:t xml:space="preserve">5.10. Общая сумма начисленных штрафов за ненадлежащее исполнение Заказчиком обязательств, предусмотренных </w:t>
      </w:r>
      <w:r>
        <w:rPr>
          <w:rFonts w:ascii="Times New Roman" w:hAnsi="Times New Roman"/>
          <w:sz w:val="22"/>
        </w:rPr>
        <w:t>Контракт</w:t>
      </w:r>
      <w:r>
        <w:rPr>
          <w:rFonts w:ascii="Times New Roman" w:hAnsi="Times New Roman"/>
          <w:sz w:val="22"/>
        </w:rPr>
        <w:t xml:space="preserve">ом, не может превышать цену </w:t>
      </w:r>
      <w:r>
        <w:rPr>
          <w:rFonts w:ascii="Times New Roman" w:hAnsi="Times New Roman"/>
          <w:sz w:val="22"/>
        </w:rPr>
        <w:t>Контракт</w:t>
      </w:r>
      <w:r>
        <w:rPr>
          <w:rFonts w:ascii="Times New Roman" w:hAnsi="Times New Roman"/>
          <w:sz w:val="22"/>
        </w:rPr>
        <w:t>а.</w:t>
      </w:r>
    </w:p>
    <w:p w14:paraId="54000000">
      <w:pPr>
        <w:pStyle w:val="Style_3"/>
        <w:ind w:firstLine="284" w:left="0"/>
        <w:jc w:val="both"/>
        <w:rPr>
          <w:rFonts w:ascii="Times New Roman" w:hAnsi="Times New Roman"/>
          <w:sz w:val="22"/>
        </w:rPr>
      </w:pPr>
      <w:r>
        <w:rPr>
          <w:rFonts w:ascii="Times New Roman" w:hAnsi="Times New Roman"/>
          <w:sz w:val="22"/>
        </w:rPr>
        <w:t xml:space="preserve">5.11. В случае расторжения </w:t>
      </w:r>
      <w:r>
        <w:rPr>
          <w:rFonts w:ascii="Times New Roman" w:hAnsi="Times New Roman"/>
          <w:sz w:val="22"/>
        </w:rPr>
        <w:t>Контракт</w:t>
      </w:r>
      <w:r>
        <w:rPr>
          <w:rFonts w:ascii="Times New Roman" w:hAnsi="Times New Roman"/>
          <w:sz w:val="22"/>
        </w:rPr>
        <w:t xml:space="preserve">а в связи с односторонним отказом Стороны от исполнения </w:t>
      </w:r>
      <w:r>
        <w:rPr>
          <w:rFonts w:ascii="Times New Roman" w:hAnsi="Times New Roman"/>
          <w:sz w:val="22"/>
        </w:rPr>
        <w:t>Контракт</w:t>
      </w:r>
      <w:r>
        <w:rPr>
          <w:rFonts w:ascii="Times New Roman" w:hAnsi="Times New Roman"/>
          <w:sz w:val="22"/>
        </w:rPr>
        <w:t xml:space="preserve">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Pr>
          <w:rFonts w:ascii="Times New Roman" w:hAnsi="Times New Roman"/>
          <w:sz w:val="22"/>
        </w:rPr>
        <w:t>Контракт</w:t>
      </w:r>
      <w:r>
        <w:rPr>
          <w:rFonts w:ascii="Times New Roman" w:hAnsi="Times New Roman"/>
          <w:sz w:val="22"/>
        </w:rPr>
        <w:t>а.</w:t>
      </w:r>
    </w:p>
    <w:p w14:paraId="55000000">
      <w:pPr>
        <w:ind w:firstLine="284" w:left="0"/>
        <w:jc w:val="both"/>
        <w:rPr>
          <w:sz w:val="22"/>
        </w:rPr>
      </w:pPr>
      <w:r>
        <w:rPr>
          <w:sz w:val="22"/>
        </w:rPr>
        <w:t xml:space="preserve">5.12.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sz w:val="22"/>
        </w:rPr>
        <w:t>Контракт</w:t>
      </w:r>
      <w:r>
        <w:rPr>
          <w:sz w:val="22"/>
        </w:rPr>
        <w:t>ом, произошло вследствие непреодолимой силы или по вине другой стороны.</w:t>
      </w:r>
    </w:p>
    <w:p w14:paraId="56000000">
      <w:pPr>
        <w:pStyle w:val="Style_3"/>
        <w:ind w:firstLine="284" w:left="0"/>
        <w:jc w:val="both"/>
        <w:rPr>
          <w:rFonts w:ascii="Times New Roman" w:hAnsi="Times New Roman"/>
          <w:sz w:val="22"/>
        </w:rPr>
      </w:pPr>
      <w:r>
        <w:rPr>
          <w:rFonts w:ascii="Times New Roman" w:hAnsi="Times New Roman"/>
          <w:sz w:val="22"/>
        </w:rPr>
        <w:t>5.1</w:t>
      </w:r>
      <w:r>
        <w:rPr>
          <w:rFonts w:ascii="Times New Roman" w:hAnsi="Times New Roman"/>
          <w:sz w:val="22"/>
        </w:rPr>
        <w:t>3. С 01.01.2026 для ЭДО используется исключительно УПД (версия 5.03). Для бумажного документооборота сохраняются прежние формы (акты, накладные). Стороны обязуются:</w:t>
      </w:r>
    </w:p>
    <w:p w14:paraId="57000000">
      <w:pPr>
        <w:pStyle w:val="Style_3"/>
        <w:ind w:firstLine="284" w:left="0"/>
        <w:jc w:val="both"/>
        <w:rPr>
          <w:rFonts w:ascii="Times New Roman" w:hAnsi="Times New Roman"/>
          <w:sz w:val="22"/>
        </w:rPr>
      </w:pPr>
      <w:r>
        <w:rPr>
          <w:rFonts w:ascii="Times New Roman" w:hAnsi="Times New Roman"/>
          <w:sz w:val="22"/>
        </w:rPr>
        <w:t xml:space="preserve"> - проверять актуальность форматов документов в используемых системах ЭДО;</w:t>
      </w:r>
    </w:p>
    <w:p w14:paraId="58000000">
      <w:pPr>
        <w:pStyle w:val="Style_3"/>
        <w:ind w:firstLine="284" w:left="0"/>
        <w:jc w:val="both"/>
        <w:rPr>
          <w:rFonts w:ascii="Times New Roman" w:hAnsi="Times New Roman"/>
          <w:sz w:val="22"/>
        </w:rPr>
      </w:pPr>
      <w:r>
        <w:rPr>
          <w:rFonts w:ascii="Times New Roman" w:hAnsi="Times New Roman"/>
          <w:sz w:val="22"/>
        </w:rPr>
        <w:t xml:space="preserve"> - уведомлять друг друга об изменении используемых систем ЭДО за 5 рабочих дней;</w:t>
      </w:r>
    </w:p>
    <w:p w14:paraId="59000000">
      <w:pPr>
        <w:pStyle w:val="Style_3"/>
        <w:ind w:firstLine="284" w:left="0"/>
        <w:jc w:val="both"/>
        <w:rPr>
          <w:rFonts w:ascii="Times New Roman" w:hAnsi="Times New Roman"/>
          <w:sz w:val="22"/>
        </w:rPr>
      </w:pPr>
      <w:r>
        <w:rPr>
          <w:rFonts w:ascii="Times New Roman" w:hAnsi="Times New Roman"/>
          <w:sz w:val="22"/>
        </w:rPr>
        <w:t xml:space="preserve"> - соблюдать требования ФНС к структуре и реквизитам УПД».</w:t>
      </w:r>
    </w:p>
    <w:p w14:paraId="5A000000">
      <w:pPr>
        <w:ind w:firstLine="284" w:left="0"/>
        <w:jc w:val="both"/>
        <w:rPr>
          <w:sz w:val="22"/>
        </w:rPr>
      </w:pPr>
      <w:r>
        <w:rPr>
          <w:sz w:val="22"/>
        </w:rPr>
        <w:t>Сторона, предоставившая документ в неактуальном формате после 01.01.2026, несёт ответственность за задержки в документообороте и возможные налоговые риски. Расходы, связанные с исправлением ошибок, возлагаются на виновную сторону».</w:t>
      </w:r>
    </w:p>
    <w:p w14:paraId="5B000000">
      <w:pPr>
        <w:ind w:firstLine="284" w:left="0"/>
        <w:jc w:val="both"/>
        <w:rPr>
          <w:sz w:val="22"/>
        </w:rPr>
      </w:pPr>
    </w:p>
    <w:p w14:paraId="5C000000">
      <w:pPr>
        <w:pStyle w:val="Style_4"/>
      </w:pPr>
      <w:r>
        <w:t>VI</w:t>
      </w:r>
      <w:r>
        <w:t>. ОБСТОЯТЕЛЬСТВА НЕПРЕОДОЛИМОЙ СИЛЫ</w:t>
      </w:r>
    </w:p>
    <w:p w14:paraId="5D000000">
      <w:pPr>
        <w:pStyle w:val="Style_3"/>
        <w:ind w:firstLine="284" w:left="0"/>
        <w:jc w:val="both"/>
        <w:rPr>
          <w:rFonts w:ascii="Times New Roman" w:hAnsi="Times New Roman"/>
          <w:sz w:val="22"/>
        </w:rPr>
      </w:pPr>
      <w:r>
        <w:rPr>
          <w:rFonts w:ascii="Times New Roman" w:hAnsi="Times New Roman"/>
          <w:sz w:val="22"/>
        </w:rPr>
        <w:t xml:space="preserve">6.1. Сторона, не исполнившая или ненадлежащим образом исполнившая обязательства по </w:t>
      </w:r>
      <w:r>
        <w:rPr>
          <w:rFonts w:ascii="Times New Roman" w:hAnsi="Times New Roman"/>
          <w:sz w:val="22"/>
        </w:rPr>
        <w:t>Контракт</w:t>
      </w:r>
      <w:r>
        <w:rPr>
          <w:rFonts w:ascii="Times New Roman" w:hAnsi="Times New Roman"/>
          <w:sz w:val="22"/>
        </w:rPr>
        <w:t>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5E000000">
      <w:pPr>
        <w:pStyle w:val="Style_3"/>
        <w:ind w:firstLine="284" w:left="0"/>
        <w:jc w:val="both"/>
        <w:rPr>
          <w:rFonts w:ascii="Times New Roman" w:hAnsi="Times New Roman"/>
          <w:sz w:val="22"/>
        </w:rPr>
      </w:pPr>
      <w:r>
        <w:rPr>
          <w:rFonts w:ascii="Times New Roman" w:hAnsi="Times New Roman"/>
          <w:sz w:val="22"/>
        </w:rPr>
        <w:t xml:space="preserve">6.2. О возникновении и прекращении обстоятельства непреодолимой силы Стороны уведомляют друг друга письменно в течение 5 (пяти) рабочих дней с даты их возникновения или прекращения. После прекращения обстоятельств непреодолимой силы Сторона, прекратившая исполнение обязательства по настоящему </w:t>
      </w:r>
      <w:r>
        <w:rPr>
          <w:rFonts w:ascii="Times New Roman" w:hAnsi="Times New Roman"/>
          <w:sz w:val="22"/>
        </w:rPr>
        <w:t>Контракт</w:t>
      </w:r>
      <w:r>
        <w:rPr>
          <w:rFonts w:ascii="Times New Roman" w:hAnsi="Times New Roman"/>
          <w:sz w:val="22"/>
        </w:rPr>
        <w:t>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5F000000">
      <w:pPr>
        <w:pStyle w:val="Style_3"/>
        <w:ind w:firstLine="284" w:left="0"/>
        <w:jc w:val="both"/>
        <w:rPr>
          <w:rFonts w:ascii="Times New Roman" w:hAnsi="Times New Roman"/>
          <w:sz w:val="22"/>
        </w:rPr>
      </w:pPr>
      <w:r>
        <w:rPr>
          <w:rFonts w:ascii="Times New Roman" w:hAnsi="Times New Roman"/>
          <w:sz w:val="22"/>
        </w:rPr>
        <w:t>6.3.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60000000">
      <w:pPr>
        <w:pStyle w:val="Style_3"/>
        <w:ind w:firstLine="284" w:left="0"/>
        <w:jc w:val="both"/>
        <w:rPr>
          <w:rFonts w:ascii="Times New Roman" w:hAnsi="Times New Roman"/>
          <w:sz w:val="22"/>
        </w:rPr>
      </w:pPr>
      <w:r>
        <w:rPr>
          <w:rFonts w:ascii="Times New Roman" w:hAnsi="Times New Roman"/>
          <w:sz w:val="22"/>
        </w:rPr>
        <w:t xml:space="preserve">6.4. Если одна из Сторон не направит или несвоевременно направит документы, указанные в </w:t>
      </w:r>
      <w:r>
        <w:rPr>
          <w:rFonts w:ascii="Times New Roman" w:hAnsi="Times New Roman"/>
          <w:sz w:val="22"/>
        </w:rPr>
        <w:t>пунктах 6.2</w:t>
      </w:r>
      <w:r>
        <w:rPr>
          <w:rFonts w:ascii="Times New Roman" w:hAnsi="Times New Roman"/>
          <w:sz w:val="22"/>
        </w:rPr>
        <w:t xml:space="preserve">, 6.3.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w:t>
      </w:r>
      <w:r>
        <w:rPr>
          <w:rFonts w:ascii="Times New Roman" w:hAnsi="Times New Roman"/>
          <w:sz w:val="22"/>
        </w:rPr>
        <w:t>Контракт</w:t>
      </w:r>
      <w:r>
        <w:rPr>
          <w:rFonts w:ascii="Times New Roman" w:hAnsi="Times New Roman"/>
          <w:sz w:val="22"/>
        </w:rPr>
        <w:t xml:space="preserve">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w:t>
      </w:r>
      <w:r>
        <w:rPr>
          <w:rFonts w:ascii="Times New Roman" w:hAnsi="Times New Roman"/>
          <w:sz w:val="22"/>
        </w:rPr>
        <w:t>Контракт</w:t>
      </w:r>
      <w:r>
        <w:rPr>
          <w:rFonts w:ascii="Times New Roman" w:hAnsi="Times New Roman"/>
          <w:sz w:val="22"/>
        </w:rPr>
        <w:t>у.</w:t>
      </w:r>
    </w:p>
    <w:p w14:paraId="61000000">
      <w:pPr>
        <w:pStyle w:val="Style_3"/>
        <w:ind w:firstLine="284" w:left="0"/>
        <w:jc w:val="both"/>
        <w:rPr>
          <w:rFonts w:ascii="Times New Roman" w:hAnsi="Times New Roman"/>
          <w:sz w:val="22"/>
        </w:rPr>
      </w:pPr>
      <w:r>
        <w:rPr>
          <w:rFonts w:ascii="Times New Roman" w:hAnsi="Times New Roman"/>
          <w:sz w:val="22"/>
        </w:rPr>
        <w:t xml:space="preserve">6.5. В случае, если обстоятельства непреодолимой силы будут сохраняться более 30 (тридцати) </w:t>
      </w:r>
      <w:r>
        <w:rPr>
          <w:rFonts w:ascii="Times New Roman" w:hAnsi="Times New Roman"/>
          <w:sz w:val="22"/>
        </w:rPr>
        <w:t xml:space="preserve">рабочих дней, любая Сторона имеет право предложить другой Стороне расторгнуть его. При прекращении настоящего </w:t>
      </w:r>
      <w:r>
        <w:rPr>
          <w:rFonts w:ascii="Times New Roman" w:hAnsi="Times New Roman"/>
          <w:sz w:val="22"/>
        </w:rPr>
        <w:t>Контракт</w:t>
      </w:r>
      <w:r>
        <w:rPr>
          <w:rFonts w:ascii="Times New Roman" w:hAnsi="Times New Roman"/>
          <w:sz w:val="22"/>
        </w:rPr>
        <w:t xml:space="preserve">а по причинам, указанным в настоящем пункте, Стороны обязаны осуществить взаиморасчеты по своим обязательствам на день прекращения настоящего </w:t>
      </w:r>
      <w:r>
        <w:rPr>
          <w:rFonts w:ascii="Times New Roman" w:hAnsi="Times New Roman"/>
          <w:sz w:val="22"/>
        </w:rPr>
        <w:t>Контракт</w:t>
      </w:r>
      <w:r>
        <w:rPr>
          <w:rFonts w:ascii="Times New Roman" w:hAnsi="Times New Roman"/>
          <w:sz w:val="22"/>
        </w:rPr>
        <w:t>а.</w:t>
      </w:r>
    </w:p>
    <w:p w14:paraId="62000000">
      <w:pPr>
        <w:pStyle w:val="Style_3"/>
        <w:ind w:firstLine="284" w:left="0"/>
        <w:jc w:val="both"/>
        <w:rPr>
          <w:rFonts w:ascii="Times New Roman" w:hAnsi="Times New Roman"/>
          <w:sz w:val="22"/>
        </w:rPr>
      </w:pPr>
    </w:p>
    <w:p w14:paraId="63000000">
      <w:pPr>
        <w:pStyle w:val="Style_4"/>
      </w:pPr>
      <w:r>
        <w:t>VII</w:t>
      </w:r>
      <w:r>
        <w:t>. РАССМОТРЕНИЕ И РАЗРЕШЕНИЕ СПОРОВ</w:t>
      </w:r>
    </w:p>
    <w:p w14:paraId="64000000">
      <w:pPr>
        <w:pStyle w:val="Style_3"/>
        <w:ind w:firstLine="284" w:left="0"/>
        <w:jc w:val="both"/>
        <w:rPr>
          <w:rFonts w:ascii="Times New Roman" w:hAnsi="Times New Roman"/>
          <w:sz w:val="22"/>
        </w:rPr>
      </w:pPr>
      <w:r>
        <w:rPr>
          <w:rFonts w:ascii="Times New Roman" w:hAnsi="Times New Roman"/>
          <w:sz w:val="22"/>
        </w:rPr>
        <w:t xml:space="preserve">7.1. Все споры и разногласия, которые могут возникнуть из </w:t>
      </w:r>
      <w:r>
        <w:rPr>
          <w:rFonts w:ascii="Times New Roman" w:hAnsi="Times New Roman"/>
          <w:sz w:val="22"/>
        </w:rPr>
        <w:t>Контракт</w:t>
      </w:r>
      <w:r>
        <w:rPr>
          <w:rFonts w:ascii="Times New Roman" w:hAnsi="Times New Roman"/>
          <w:sz w:val="22"/>
        </w:rPr>
        <w:t xml:space="preserve">а между Сторонами, будут разрешаться путем переговоров, в том числе в претензионном порядке. В претензии перечисляются допущенные при исполнении </w:t>
      </w:r>
      <w:r>
        <w:rPr>
          <w:rFonts w:ascii="Times New Roman" w:hAnsi="Times New Roman"/>
          <w:sz w:val="22"/>
        </w:rPr>
        <w:t>Контракт</w:t>
      </w:r>
      <w:r>
        <w:rPr>
          <w:rFonts w:ascii="Times New Roman" w:hAnsi="Times New Roman"/>
          <w:sz w:val="22"/>
        </w:rPr>
        <w:t xml:space="preserve">а нарушения со ссылкой на соответствующие положения </w:t>
      </w:r>
      <w:r>
        <w:rPr>
          <w:rFonts w:ascii="Times New Roman" w:hAnsi="Times New Roman"/>
          <w:sz w:val="22"/>
        </w:rPr>
        <w:t>Контракт</w:t>
      </w:r>
      <w:r>
        <w:rPr>
          <w:rFonts w:ascii="Times New Roman" w:hAnsi="Times New Roman"/>
          <w:sz w:val="22"/>
        </w:rPr>
        <w:t>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65000000">
      <w:pPr>
        <w:pStyle w:val="Style_3"/>
        <w:ind w:firstLine="284" w:left="0"/>
        <w:jc w:val="both"/>
        <w:rPr>
          <w:rFonts w:ascii="Times New Roman" w:hAnsi="Times New Roman"/>
          <w:sz w:val="22"/>
        </w:rPr>
      </w:pPr>
      <w:r>
        <w:rPr>
          <w:rFonts w:ascii="Times New Roman" w:hAnsi="Times New Roman"/>
          <w:color w:val="000000"/>
          <w:sz w:val="22"/>
        </w:rPr>
        <w:t xml:space="preserve">7.2. Претензии направляются Сторонами </w:t>
      </w:r>
      <w:r>
        <w:rPr>
          <w:rFonts w:ascii="Times New Roman" w:hAnsi="Times New Roman"/>
          <w:color w:val="000000"/>
          <w:sz w:val="22"/>
        </w:rPr>
        <w:t>заказным почтовым отправлением с уведомлением о вручении последнего адресату либо нарочно под роспись</w:t>
      </w:r>
      <w:r>
        <w:rPr>
          <w:rFonts w:ascii="Times New Roman" w:hAnsi="Times New Roman"/>
          <w:color w:val="000000"/>
          <w:sz w:val="22"/>
        </w:rPr>
        <w:t>.</w:t>
      </w:r>
    </w:p>
    <w:p w14:paraId="66000000">
      <w:pPr>
        <w:pStyle w:val="Style_3"/>
        <w:ind w:firstLine="284" w:left="0"/>
        <w:jc w:val="both"/>
        <w:rPr>
          <w:rFonts w:ascii="Times New Roman" w:hAnsi="Times New Roman"/>
          <w:sz w:val="22"/>
        </w:rPr>
      </w:pPr>
      <w:r>
        <w:rPr>
          <w:rFonts w:ascii="Times New Roman" w:hAnsi="Times New Roman"/>
          <w:sz w:val="22"/>
        </w:rPr>
        <w:t xml:space="preserve">7.3. При </w:t>
      </w:r>
      <w:r>
        <w:rPr>
          <w:rFonts w:ascii="Times New Roman" w:hAnsi="Times New Roman"/>
          <w:sz w:val="22"/>
        </w:rPr>
        <w:t>неурегулировании</w:t>
      </w:r>
      <w:r>
        <w:rPr>
          <w:rFonts w:ascii="Times New Roman" w:hAnsi="Times New Roman"/>
          <w:sz w:val="22"/>
        </w:rPr>
        <w:t xml:space="preserve"> Сторонами спора в досудебном порядке, спор разрешается в судебном порядке в Арбитражном суде Ростовской области</w:t>
      </w:r>
      <w:r>
        <w:rPr>
          <w:rFonts w:ascii="Times New Roman" w:hAnsi="Times New Roman"/>
          <w:sz w:val="22"/>
        </w:rPr>
        <w:t>.</w:t>
      </w:r>
    </w:p>
    <w:p w14:paraId="67000000">
      <w:pPr>
        <w:ind/>
        <w:jc w:val="center"/>
        <w:rPr>
          <w:sz w:val="22"/>
        </w:rPr>
      </w:pPr>
    </w:p>
    <w:p w14:paraId="68000000">
      <w:pPr>
        <w:pStyle w:val="Style_4"/>
      </w:pPr>
      <w:r>
        <w:t>VIII</w:t>
      </w:r>
      <w:r>
        <w:t xml:space="preserve">. СРОК ДЕЙСТВИЯ И ПОРЯДОК ИЗМЕНЕНИЯ, РАСТОРЖЕНИЯ </w:t>
      </w:r>
      <w:r>
        <w:t>КОНТРАКТ</w:t>
      </w:r>
      <w:r>
        <w:t>А</w:t>
      </w:r>
    </w:p>
    <w:p w14:paraId="69000000">
      <w:pPr>
        <w:pStyle w:val="Style_3"/>
        <w:ind w:firstLine="284" w:left="0"/>
        <w:jc w:val="both"/>
        <w:rPr>
          <w:rFonts w:ascii="Times New Roman" w:hAnsi="Times New Roman"/>
          <w:sz w:val="22"/>
        </w:rPr>
      </w:pPr>
      <w:r>
        <w:rPr>
          <w:rFonts w:ascii="Times New Roman" w:hAnsi="Times New Roman"/>
          <w:sz w:val="22"/>
        </w:rPr>
        <w:t xml:space="preserve">8.1. Настоящий </w:t>
      </w:r>
      <w:r>
        <w:rPr>
          <w:rFonts w:ascii="Times New Roman" w:hAnsi="Times New Roman"/>
          <w:sz w:val="22"/>
        </w:rPr>
        <w:t>Контракт</w:t>
      </w:r>
      <w:r>
        <w:rPr>
          <w:rFonts w:ascii="Times New Roman" w:hAnsi="Times New Roman"/>
          <w:sz w:val="22"/>
        </w:rPr>
        <w:t xml:space="preserve"> вступает в силу с даты его заключения обеими Сторонами и действует по </w:t>
      </w:r>
      <w:r>
        <w:rPr>
          <w:rFonts w:ascii="Times New Roman" w:hAnsi="Times New Roman"/>
          <w:sz w:val="22"/>
        </w:rPr>
        <w:t xml:space="preserve">                                       </w:t>
      </w:r>
      <w:r>
        <w:rPr>
          <w:rFonts w:ascii="Times New Roman" w:hAnsi="Times New Roman"/>
          <w:sz w:val="22"/>
        </w:rPr>
        <w:t>"</w:t>
      </w:r>
      <w:r>
        <w:rPr>
          <w:rFonts w:ascii="Times New Roman" w:hAnsi="Times New Roman"/>
          <w:sz w:val="22"/>
        </w:rPr>
        <w:t>3</w:t>
      </w:r>
      <w:r>
        <w:rPr>
          <w:rFonts w:ascii="Times New Roman" w:hAnsi="Times New Roman"/>
          <w:sz w:val="22"/>
        </w:rPr>
        <w:t>0</w:t>
      </w:r>
      <w:r>
        <w:rPr>
          <w:rFonts w:ascii="Times New Roman" w:hAnsi="Times New Roman"/>
          <w:sz w:val="22"/>
        </w:rPr>
        <w:t>" декабря 202</w:t>
      </w:r>
      <w:r>
        <w:rPr>
          <w:rFonts w:ascii="Times New Roman" w:hAnsi="Times New Roman"/>
          <w:sz w:val="22"/>
        </w:rPr>
        <w:t>6</w:t>
      </w:r>
      <w:r>
        <w:rPr>
          <w:rFonts w:ascii="Times New Roman" w:hAnsi="Times New Roman"/>
          <w:sz w:val="22"/>
        </w:rPr>
        <w:t xml:space="preserve"> г., а в</w:t>
      </w:r>
      <w:r>
        <w:rPr>
          <w:rFonts w:ascii="Times New Roman" w:hAnsi="Times New Roman"/>
          <w:sz w:val="22"/>
        </w:rPr>
        <w:t xml:space="preserve"> части неисполненных обязательств - до полного их исполнения Сторонами.</w:t>
      </w:r>
    </w:p>
    <w:p w14:paraId="6A000000">
      <w:pPr>
        <w:pStyle w:val="Style_3"/>
        <w:ind w:firstLine="284" w:left="0"/>
        <w:jc w:val="both"/>
        <w:rPr>
          <w:rFonts w:ascii="Times New Roman" w:hAnsi="Times New Roman"/>
          <w:sz w:val="22"/>
        </w:rPr>
      </w:pPr>
      <w:r>
        <w:rPr>
          <w:rFonts w:ascii="Times New Roman" w:hAnsi="Times New Roman"/>
          <w:sz w:val="22"/>
        </w:rPr>
        <w:t xml:space="preserve">8.2. Расторжение настоящего </w:t>
      </w:r>
      <w:r>
        <w:rPr>
          <w:rFonts w:ascii="Times New Roman" w:hAnsi="Times New Roman"/>
          <w:sz w:val="22"/>
        </w:rPr>
        <w:t>Контракт</w:t>
      </w:r>
      <w:r>
        <w:rPr>
          <w:rFonts w:ascii="Times New Roman" w:hAnsi="Times New Roman"/>
          <w:sz w:val="22"/>
        </w:rPr>
        <w:t xml:space="preserve">а допускается по соглашению Сторон, по решению суда, в случае одностороннего отказа Стороны от исполнения настоящего </w:t>
      </w:r>
      <w:r>
        <w:rPr>
          <w:rFonts w:ascii="Times New Roman" w:hAnsi="Times New Roman"/>
          <w:sz w:val="22"/>
        </w:rPr>
        <w:t>Контракт</w:t>
      </w:r>
      <w:r>
        <w:rPr>
          <w:rFonts w:ascii="Times New Roman" w:hAnsi="Times New Roman"/>
          <w:sz w:val="22"/>
        </w:rPr>
        <w:t xml:space="preserve">а в соответствии с гражданским законодательством Российской Федерации. При этом факт подписания Сторонами соглашения о расторжении настоящего </w:t>
      </w:r>
      <w:r>
        <w:rPr>
          <w:rFonts w:ascii="Times New Roman" w:hAnsi="Times New Roman"/>
          <w:sz w:val="22"/>
        </w:rPr>
        <w:t>Контракт</w:t>
      </w:r>
      <w:r>
        <w:rPr>
          <w:rFonts w:ascii="Times New Roman" w:hAnsi="Times New Roman"/>
          <w:sz w:val="22"/>
        </w:rPr>
        <w:t>а не освобождает Стороны от обязанностей урегулирования взаимных расчетов.</w:t>
      </w:r>
    </w:p>
    <w:p w14:paraId="6B000000">
      <w:pPr>
        <w:pStyle w:val="Style_3"/>
        <w:ind w:firstLine="284" w:left="0"/>
        <w:jc w:val="both"/>
        <w:rPr>
          <w:rFonts w:ascii="Times New Roman" w:hAnsi="Times New Roman"/>
          <w:sz w:val="22"/>
        </w:rPr>
      </w:pPr>
      <w:r>
        <w:rPr>
          <w:rFonts w:ascii="Times New Roman" w:hAnsi="Times New Roman"/>
          <w:sz w:val="22"/>
        </w:rPr>
        <w:t xml:space="preserve">8.3. Изменения и дополнения по основаниям, предусмотренным настоящим </w:t>
      </w:r>
      <w:r>
        <w:rPr>
          <w:rFonts w:ascii="Times New Roman" w:hAnsi="Times New Roman"/>
          <w:sz w:val="22"/>
        </w:rPr>
        <w:t>Контракт</w:t>
      </w:r>
      <w:r>
        <w:rPr>
          <w:rFonts w:ascii="Times New Roman" w:hAnsi="Times New Roman"/>
          <w:sz w:val="22"/>
        </w:rPr>
        <w:t xml:space="preserve">ом, вносятся по соглашению Сторон, которое оформляется соответствующим дополнительным Соглашением и является неотъемлемой частью настоящего </w:t>
      </w:r>
      <w:r>
        <w:rPr>
          <w:rFonts w:ascii="Times New Roman" w:hAnsi="Times New Roman"/>
          <w:sz w:val="22"/>
        </w:rPr>
        <w:t>Контракт</w:t>
      </w:r>
      <w:r>
        <w:rPr>
          <w:rFonts w:ascii="Times New Roman" w:hAnsi="Times New Roman"/>
          <w:sz w:val="22"/>
        </w:rPr>
        <w:t>а.</w:t>
      </w:r>
    </w:p>
    <w:p w14:paraId="6C000000">
      <w:pPr>
        <w:pStyle w:val="Style_3"/>
        <w:ind w:firstLine="284" w:left="0"/>
        <w:jc w:val="both"/>
      </w:pPr>
      <w:r>
        <w:rPr>
          <w:rFonts w:ascii="Times New Roman" w:hAnsi="Times New Roman"/>
          <w:sz w:val="22"/>
        </w:rPr>
        <w:t>8</w:t>
      </w:r>
      <w:bookmarkStart w:id="11" w:name="_Hlk136257268"/>
      <w:r>
        <w:rPr>
          <w:rFonts w:ascii="Times New Roman" w:hAnsi="Times New Roman"/>
          <w:sz w:val="22"/>
        </w:rPr>
        <w:t xml:space="preserve">.4. </w:t>
      </w:r>
      <w:bookmarkStart w:id="12" w:name="_Hlk145583924"/>
      <w:bookmarkEnd w:id="11"/>
      <w:r>
        <w:rPr>
          <w:rFonts w:ascii="Times New Roman" w:hAnsi="Times New Roman"/>
          <w:sz w:val="22"/>
        </w:rPr>
        <w:t xml:space="preserve">Изменение существенных условий настоящего </w:t>
      </w:r>
      <w:r>
        <w:rPr>
          <w:rFonts w:ascii="Times New Roman" w:hAnsi="Times New Roman"/>
          <w:sz w:val="22"/>
        </w:rPr>
        <w:t>Контракт</w:t>
      </w:r>
      <w:r>
        <w:rPr>
          <w:rFonts w:ascii="Times New Roman" w:hAnsi="Times New Roman"/>
          <w:sz w:val="22"/>
        </w:rPr>
        <w:t xml:space="preserve">а при его исполнении не допускается, за исключением случаев, </w:t>
      </w:r>
      <w:r>
        <w:rPr>
          <w:rFonts w:ascii="Times New Roman" w:hAnsi="Times New Roman"/>
          <w:sz w:val="22"/>
        </w:rPr>
        <w:t>предусмотренных статьей 95 Закона № 44-ФЗ.</w:t>
      </w:r>
      <w:bookmarkEnd w:id="12"/>
    </w:p>
    <w:p w14:paraId="6D000000">
      <w:pPr>
        <w:pStyle w:val="Style_3"/>
        <w:ind w:firstLine="284" w:left="0"/>
        <w:jc w:val="both"/>
        <w:rPr>
          <w:sz w:val="22"/>
        </w:rPr>
      </w:pPr>
    </w:p>
    <w:p w14:paraId="6E000000">
      <w:pPr>
        <w:pStyle w:val="Style_4"/>
      </w:pPr>
      <w:r>
        <w:t>IX</w:t>
      </w:r>
      <w:r>
        <w:t>. ПРОЧИЕ ПОЛОЖЕНИЯ</w:t>
      </w:r>
      <w:bookmarkStart w:id="13" w:name="_Hlk136257204"/>
    </w:p>
    <w:p w14:paraId="6F000000">
      <w:pPr>
        <w:ind w:firstLine="284" w:left="0"/>
        <w:jc w:val="both"/>
        <w:rPr>
          <w:sz w:val="22"/>
        </w:rPr>
      </w:pPr>
      <w:r>
        <w:rPr>
          <w:sz w:val="22"/>
        </w:rPr>
        <w:t xml:space="preserve">9.1. Во всем, что не оговорено в настоящем </w:t>
      </w:r>
      <w:r>
        <w:rPr>
          <w:sz w:val="22"/>
        </w:rPr>
        <w:t>Контракт</w:t>
      </w:r>
      <w:r>
        <w:rPr>
          <w:sz w:val="22"/>
        </w:rPr>
        <w:t>е, Стороны руководствуются действующим законодательством Российской Федерации.</w:t>
      </w:r>
    </w:p>
    <w:p w14:paraId="70000000">
      <w:pPr>
        <w:pStyle w:val="Style_3"/>
        <w:ind w:firstLine="284" w:left="0"/>
        <w:jc w:val="both"/>
        <w:rPr>
          <w:rFonts w:ascii="Times New Roman" w:hAnsi="Times New Roman"/>
          <w:sz w:val="22"/>
        </w:rPr>
      </w:pPr>
      <w:r>
        <w:rPr>
          <w:rFonts w:ascii="Times New Roman" w:hAnsi="Times New Roman"/>
          <w:sz w:val="22"/>
        </w:rPr>
        <w:t xml:space="preserve">9.2.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рабочих дней с даты такого изменения. При этом если Исполнитель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w:t>
      </w:r>
      <w:r>
        <w:rPr>
          <w:rFonts w:ascii="Times New Roman" w:hAnsi="Times New Roman"/>
          <w:sz w:val="22"/>
        </w:rPr>
        <w:t>Контракт</w:t>
      </w:r>
      <w:r>
        <w:rPr>
          <w:rFonts w:ascii="Times New Roman" w:hAnsi="Times New Roman"/>
          <w:sz w:val="22"/>
        </w:rPr>
        <w:t>е счет, несет Исполнитель.</w:t>
      </w:r>
    </w:p>
    <w:p w14:paraId="71000000">
      <w:pPr>
        <w:pStyle w:val="Style_3"/>
        <w:ind w:firstLine="284" w:left="0"/>
        <w:jc w:val="both"/>
        <w:rPr>
          <w:rFonts w:ascii="Times New Roman" w:hAnsi="Times New Roman"/>
          <w:sz w:val="22"/>
        </w:rPr>
      </w:pPr>
      <w:r>
        <w:rPr>
          <w:rFonts w:ascii="Times New Roman" w:hAnsi="Times New Roman"/>
          <w:sz w:val="22"/>
        </w:rPr>
        <w:t xml:space="preserve">9.3. При исполнении настоящего </w:t>
      </w:r>
      <w:r>
        <w:rPr>
          <w:rFonts w:ascii="Times New Roman" w:hAnsi="Times New Roman"/>
          <w:sz w:val="22"/>
        </w:rPr>
        <w:t>Контракт</w:t>
      </w:r>
      <w:r>
        <w:rPr>
          <w:rFonts w:ascii="Times New Roman" w:hAnsi="Times New Roman"/>
          <w:sz w:val="22"/>
        </w:rPr>
        <w:t xml:space="preserve">а не допускается перемена Исполнителя, за исключением случая, если новый Исполнитель является правопреемником Исполнителя по настоящему </w:t>
      </w:r>
      <w:r>
        <w:rPr>
          <w:rFonts w:ascii="Times New Roman" w:hAnsi="Times New Roman"/>
          <w:sz w:val="22"/>
        </w:rPr>
        <w:t>Контракт</w:t>
      </w:r>
      <w:r>
        <w:rPr>
          <w:rFonts w:ascii="Times New Roman" w:hAnsi="Times New Roman"/>
          <w:sz w:val="22"/>
        </w:rPr>
        <w:t>у вследствие реорганизации юридического лица в форме преобразования, слияния или присоединения.</w:t>
      </w:r>
    </w:p>
    <w:p w14:paraId="72000000">
      <w:pPr>
        <w:pStyle w:val="Style_3"/>
        <w:ind w:firstLine="284" w:left="0"/>
        <w:jc w:val="both"/>
        <w:rPr>
          <w:rFonts w:ascii="Times New Roman" w:hAnsi="Times New Roman"/>
          <w:sz w:val="22"/>
        </w:rPr>
      </w:pPr>
      <w:r>
        <w:rPr>
          <w:rFonts w:ascii="Times New Roman" w:hAnsi="Times New Roman"/>
          <w:sz w:val="22"/>
        </w:rPr>
        <w:t xml:space="preserve">В случае, предусмотренном настоящим пунктом, перемена Исполнителя оформляется путем заключения соответствующего дополнительного соглашения к настоящему </w:t>
      </w:r>
      <w:r>
        <w:rPr>
          <w:rFonts w:ascii="Times New Roman" w:hAnsi="Times New Roman"/>
          <w:sz w:val="22"/>
        </w:rPr>
        <w:t>Контракт</w:t>
      </w:r>
      <w:r>
        <w:rPr>
          <w:rFonts w:ascii="Times New Roman" w:hAnsi="Times New Roman"/>
          <w:sz w:val="22"/>
        </w:rPr>
        <w:t>у.</w:t>
      </w:r>
    </w:p>
    <w:p w14:paraId="73000000">
      <w:pPr>
        <w:pStyle w:val="Style_3"/>
        <w:ind w:firstLine="284" w:left="0"/>
        <w:jc w:val="both"/>
        <w:rPr>
          <w:rFonts w:ascii="Times New Roman" w:hAnsi="Times New Roman"/>
          <w:sz w:val="22"/>
        </w:rPr>
      </w:pPr>
      <w:r>
        <w:rPr>
          <w:rFonts w:ascii="Times New Roman" w:hAnsi="Times New Roman"/>
          <w:sz w:val="22"/>
        </w:rPr>
        <w:t xml:space="preserve">9.4. Стороны обязуются обеспечить конфиденциальность сведений, относящихся к предмету настоящего </w:t>
      </w:r>
      <w:r>
        <w:rPr>
          <w:rFonts w:ascii="Times New Roman" w:hAnsi="Times New Roman"/>
          <w:sz w:val="22"/>
        </w:rPr>
        <w:t>Контракт</w:t>
      </w:r>
      <w:r>
        <w:rPr>
          <w:rFonts w:ascii="Times New Roman" w:hAnsi="Times New Roman"/>
          <w:sz w:val="22"/>
        </w:rPr>
        <w:t xml:space="preserve">а и ставших им известными в ходе исполнения настоящего </w:t>
      </w:r>
      <w:r>
        <w:rPr>
          <w:rFonts w:ascii="Times New Roman" w:hAnsi="Times New Roman"/>
          <w:sz w:val="22"/>
        </w:rPr>
        <w:t>Контракт</w:t>
      </w:r>
      <w:r>
        <w:rPr>
          <w:rFonts w:ascii="Times New Roman" w:hAnsi="Times New Roman"/>
          <w:sz w:val="22"/>
        </w:rPr>
        <w:t>а.</w:t>
      </w:r>
    </w:p>
    <w:p w14:paraId="74000000">
      <w:pPr>
        <w:pStyle w:val="Style_3"/>
        <w:ind w:firstLine="284" w:left="0"/>
        <w:jc w:val="both"/>
        <w:rPr>
          <w:rFonts w:ascii="Times New Roman" w:hAnsi="Times New Roman"/>
          <w:sz w:val="22"/>
        </w:rPr>
      </w:pPr>
      <w:r>
        <w:rPr>
          <w:rFonts w:ascii="Times New Roman" w:hAnsi="Times New Roman"/>
          <w:sz w:val="22"/>
        </w:rPr>
        <w:t xml:space="preserve">9.5. </w:t>
      </w:r>
      <w:r>
        <w:rPr>
          <w:rFonts w:ascii="Times New Roman" w:hAnsi="Times New Roman"/>
          <w:sz w:val="22"/>
        </w:rPr>
        <w:t>Контракт</w:t>
      </w:r>
      <w:r>
        <w:rPr>
          <w:rFonts w:ascii="Times New Roman" w:hAnsi="Times New Roman"/>
          <w:sz w:val="22"/>
        </w:rPr>
        <w:t xml:space="preserve"> составлен на русском языке в двух экземплярах, имеющих равную юридическую силу, по одному для каждой из Сторон. Все приложения к </w:t>
      </w:r>
      <w:r>
        <w:rPr>
          <w:rFonts w:ascii="Times New Roman" w:hAnsi="Times New Roman"/>
          <w:sz w:val="22"/>
        </w:rPr>
        <w:t>Контракт</w:t>
      </w:r>
      <w:r>
        <w:rPr>
          <w:rFonts w:ascii="Times New Roman" w:hAnsi="Times New Roman"/>
          <w:sz w:val="22"/>
        </w:rPr>
        <w:t>у составляют его неотъемлемую часть.</w:t>
      </w:r>
    </w:p>
    <w:p w14:paraId="75000000">
      <w:pPr>
        <w:pStyle w:val="Style_3"/>
        <w:ind w:firstLine="284" w:left="0"/>
        <w:jc w:val="both"/>
        <w:rPr>
          <w:rFonts w:ascii="Times New Roman" w:hAnsi="Times New Roman"/>
          <w:sz w:val="22"/>
        </w:rPr>
      </w:pPr>
    </w:p>
    <w:p w14:paraId="76000000">
      <w:pPr>
        <w:pStyle w:val="Style_4"/>
      </w:pPr>
      <w:r>
        <w:t>X</w:t>
      </w:r>
      <w:r>
        <w:t>. АНТИКОРРУПЦИОННАЯ ОГОВОРКА</w:t>
      </w:r>
    </w:p>
    <w:p w14:paraId="77000000">
      <w:pPr>
        <w:pStyle w:val="Style_7"/>
        <w:spacing w:line="264" w:lineRule="auto"/>
        <w:ind w:firstLine="284" w:left="0"/>
        <w:jc w:val="both"/>
        <w:rPr>
          <w:rFonts w:ascii="Times New Roman" w:hAnsi="Times New Roman"/>
          <w:sz w:val="22"/>
        </w:rPr>
      </w:pPr>
      <w:r>
        <w:rPr>
          <w:rFonts w:ascii="Times New Roman" w:hAnsi="Times New Roman"/>
          <w:sz w:val="22"/>
        </w:rPr>
        <w:t xml:space="preserve">10.1. При исполнении своих обязательств по настоящему </w:t>
      </w:r>
      <w:r>
        <w:rPr>
          <w:rFonts w:ascii="Times New Roman" w:hAnsi="Times New Roman"/>
          <w:sz w:val="22"/>
        </w:rPr>
        <w:t>Контракт</w:t>
      </w:r>
      <w:r>
        <w:rPr>
          <w:rFonts w:ascii="Times New Roman" w:hAnsi="Times New Roman"/>
          <w:sz w:val="22"/>
        </w:rPr>
        <w:t>у Стороны, их аффилированные лица, работник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8000000">
      <w:pPr>
        <w:pStyle w:val="Style_7"/>
        <w:spacing w:line="264" w:lineRule="auto"/>
        <w:ind w:firstLine="284" w:left="0"/>
        <w:jc w:val="both"/>
        <w:rPr>
          <w:rFonts w:ascii="Times New Roman" w:hAnsi="Times New Roman"/>
          <w:sz w:val="22"/>
        </w:rPr>
      </w:pPr>
      <w:r>
        <w:rPr>
          <w:rFonts w:ascii="Times New Roman" w:hAnsi="Times New Roman"/>
          <w:sz w:val="22"/>
        </w:rPr>
        <w:t xml:space="preserve">При исполнении своих обязательств по </w:t>
      </w:r>
      <w:r>
        <w:rPr>
          <w:rFonts w:ascii="Times New Roman" w:hAnsi="Times New Roman"/>
          <w:sz w:val="22"/>
        </w:rPr>
        <w:t>Контракт</w:t>
      </w:r>
      <w:r>
        <w:rPr>
          <w:rFonts w:ascii="Times New Roman" w:hAnsi="Times New Roman"/>
          <w:sz w:val="22"/>
        </w:rPr>
        <w:t xml:space="preserve">у Стороны, их аффилированные лица, работники или посредники не осуществляют действия, квалифицируемые применимым для целей </w:t>
      </w:r>
      <w:r>
        <w:rPr>
          <w:rFonts w:ascii="Times New Roman" w:hAnsi="Times New Roman"/>
          <w:sz w:val="22"/>
        </w:rPr>
        <w:t>Контракт</w:t>
      </w:r>
      <w:r>
        <w:rPr>
          <w:rFonts w:ascii="Times New Roman" w:hAnsi="Times New Roman"/>
          <w:sz w:val="22"/>
        </w:rPr>
        <w:t>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9000000">
      <w:pPr>
        <w:pStyle w:val="Style_7"/>
        <w:spacing w:line="264" w:lineRule="auto"/>
        <w:ind w:firstLine="284" w:left="0"/>
        <w:jc w:val="both"/>
        <w:rPr>
          <w:rFonts w:ascii="Times New Roman" w:hAnsi="Times New Roman"/>
          <w:sz w:val="22"/>
        </w:rPr>
      </w:pPr>
      <w:r>
        <w:rPr>
          <w:rFonts w:ascii="Times New Roman" w:hAnsi="Times New Roman"/>
          <w:sz w:val="22"/>
        </w:rPr>
        <w:t xml:space="preserve">10.2. В случае возникновения у любой Стороны </w:t>
      </w:r>
      <w:r>
        <w:rPr>
          <w:rFonts w:ascii="Times New Roman" w:hAnsi="Times New Roman"/>
          <w:sz w:val="22"/>
        </w:rPr>
        <w:t>Контракт</w:t>
      </w:r>
      <w:r>
        <w:rPr>
          <w:rFonts w:ascii="Times New Roman" w:hAnsi="Times New Roman"/>
          <w:sz w:val="22"/>
        </w:rPr>
        <w:t xml:space="preserve">а подозрений, что произошло или может произойти нарушение каких-либо положений настоящей статьи </w:t>
      </w:r>
      <w:r>
        <w:rPr>
          <w:rFonts w:ascii="Times New Roman" w:hAnsi="Times New Roman"/>
          <w:sz w:val="22"/>
        </w:rPr>
        <w:t>Контракт</w:t>
      </w:r>
      <w:r>
        <w:rPr>
          <w:rFonts w:ascii="Times New Roman" w:hAnsi="Times New Roman"/>
          <w:sz w:val="22"/>
        </w:rPr>
        <w:t>а, соответствующая Сторона обязуется уведомить об этом другую Сторону в письменной форме.</w:t>
      </w:r>
    </w:p>
    <w:p w14:paraId="7A000000">
      <w:pPr>
        <w:pStyle w:val="Style_7"/>
        <w:spacing w:line="264" w:lineRule="auto"/>
        <w:ind w:firstLine="284" w:left="0"/>
        <w:jc w:val="both"/>
        <w:rPr>
          <w:rFonts w:ascii="Times New Roman" w:hAnsi="Times New Roman"/>
          <w:sz w:val="22"/>
        </w:rPr>
      </w:pPr>
      <w:r>
        <w:rPr>
          <w:rFonts w:ascii="Times New Roman" w:hAnsi="Times New Roman"/>
          <w:sz w:val="22"/>
        </w:rPr>
        <w:t xml:space="preserve">В письменном уведомлении соответствующая Сторона обязана сослаться на факты или предоставить материалы, достоверно подтверждающие или дающие основания предполагать, что произошло нарушение каких-либо положений настоящей статьи контрагентом, его аффилированными лицами, работниками или посредниками, выражающиеся в действиях, квалифицируемых применимым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После письменного уведомления соответствующая Сторона имеет право приостановить исполнение обязательств по </w:t>
      </w:r>
      <w:r>
        <w:rPr>
          <w:rFonts w:ascii="Times New Roman" w:hAnsi="Times New Roman"/>
          <w:sz w:val="22"/>
        </w:rPr>
        <w:t>Контракт</w:t>
      </w:r>
      <w:r>
        <w:rPr>
          <w:rFonts w:ascii="Times New Roman" w:hAnsi="Times New Roman"/>
          <w:sz w:val="22"/>
        </w:rPr>
        <w:t xml:space="preserve">у до получения подтверждения, что нарушения не произошло или не произойдет. Это подтверждение должно быть направлено в течение 10 (десяти) рабочих дней от даты направления письменного уведомления. </w:t>
      </w:r>
    </w:p>
    <w:p w14:paraId="7B000000">
      <w:pPr>
        <w:pStyle w:val="Style_7"/>
        <w:spacing w:line="264" w:lineRule="auto"/>
        <w:ind w:firstLine="284" w:left="0"/>
        <w:jc w:val="both"/>
        <w:rPr>
          <w:rFonts w:ascii="Times New Roman" w:hAnsi="Times New Roman"/>
          <w:sz w:val="22"/>
        </w:rPr>
      </w:pPr>
      <w:r>
        <w:rPr>
          <w:rFonts w:ascii="Times New Roman" w:hAnsi="Times New Roman"/>
          <w:sz w:val="22"/>
        </w:rPr>
        <w:t xml:space="preserve">10.3. В случае нарушения одной Стороной обязательств воздерживаться от запрещенных в пункте 10.2. </w:t>
      </w:r>
      <w:r>
        <w:rPr>
          <w:rFonts w:ascii="Times New Roman" w:hAnsi="Times New Roman"/>
          <w:sz w:val="22"/>
        </w:rPr>
        <w:t>Контракт</w:t>
      </w:r>
      <w:r>
        <w:rPr>
          <w:rFonts w:ascii="Times New Roman" w:hAnsi="Times New Roman"/>
          <w:sz w:val="22"/>
        </w:rPr>
        <w:t xml:space="preserve">а действий и/или неполучения другой Стороной </w:t>
      </w:r>
      <w:r>
        <w:rPr>
          <w:rFonts w:ascii="Times New Roman" w:hAnsi="Times New Roman"/>
          <w:sz w:val="22"/>
        </w:rPr>
        <w:t>Контракт</w:t>
      </w:r>
      <w:r>
        <w:rPr>
          <w:rFonts w:ascii="Times New Roman" w:hAnsi="Times New Roman"/>
          <w:sz w:val="22"/>
        </w:rPr>
        <w:t xml:space="preserve">а в установленный срок подтверждения, что нарушение не произошло или не произойдет, другая Сторона имеет право расторгнуть </w:t>
      </w:r>
      <w:r>
        <w:rPr>
          <w:rFonts w:ascii="Times New Roman" w:hAnsi="Times New Roman"/>
          <w:sz w:val="22"/>
        </w:rPr>
        <w:t>Контракт</w:t>
      </w:r>
      <w:r>
        <w:rPr>
          <w:rFonts w:ascii="Times New Roman" w:hAnsi="Times New Roman"/>
          <w:sz w:val="22"/>
        </w:rPr>
        <w:t xml:space="preserve"> в одностороннем порядке полностью или в части, направив письменное уведомление о расторжении. Сторона – инициатор расторжения </w:t>
      </w:r>
      <w:r>
        <w:rPr>
          <w:rFonts w:ascii="Times New Roman" w:hAnsi="Times New Roman"/>
          <w:sz w:val="22"/>
        </w:rPr>
        <w:t>Контракт</w:t>
      </w:r>
      <w:r>
        <w:rPr>
          <w:rFonts w:ascii="Times New Roman" w:hAnsi="Times New Roman"/>
          <w:sz w:val="22"/>
        </w:rPr>
        <w:t>а в соответствии с положениями настоящей статьи, вправе требовать возмещения реального ущерба.</w:t>
      </w:r>
      <w:bookmarkEnd w:id="13"/>
    </w:p>
    <w:p w14:paraId="7C000000">
      <w:pPr>
        <w:pStyle w:val="Style_4"/>
      </w:pPr>
      <w:r>
        <w:t>X</w:t>
      </w:r>
      <w:r>
        <w:t>I</w:t>
      </w:r>
      <w:r>
        <w:t>. ПЕРЕЧЕНЬ ПРИЛОЖЕНИЙ</w:t>
      </w:r>
    </w:p>
    <w:p w14:paraId="7D000000">
      <w:pPr>
        <w:pStyle w:val="Style_3"/>
        <w:ind w:firstLine="540" w:left="0"/>
        <w:jc w:val="both"/>
        <w:rPr>
          <w:rFonts w:ascii="Times New Roman" w:hAnsi="Times New Roman"/>
          <w:sz w:val="22"/>
        </w:rPr>
      </w:pPr>
      <w:r>
        <w:rPr>
          <w:rFonts w:ascii="Times New Roman" w:hAnsi="Times New Roman"/>
          <w:sz w:val="22"/>
        </w:rPr>
        <w:t xml:space="preserve">Неотъемлемой частью настоящего </w:t>
      </w:r>
      <w:r>
        <w:rPr>
          <w:rFonts w:ascii="Times New Roman" w:hAnsi="Times New Roman"/>
          <w:sz w:val="22"/>
        </w:rPr>
        <w:t>Контракт</w:t>
      </w:r>
      <w:r>
        <w:rPr>
          <w:rFonts w:ascii="Times New Roman" w:hAnsi="Times New Roman"/>
          <w:sz w:val="22"/>
        </w:rPr>
        <w:t>а является следующее:</w:t>
      </w:r>
    </w:p>
    <w:p w14:paraId="7E000000">
      <w:pPr>
        <w:pStyle w:val="Style_3"/>
        <w:ind w:firstLine="540" w:left="0"/>
        <w:jc w:val="both"/>
      </w:pPr>
      <w:r>
        <w:rPr>
          <w:rFonts w:ascii="Times New Roman" w:hAnsi="Times New Roman"/>
          <w:sz w:val="22"/>
        </w:rPr>
        <w:t>Приложение № 1</w:t>
      </w:r>
      <w:r>
        <w:rPr>
          <w:rFonts w:ascii="Times New Roman" w:hAnsi="Times New Roman"/>
          <w:sz w:val="22"/>
        </w:rPr>
        <w:t xml:space="preserve"> – Спецификация на 1 листе;</w:t>
      </w:r>
    </w:p>
    <w:p w14:paraId="7F000000">
      <w:pPr>
        <w:pStyle w:val="Style_3"/>
        <w:ind w:firstLine="540" w:left="0"/>
        <w:jc w:val="both"/>
        <w:rPr>
          <w:rFonts w:ascii="Times New Roman" w:hAnsi="Times New Roman"/>
          <w:sz w:val="22"/>
        </w:rPr>
      </w:pPr>
      <w:r>
        <w:rPr>
          <w:rFonts w:ascii="Times New Roman" w:hAnsi="Times New Roman"/>
          <w:sz w:val="22"/>
        </w:rPr>
        <w:t>П</w:t>
      </w:r>
      <w:r>
        <w:rPr>
          <w:rFonts w:ascii="Times New Roman" w:hAnsi="Times New Roman"/>
          <w:sz w:val="22"/>
        </w:rPr>
        <w:t xml:space="preserve">риложение № 2 </w:t>
      </w:r>
      <w:r>
        <w:rPr>
          <w:rFonts w:ascii="Times New Roman" w:hAnsi="Times New Roman"/>
          <w:sz w:val="22"/>
        </w:rPr>
        <w:t>–</w:t>
      </w:r>
      <w:r>
        <w:rPr>
          <w:rFonts w:ascii="Times New Roman" w:hAnsi="Times New Roman"/>
          <w:sz w:val="22"/>
        </w:rPr>
        <w:t xml:space="preserve"> Объём технической поддержки на 2 листах;</w:t>
      </w:r>
    </w:p>
    <w:p w14:paraId="80000000">
      <w:pPr>
        <w:pStyle w:val="Style_3"/>
        <w:ind w:firstLine="540" w:left="0"/>
        <w:jc w:val="both"/>
        <w:rPr>
          <w:rFonts w:ascii="Times New Roman" w:hAnsi="Times New Roman"/>
          <w:sz w:val="22"/>
        </w:rPr>
      </w:pPr>
      <w:r>
        <w:rPr>
          <w:rFonts w:ascii="Times New Roman" w:hAnsi="Times New Roman"/>
          <w:sz w:val="22"/>
        </w:rPr>
        <w:t>Приложение №</w:t>
      </w:r>
      <w:r>
        <w:rPr>
          <w:rFonts w:ascii="Times New Roman" w:hAnsi="Times New Roman"/>
          <w:sz w:val="22"/>
        </w:rPr>
        <w:t xml:space="preserve"> </w:t>
      </w:r>
      <w:r>
        <w:rPr>
          <w:rFonts w:ascii="Times New Roman" w:hAnsi="Times New Roman"/>
          <w:sz w:val="22"/>
        </w:rPr>
        <w:t>3 – Соглашение на передачу неисключительных прав на 1 листе;</w:t>
      </w:r>
    </w:p>
    <w:p w14:paraId="81000000">
      <w:pPr>
        <w:pStyle w:val="Style_3"/>
        <w:ind w:firstLine="540" w:left="0"/>
        <w:jc w:val="both"/>
        <w:rPr>
          <w:rFonts w:ascii="Times New Roman" w:hAnsi="Times New Roman"/>
          <w:sz w:val="22"/>
        </w:rPr>
      </w:pPr>
      <w:r>
        <w:rPr>
          <w:rFonts w:ascii="Times New Roman" w:hAnsi="Times New Roman"/>
          <w:sz w:val="22"/>
        </w:rPr>
        <w:t>Приложение № 4 – Форма доверенности на 1 листе.</w:t>
      </w:r>
    </w:p>
    <w:p w14:paraId="82000000">
      <w:pPr>
        <w:pStyle w:val="Style_3"/>
        <w:ind w:firstLine="540" w:left="0"/>
        <w:jc w:val="both"/>
        <w:rPr>
          <w:rFonts w:ascii="Times New Roman" w:hAnsi="Times New Roman"/>
          <w:sz w:val="22"/>
        </w:rPr>
      </w:pPr>
    </w:p>
    <w:p w14:paraId="83000000">
      <w:pPr>
        <w:pStyle w:val="Style_4"/>
      </w:pPr>
      <w:r>
        <w:t>X</w:t>
      </w:r>
      <w:r>
        <w:t>II</w:t>
      </w:r>
      <w:r>
        <w:t>. АДРЕСА. БАНКОВСКИЕ РЕКВИЗИТЫ И ПОДПИСИ СТОРОН:</w:t>
      </w:r>
    </w:p>
    <w:p w14:paraId="84000000"/>
    <w:tbl>
      <w:tblPr>
        <w:tblStyle w:val="Style_8"/>
        <w:tblW w:type="auto" w:w="0"/>
        <w:tblLayout w:type="fixed"/>
      </w:tblPr>
      <w:tblGrid>
        <w:gridCol w:w="4632"/>
        <w:gridCol w:w="5290"/>
      </w:tblGrid>
      <w:tr>
        <w:trPr>
          <w:trHeight w:hRule="atLeast" w:val="426"/>
        </w:trPr>
        <w:tc>
          <w:tcPr>
            <w:tcW w:type="dxa" w:w="4632"/>
          </w:tcPr>
          <w:p w14:paraId="85000000">
            <w:pPr>
              <w:spacing w:after="0"/>
              <w:ind/>
              <w:jc w:val="center"/>
              <w:rPr>
                <w:b w:val="1"/>
              </w:rPr>
            </w:pPr>
            <w:r>
              <w:rPr>
                <w:b w:val="1"/>
              </w:rPr>
              <w:t>«Заказчик»</w:t>
            </w:r>
          </w:p>
          <w:p w14:paraId="86000000">
            <w:pPr>
              <w:widowControl w:val="0"/>
              <w:tabs>
                <w:tab w:leader="none" w:pos="708" w:val="left"/>
                <w:tab w:leader="none" w:pos="4677" w:val="center"/>
                <w:tab w:leader="none" w:pos="9355" w:val="right"/>
              </w:tabs>
              <w:spacing w:after="0"/>
              <w:ind/>
              <w:jc w:val="left"/>
              <w:rPr>
                <w:b w:val="1"/>
                <w:color w:val="000000"/>
                <w:sz w:val="20"/>
              </w:rPr>
            </w:pPr>
            <w:r>
              <w:rPr>
                <w:b w:val="1"/>
                <w:color w:val="000000"/>
                <w:sz w:val="20"/>
              </w:rPr>
              <w:t xml:space="preserve">ФГБОУ ВО </w:t>
            </w:r>
            <w:r>
              <w:rPr>
                <w:b w:val="1"/>
                <w:color w:val="000000"/>
                <w:sz w:val="20"/>
              </w:rPr>
              <w:t>РостГМУ</w:t>
            </w:r>
            <w:r>
              <w:rPr>
                <w:b w:val="1"/>
                <w:color w:val="000000"/>
                <w:sz w:val="20"/>
              </w:rPr>
              <w:t xml:space="preserve"> Минздрава России</w:t>
            </w:r>
          </w:p>
          <w:p w14:paraId="87000000">
            <w:pPr>
              <w:spacing w:after="0"/>
              <w:ind/>
              <w:rPr>
                <w:color w:val="000000"/>
                <w:sz w:val="20"/>
              </w:rPr>
            </w:pPr>
            <w:r>
              <w:rPr>
                <w:color w:val="000000"/>
                <w:sz w:val="20"/>
              </w:rPr>
              <w:t>344022 Ростовская область, г. Ростов-на-Дону, пер.</w:t>
            </w:r>
          </w:p>
          <w:p w14:paraId="88000000">
            <w:pPr>
              <w:widowControl w:val="0"/>
              <w:spacing w:after="0"/>
              <w:ind/>
              <w:rPr>
                <w:color w:val="000000"/>
                <w:sz w:val="20"/>
              </w:rPr>
            </w:pPr>
            <w:r>
              <w:rPr>
                <w:color w:val="000000"/>
                <w:sz w:val="20"/>
              </w:rPr>
              <w:t>Нахичеванский, 29</w:t>
            </w:r>
          </w:p>
          <w:p w14:paraId="89000000">
            <w:pPr>
              <w:widowControl w:val="0"/>
              <w:spacing w:after="0"/>
              <w:ind/>
              <w:rPr>
                <w:color w:val="000000"/>
                <w:sz w:val="20"/>
              </w:rPr>
            </w:pPr>
            <w:r>
              <w:rPr>
                <w:color w:val="000000"/>
                <w:sz w:val="20"/>
              </w:rPr>
              <w:t>ИНН 6163032850    КПП 616301001</w:t>
            </w:r>
          </w:p>
          <w:p w14:paraId="8A000000">
            <w:pPr>
              <w:widowControl w:val="0"/>
              <w:spacing w:after="0"/>
              <w:ind/>
              <w:rPr>
                <w:color w:val="000000"/>
                <w:sz w:val="20"/>
              </w:rPr>
            </w:pPr>
            <w:r>
              <w:rPr>
                <w:color w:val="000000"/>
                <w:sz w:val="20"/>
              </w:rPr>
              <w:t xml:space="preserve">УФК по Нижегородской области (ФГБОУ ВО </w:t>
            </w:r>
            <w:r>
              <w:rPr>
                <w:color w:val="000000"/>
                <w:sz w:val="20"/>
              </w:rPr>
              <w:t>РостГМУ</w:t>
            </w:r>
            <w:r>
              <w:rPr>
                <w:color w:val="000000"/>
                <w:sz w:val="20"/>
              </w:rPr>
              <w:t xml:space="preserve"> Минздрава России,</w:t>
            </w:r>
          </w:p>
          <w:p w14:paraId="8B000000">
            <w:pPr>
              <w:widowControl w:val="0"/>
              <w:spacing w:after="0"/>
              <w:ind/>
              <w:rPr>
                <w:color w:val="000000"/>
                <w:sz w:val="20"/>
              </w:rPr>
            </w:pPr>
            <w:r>
              <w:rPr>
                <w:color w:val="000000"/>
                <w:sz w:val="20"/>
              </w:rPr>
              <w:t>л/сч.20586У68420; л/сч.22586У68420).</w:t>
            </w:r>
          </w:p>
          <w:p w14:paraId="8C000000">
            <w:pPr>
              <w:widowControl w:val="0"/>
              <w:spacing w:after="0"/>
              <w:ind/>
              <w:rPr>
                <w:color w:val="000000"/>
                <w:sz w:val="20"/>
              </w:rPr>
            </w:pPr>
            <w:r>
              <w:rPr>
                <w:color w:val="000000"/>
                <w:sz w:val="20"/>
              </w:rPr>
              <w:t xml:space="preserve">ОКЦ №1 ВВГУ Банка России//УФК по Нижегородской области, г. Нижний Новгород </w:t>
            </w:r>
          </w:p>
          <w:p w14:paraId="8D000000">
            <w:pPr>
              <w:widowControl w:val="0"/>
              <w:spacing w:after="0"/>
              <w:ind/>
              <w:rPr>
                <w:color w:val="000000"/>
                <w:sz w:val="20"/>
              </w:rPr>
            </w:pPr>
            <w:r>
              <w:rPr>
                <w:color w:val="000000"/>
                <w:sz w:val="20"/>
              </w:rPr>
              <w:t>ЕКС 40102810745370000024</w:t>
            </w:r>
          </w:p>
          <w:p w14:paraId="8E000000">
            <w:pPr>
              <w:widowControl w:val="0"/>
              <w:spacing w:after="0"/>
              <w:ind/>
              <w:rPr>
                <w:color w:val="000000"/>
                <w:sz w:val="20"/>
              </w:rPr>
            </w:pPr>
            <w:r>
              <w:rPr>
                <w:color w:val="000000"/>
                <w:sz w:val="20"/>
              </w:rPr>
              <w:t>БИК 012202102</w:t>
            </w:r>
          </w:p>
          <w:p w14:paraId="8F000000">
            <w:pPr>
              <w:widowControl w:val="0"/>
              <w:spacing w:after="0"/>
              <w:ind/>
              <w:rPr>
                <w:color w:val="000000"/>
                <w:sz w:val="20"/>
              </w:rPr>
            </w:pPr>
            <w:r>
              <w:rPr>
                <w:color w:val="000000"/>
                <w:sz w:val="20"/>
              </w:rPr>
              <w:t>Номер счета 03214643000000013230</w:t>
            </w:r>
          </w:p>
          <w:p w14:paraId="90000000">
            <w:pPr>
              <w:widowControl w:val="0"/>
              <w:spacing w:after="0"/>
              <w:ind/>
              <w:rPr>
                <w:color w:val="000000"/>
                <w:sz w:val="20"/>
              </w:rPr>
            </w:pPr>
            <w:r>
              <w:rPr>
                <w:color w:val="000000"/>
                <w:sz w:val="20"/>
              </w:rPr>
              <w:t>ОГРН 1026103165736 от 11.11.2002 г.</w:t>
            </w:r>
          </w:p>
          <w:p w14:paraId="91000000">
            <w:pPr>
              <w:widowControl w:val="0"/>
              <w:spacing w:after="0"/>
              <w:ind/>
              <w:rPr>
                <w:color w:val="000000"/>
                <w:sz w:val="20"/>
              </w:rPr>
            </w:pPr>
            <w:r>
              <w:rPr>
                <w:color w:val="000000"/>
                <w:sz w:val="20"/>
              </w:rPr>
              <w:t>ОКПО 01896857</w:t>
            </w:r>
          </w:p>
          <w:p w14:paraId="92000000">
            <w:pPr>
              <w:widowControl w:val="0"/>
              <w:spacing w:after="0"/>
              <w:ind/>
              <w:rPr>
                <w:color w:val="000000"/>
                <w:sz w:val="20"/>
              </w:rPr>
            </w:pPr>
            <w:r>
              <w:rPr>
                <w:color w:val="000000"/>
                <w:sz w:val="20"/>
              </w:rPr>
              <w:t xml:space="preserve">ОКТМО 60701000   </w:t>
            </w:r>
          </w:p>
          <w:p w14:paraId="93000000">
            <w:pPr>
              <w:widowControl w:val="0"/>
              <w:spacing w:after="0"/>
              <w:ind/>
              <w:rPr>
                <w:color w:val="000000"/>
                <w:sz w:val="20"/>
              </w:rPr>
            </w:pPr>
            <w:r>
              <w:rPr>
                <w:color w:val="000000"/>
                <w:sz w:val="20"/>
              </w:rPr>
              <w:t>ОКВЭД 85.22</w:t>
            </w:r>
          </w:p>
          <w:p w14:paraId="94000000">
            <w:pPr>
              <w:widowControl w:val="0"/>
              <w:spacing w:after="0"/>
              <w:ind/>
              <w:rPr>
                <w:color w:val="000000"/>
                <w:sz w:val="20"/>
              </w:rPr>
            </w:pPr>
            <w:r>
              <w:rPr>
                <w:color w:val="000000"/>
                <w:sz w:val="20"/>
              </w:rPr>
              <w:t>ОКОПФ 20903</w:t>
            </w:r>
          </w:p>
          <w:p w14:paraId="95000000">
            <w:pPr>
              <w:widowControl w:val="0"/>
              <w:spacing w:after="0"/>
              <w:ind/>
              <w:rPr>
                <w:color w:val="000000"/>
                <w:sz w:val="20"/>
              </w:rPr>
            </w:pPr>
            <w:r>
              <w:rPr>
                <w:color w:val="000000"/>
                <w:sz w:val="20"/>
              </w:rPr>
              <w:t>ОКФС 12</w:t>
            </w:r>
          </w:p>
          <w:p w14:paraId="96000000">
            <w:pPr>
              <w:widowControl w:val="0"/>
              <w:spacing w:after="0"/>
              <w:ind/>
              <w:rPr>
                <w:color w:val="000000"/>
                <w:sz w:val="20"/>
              </w:rPr>
            </w:pPr>
            <w:r>
              <w:rPr>
                <w:color w:val="000000"/>
                <w:sz w:val="20"/>
              </w:rPr>
              <w:t>ОКОГУ 1320700</w:t>
            </w:r>
          </w:p>
          <w:p w14:paraId="97000000">
            <w:pPr>
              <w:spacing w:after="0"/>
              <w:ind/>
              <w:rPr>
                <w:color w:val="000000"/>
                <w:sz w:val="20"/>
              </w:rPr>
            </w:pPr>
          </w:p>
          <w:p w14:paraId="98000000">
            <w:pPr>
              <w:spacing w:after="0"/>
              <w:ind/>
              <w:jc w:val="left"/>
              <w:rPr>
                <w:b w:val="1"/>
                <w:color w:val="000000"/>
                <w:sz w:val="20"/>
              </w:rPr>
            </w:pPr>
            <w:r>
              <w:rPr>
                <w:b w:val="1"/>
                <w:color w:val="000000"/>
                <w:sz w:val="20"/>
              </w:rPr>
              <w:t>И.о</w:t>
            </w:r>
            <w:r>
              <w:rPr>
                <w:b w:val="1"/>
                <w:color w:val="000000"/>
                <w:sz w:val="20"/>
              </w:rPr>
              <w:t xml:space="preserve">. ректора ФГБОУ ВО </w:t>
            </w:r>
            <w:r>
              <w:rPr>
                <w:b w:val="1"/>
                <w:color w:val="000000"/>
                <w:sz w:val="20"/>
              </w:rPr>
              <w:t>РостГМУ</w:t>
            </w:r>
            <w:r>
              <w:rPr>
                <w:b w:val="1"/>
                <w:color w:val="000000"/>
                <w:sz w:val="20"/>
              </w:rPr>
              <w:t xml:space="preserve"> </w:t>
            </w:r>
          </w:p>
          <w:p w14:paraId="99000000">
            <w:pPr>
              <w:spacing w:after="0"/>
              <w:ind/>
              <w:jc w:val="left"/>
              <w:rPr>
                <w:b w:val="1"/>
                <w:color w:val="000000"/>
                <w:sz w:val="20"/>
              </w:rPr>
            </w:pPr>
            <w:r>
              <w:rPr>
                <w:b w:val="1"/>
                <w:color w:val="000000"/>
                <w:sz w:val="20"/>
              </w:rPr>
              <w:t>Минздрава России</w:t>
            </w:r>
          </w:p>
          <w:p w14:paraId="9A000000">
            <w:pPr>
              <w:spacing w:after="0"/>
              <w:ind/>
              <w:jc w:val="left"/>
              <w:rPr>
                <w:color w:val="000000"/>
                <w:sz w:val="20"/>
              </w:rPr>
            </w:pPr>
          </w:p>
          <w:p w14:paraId="9B000000">
            <w:pPr>
              <w:spacing w:after="0"/>
              <w:ind/>
              <w:rPr>
                <w:color w:val="000000"/>
                <w:sz w:val="20"/>
              </w:rPr>
            </w:pPr>
            <w:r>
              <w:rPr>
                <w:color w:val="000000"/>
                <w:sz w:val="20"/>
              </w:rPr>
              <w:t>__________________</w:t>
            </w:r>
            <w:r>
              <w:rPr>
                <w:b w:val="1"/>
                <w:color w:val="000000"/>
                <w:sz w:val="20"/>
              </w:rPr>
              <w:t xml:space="preserve"> /</w:t>
            </w:r>
            <w:r>
              <w:rPr>
                <w:b w:val="1"/>
                <w:color w:val="000000"/>
                <w:sz w:val="20"/>
              </w:rPr>
              <w:t>М.А.Шишов/</w:t>
            </w:r>
          </w:p>
          <w:p w14:paraId="9C000000">
            <w:pPr>
              <w:spacing w:after="0"/>
              <w:ind/>
              <w:rPr>
                <w:b w:val="1"/>
                <w:sz w:val="20"/>
              </w:rPr>
            </w:pPr>
            <w:r>
              <w:rPr>
                <w:b w:val="1"/>
                <w:color w:val="000000"/>
                <w:sz w:val="20"/>
              </w:rPr>
              <w:t xml:space="preserve">э.ц.п.  </w:t>
            </w:r>
          </w:p>
        </w:tc>
        <w:tc>
          <w:tcPr>
            <w:tcW w:type="dxa" w:w="5290"/>
          </w:tcPr>
          <w:p w14:paraId="9D000000">
            <w:pPr>
              <w:widowControl w:val="0"/>
              <w:ind/>
              <w:jc w:val="center"/>
              <w:rPr>
                <w:b w:val="1"/>
                <w:sz w:val="22"/>
              </w:rPr>
            </w:pPr>
            <w:r>
              <w:rPr>
                <w:b w:val="1"/>
                <w:sz w:val="22"/>
              </w:rPr>
              <w:t>ИСПОЛНИТЕЛЬ</w:t>
            </w:r>
          </w:p>
          <w:p w14:paraId="9E000000">
            <w:pPr>
              <w:widowControl w:val="0"/>
              <w:ind/>
              <w:rPr>
                <w:sz w:val="22"/>
              </w:rPr>
            </w:pPr>
          </w:p>
          <w:p w14:paraId="9F000000">
            <w:pPr>
              <w:widowControl w:val="0"/>
              <w:ind/>
              <w:rPr>
                <w:sz w:val="22"/>
              </w:rPr>
            </w:pPr>
          </w:p>
          <w:p w14:paraId="A0000000">
            <w:pPr>
              <w:widowControl w:val="0"/>
              <w:ind/>
              <w:rPr>
                <w:sz w:val="22"/>
              </w:rPr>
            </w:pPr>
          </w:p>
          <w:p w14:paraId="A1000000">
            <w:pPr>
              <w:widowControl w:val="0"/>
              <w:ind/>
              <w:rPr>
                <w:sz w:val="22"/>
              </w:rPr>
            </w:pPr>
          </w:p>
          <w:p w14:paraId="A2000000">
            <w:pPr>
              <w:widowControl w:val="0"/>
              <w:ind/>
              <w:rPr>
                <w:sz w:val="22"/>
              </w:rPr>
            </w:pPr>
          </w:p>
          <w:p w14:paraId="A3000000">
            <w:pPr>
              <w:widowControl w:val="0"/>
              <w:ind/>
              <w:rPr>
                <w:sz w:val="22"/>
              </w:rPr>
            </w:pPr>
          </w:p>
          <w:p w14:paraId="A4000000">
            <w:pPr>
              <w:widowControl w:val="0"/>
              <w:ind/>
              <w:rPr>
                <w:sz w:val="22"/>
              </w:rPr>
            </w:pPr>
          </w:p>
          <w:p w14:paraId="A5000000">
            <w:pPr>
              <w:widowControl w:val="0"/>
              <w:ind/>
              <w:rPr>
                <w:sz w:val="22"/>
              </w:rPr>
            </w:pPr>
          </w:p>
          <w:p w14:paraId="A6000000">
            <w:pPr>
              <w:widowControl w:val="0"/>
              <w:ind/>
              <w:rPr>
                <w:sz w:val="22"/>
              </w:rPr>
            </w:pPr>
          </w:p>
          <w:p w14:paraId="A7000000">
            <w:pPr>
              <w:widowControl w:val="0"/>
              <w:ind/>
              <w:rPr>
                <w:sz w:val="22"/>
              </w:rPr>
            </w:pPr>
          </w:p>
          <w:p w14:paraId="A8000000">
            <w:pPr>
              <w:widowControl w:val="0"/>
              <w:ind/>
              <w:rPr>
                <w:sz w:val="22"/>
              </w:rPr>
            </w:pPr>
          </w:p>
          <w:p w14:paraId="A9000000">
            <w:pPr>
              <w:widowControl w:val="0"/>
              <w:ind/>
              <w:rPr>
                <w:sz w:val="22"/>
              </w:rPr>
            </w:pPr>
          </w:p>
          <w:p w14:paraId="AA000000">
            <w:pPr>
              <w:widowControl w:val="0"/>
              <w:ind/>
              <w:rPr>
                <w:sz w:val="22"/>
              </w:rPr>
            </w:pPr>
          </w:p>
          <w:p w14:paraId="AB000000">
            <w:pPr>
              <w:widowControl w:val="0"/>
              <w:ind/>
              <w:rPr>
                <w:sz w:val="22"/>
              </w:rPr>
            </w:pPr>
          </w:p>
          <w:p w14:paraId="AC000000">
            <w:pPr>
              <w:widowControl w:val="0"/>
              <w:ind/>
              <w:rPr>
                <w:sz w:val="22"/>
              </w:rPr>
            </w:pPr>
          </w:p>
          <w:p w14:paraId="AD000000">
            <w:pPr>
              <w:widowControl w:val="0"/>
              <w:ind/>
              <w:rPr>
                <w:sz w:val="22"/>
              </w:rPr>
            </w:pPr>
          </w:p>
          <w:p w14:paraId="AE000000">
            <w:pPr>
              <w:widowControl w:val="0"/>
              <w:ind/>
              <w:rPr>
                <w:sz w:val="22"/>
              </w:rPr>
            </w:pPr>
          </w:p>
          <w:p w14:paraId="AF000000">
            <w:pPr>
              <w:widowControl w:val="0"/>
              <w:ind/>
              <w:rPr>
                <w:sz w:val="22"/>
              </w:rPr>
            </w:pPr>
          </w:p>
          <w:p w14:paraId="B0000000">
            <w:pPr>
              <w:widowControl w:val="0"/>
              <w:ind/>
              <w:rPr>
                <w:sz w:val="22"/>
              </w:rPr>
            </w:pPr>
          </w:p>
          <w:p w14:paraId="B1000000">
            <w:pPr>
              <w:widowControl w:val="0"/>
              <w:ind/>
              <w:rPr>
                <w:sz w:val="22"/>
              </w:rPr>
            </w:pPr>
          </w:p>
          <w:p w14:paraId="B2000000">
            <w:pPr>
              <w:widowControl w:val="0"/>
              <w:ind/>
              <w:rPr>
                <w:sz w:val="22"/>
              </w:rPr>
            </w:pPr>
          </w:p>
          <w:p w14:paraId="B3000000">
            <w:pPr>
              <w:widowControl w:val="0"/>
              <w:ind w:hanging="34" w:left="34"/>
              <w:rPr>
                <w:sz w:val="20"/>
              </w:rPr>
            </w:pPr>
            <w:r>
              <w:rPr>
                <w:sz w:val="20"/>
              </w:rPr>
              <w:t>_____________________/_______________</w:t>
            </w:r>
            <w:r>
              <w:rPr>
                <w:sz w:val="20"/>
              </w:rPr>
              <w:t>/</w:t>
            </w:r>
          </w:p>
          <w:p w14:paraId="B4000000">
            <w:pPr>
              <w:widowControl w:val="0"/>
              <w:ind w:hanging="34" w:left="34"/>
              <w:rPr>
                <w:b w:val="1"/>
                <w:sz w:val="20"/>
              </w:rPr>
            </w:pPr>
            <w:r>
              <w:rPr>
                <w:b w:val="1"/>
                <w:sz w:val="20"/>
              </w:rPr>
              <w:t>э.ц.п.</w:t>
            </w:r>
          </w:p>
        </w:tc>
      </w:tr>
    </w:tbl>
    <w:p w14:paraId="B5000000">
      <w:pPr>
        <w:ind w:firstLine="0" w:left="-426"/>
        <w:contextualSpacing w:val="1"/>
        <w:jc w:val="center"/>
      </w:pPr>
      <w:r>
        <w:br w:type="page"/>
      </w:r>
    </w:p>
    <w:p w14:paraId="B6000000">
      <w:pPr>
        <w:widowControl w:val="0"/>
        <w:ind w:firstLine="0" w:left="4820"/>
        <w:jc w:val="right"/>
        <w:rPr>
          <w:sz w:val="22"/>
        </w:rPr>
      </w:pPr>
      <w:bookmarkStart w:id="14" w:name="Par992"/>
      <w:bookmarkEnd w:id="14"/>
      <w:r>
        <w:rPr>
          <w:sz w:val="22"/>
        </w:rPr>
        <w:t xml:space="preserve">Приложение № 1 </w:t>
      </w:r>
    </w:p>
    <w:p w14:paraId="B7000000">
      <w:pPr>
        <w:widowControl w:val="0"/>
        <w:ind w:firstLine="0" w:left="6237"/>
        <w:jc w:val="right"/>
        <w:rPr>
          <w:sz w:val="22"/>
        </w:rPr>
      </w:pPr>
      <w:bookmarkStart w:id="15" w:name="_Hlk184744695"/>
      <w:r>
        <w:rPr>
          <w:sz w:val="22"/>
        </w:rPr>
        <w:t xml:space="preserve">к </w:t>
      </w:r>
      <w:r>
        <w:rPr>
          <w:sz w:val="22"/>
        </w:rPr>
        <w:t>Контракт</w:t>
      </w:r>
      <w:r>
        <w:rPr>
          <w:sz w:val="22"/>
        </w:rPr>
        <w:t>у №</w:t>
      </w:r>
      <w:r>
        <w:rPr>
          <w:sz w:val="22"/>
        </w:rPr>
        <w:t xml:space="preserve"> </w:t>
      </w:r>
      <w:r>
        <w:rPr>
          <w:sz w:val="22"/>
        </w:rPr>
        <w:t>РГМУ</w:t>
      </w:r>
      <w:r>
        <w:rPr>
          <w:sz w:val="22"/>
        </w:rPr>
        <w:t xml:space="preserve"> </w:t>
      </w:r>
      <w:r>
        <w:rPr>
          <w:sz w:val="22"/>
        </w:rPr>
        <w:t>33544</w:t>
      </w:r>
    </w:p>
    <w:p w14:paraId="B8000000">
      <w:pPr>
        <w:widowControl w:val="0"/>
        <w:ind w:firstLine="0" w:left="6237"/>
        <w:jc w:val="right"/>
        <w:rPr>
          <w:sz w:val="22"/>
        </w:rPr>
      </w:pPr>
      <w:r>
        <w:rPr>
          <w:sz w:val="22"/>
        </w:rPr>
        <w:t xml:space="preserve">от </w:t>
      </w:r>
      <w:r>
        <w:rPr>
          <w:color w:val="000000"/>
          <w:sz w:val="22"/>
        </w:rPr>
        <w:t>«__</w:t>
      </w:r>
      <w:r>
        <w:rPr>
          <w:color w:val="000000"/>
          <w:sz w:val="22"/>
        </w:rPr>
        <w:t>_»_</w:t>
      </w:r>
      <w:r>
        <w:rPr>
          <w:color w:val="000000"/>
          <w:sz w:val="22"/>
        </w:rPr>
        <w:t>_______</w:t>
      </w:r>
      <w:r>
        <w:rPr>
          <w:color w:val="000000"/>
          <w:sz w:val="22"/>
        </w:rPr>
        <w:t xml:space="preserve">2026 </w:t>
      </w:r>
      <w:r>
        <w:rPr>
          <w:color w:val="000000"/>
          <w:sz w:val="22"/>
        </w:rPr>
        <w:t>г.</w:t>
      </w:r>
      <w:bookmarkEnd w:id="15"/>
    </w:p>
    <w:p w14:paraId="B9000000">
      <w:pPr>
        <w:ind/>
        <w:jc w:val="center"/>
        <w:rPr>
          <w:b w:val="1"/>
          <w:sz w:val="22"/>
        </w:rPr>
      </w:pPr>
    </w:p>
    <w:p w14:paraId="BA000000">
      <w:pPr>
        <w:pStyle w:val="Style_9"/>
        <w:ind w:firstLine="567" w:left="0" w:right="-142"/>
        <w:jc w:val="center"/>
        <w:rPr>
          <w:b w:val="1"/>
          <w:sz w:val="22"/>
        </w:rPr>
      </w:pPr>
      <w:r>
        <w:rPr>
          <w:b w:val="1"/>
          <w:sz w:val="22"/>
        </w:rPr>
        <w:t>СПЕЦИФИКАЦИЯ</w:t>
      </w:r>
    </w:p>
    <w:p w14:paraId="BB000000">
      <w:pPr>
        <w:pStyle w:val="Style_9"/>
        <w:ind w:firstLine="567" w:left="0" w:right="-142"/>
        <w:jc w:val="center"/>
        <w:rPr>
          <w:b w:val="1"/>
          <w:sz w:val="22"/>
        </w:rPr>
      </w:pPr>
    </w:p>
    <w:tbl>
      <w:tblPr>
        <w:tblStyle w:val="Style_8"/>
        <w:tblW w:type="auto" w:w="0"/>
        <w:tblInd w:type="dxa" w:w="-3"/>
        <w:tblLayout w:type="fixed"/>
        <w:tblCellMar>
          <w:left w:type="dxa" w:w="75"/>
        </w:tblCellMar>
      </w:tblPr>
      <w:tblGrid>
        <w:gridCol w:w="709"/>
        <w:gridCol w:w="3749"/>
        <w:gridCol w:w="850"/>
        <w:gridCol w:w="1212"/>
        <w:gridCol w:w="1560"/>
        <w:gridCol w:w="1417"/>
      </w:tblGrid>
      <w:tr>
        <w:tc>
          <w:tcPr>
            <w:tcW w:type="dxa" w:w="709"/>
            <w:tcBorders>
              <w:top w:color="000001" w:sz="2" w:val="single"/>
              <w:left w:color="000001" w:sz="2" w:val="single"/>
              <w:bottom w:color="000001" w:sz="2" w:val="single"/>
            </w:tcBorders>
            <w:shd w:fill="auto" w:val="clear"/>
            <w:tcMar>
              <w:left w:type="dxa" w:w="75"/>
            </w:tcMar>
            <w:vAlign w:val="center"/>
          </w:tcPr>
          <w:p w14:paraId="BC000000">
            <w:pPr>
              <w:widowControl w:val="0"/>
              <w:spacing w:after="20" w:before="20"/>
              <w:ind w:firstLine="0" w:left="20" w:right="20"/>
              <w:jc w:val="center"/>
            </w:pPr>
            <w:bookmarkStart w:id="16" w:name="_Hlk184744708"/>
            <w:bookmarkEnd w:id="16"/>
            <w:r>
              <w:rPr>
                <w:color w:val="000000"/>
              </w:rPr>
              <w:t>№</w:t>
            </w:r>
          </w:p>
        </w:tc>
        <w:tc>
          <w:tcPr>
            <w:tcW w:type="dxa" w:w="3749"/>
            <w:tcBorders>
              <w:top w:color="000001" w:sz="2" w:val="single"/>
              <w:left w:color="000001" w:sz="2" w:val="single"/>
              <w:bottom w:color="000001" w:sz="2" w:val="single"/>
            </w:tcBorders>
            <w:shd w:fill="auto" w:val="clear"/>
            <w:tcMar>
              <w:left w:type="dxa" w:w="75"/>
            </w:tcMar>
            <w:vAlign w:val="center"/>
          </w:tcPr>
          <w:p w14:paraId="BD000000">
            <w:pPr>
              <w:widowControl w:val="0"/>
              <w:spacing w:after="20" w:before="20"/>
              <w:ind w:firstLine="0" w:left="20" w:right="20"/>
              <w:jc w:val="center"/>
            </w:pPr>
            <w:r>
              <w:rPr>
                <w:color w:val="000000"/>
              </w:rPr>
              <w:t>Наименование</w:t>
            </w:r>
          </w:p>
        </w:tc>
        <w:tc>
          <w:tcPr>
            <w:tcW w:type="dxa" w:w="850"/>
            <w:tcBorders>
              <w:top w:color="000001" w:sz="2" w:val="single"/>
              <w:left w:color="000001" w:sz="2" w:val="single"/>
              <w:bottom w:color="000001" w:sz="2" w:val="single"/>
            </w:tcBorders>
            <w:shd w:fill="auto" w:val="clear"/>
            <w:tcMar>
              <w:left w:type="dxa" w:w="75"/>
            </w:tcMar>
            <w:vAlign w:val="center"/>
          </w:tcPr>
          <w:p w14:paraId="BE000000">
            <w:pPr>
              <w:widowControl w:val="0"/>
              <w:spacing w:after="20" w:before="20"/>
              <w:ind w:firstLine="0" w:left="20" w:right="20"/>
              <w:jc w:val="center"/>
            </w:pPr>
            <w:r>
              <w:rPr>
                <w:color w:val="000000"/>
              </w:rPr>
              <w:t>Кол-во</w:t>
            </w:r>
          </w:p>
        </w:tc>
        <w:tc>
          <w:tcPr>
            <w:tcW w:type="dxa" w:w="1212"/>
            <w:tcBorders>
              <w:top w:color="000001" w:sz="2" w:val="single"/>
              <w:left w:color="000001" w:sz="2" w:val="single"/>
              <w:bottom w:color="000001" w:sz="2" w:val="single"/>
            </w:tcBorders>
            <w:shd w:fill="auto" w:val="clear"/>
            <w:tcMar>
              <w:left w:type="dxa" w:w="75"/>
            </w:tcMar>
            <w:vAlign w:val="center"/>
          </w:tcPr>
          <w:p w14:paraId="BF000000">
            <w:pPr>
              <w:widowControl w:val="0"/>
              <w:spacing w:after="20" w:before="20"/>
              <w:ind w:firstLine="0" w:left="20" w:right="20"/>
              <w:jc w:val="center"/>
            </w:pPr>
            <w:r>
              <w:rPr>
                <w:color w:val="000000"/>
              </w:rPr>
              <w:t>Цена</w:t>
            </w:r>
          </w:p>
        </w:tc>
        <w:tc>
          <w:tcPr>
            <w:tcW w:type="dxa" w:w="1560"/>
            <w:tcBorders>
              <w:top w:color="000001" w:sz="2" w:val="single"/>
              <w:left w:color="000001" w:sz="2" w:val="single"/>
              <w:bottom w:color="000001" w:sz="2" w:val="single"/>
              <w:right w:color="000001" w:sz="2" w:val="single"/>
            </w:tcBorders>
            <w:shd w:fill="auto" w:val="clear"/>
            <w:tcMar>
              <w:left w:type="dxa" w:w="75"/>
            </w:tcMar>
            <w:vAlign w:val="center"/>
          </w:tcPr>
          <w:p w14:paraId="C0000000">
            <w:pPr>
              <w:widowControl w:val="0"/>
              <w:spacing w:after="20" w:before="20"/>
              <w:ind w:firstLine="0" w:left="20" w:right="20"/>
              <w:jc w:val="center"/>
            </w:pPr>
            <w:r>
              <w:rPr>
                <w:color w:val="000000"/>
              </w:rPr>
              <w:t>Сумма</w:t>
            </w:r>
          </w:p>
        </w:tc>
        <w:tc>
          <w:tcPr>
            <w:tcW w:type="dxa" w:w="1417"/>
            <w:tcBorders>
              <w:top w:color="000001" w:sz="2" w:val="single"/>
              <w:left w:color="000001" w:sz="2" w:val="single"/>
              <w:bottom w:color="000001" w:sz="2" w:val="single"/>
              <w:right w:color="000001" w:sz="2" w:val="single"/>
            </w:tcBorders>
            <w:tcMar>
              <w:left w:type="dxa" w:w="75"/>
            </w:tcMar>
          </w:tcPr>
          <w:p w14:paraId="C1000000">
            <w:pPr>
              <w:widowControl w:val="0"/>
              <w:spacing w:after="20" w:before="20"/>
              <w:ind w:firstLine="0" w:left="20" w:right="20"/>
              <w:jc w:val="center"/>
              <w:rPr>
                <w:color w:val="000000"/>
              </w:rPr>
            </w:pPr>
            <w:r>
              <w:rPr>
                <w:color w:val="000000"/>
              </w:rPr>
              <w:t>Сумма НДС, руб.</w:t>
            </w:r>
          </w:p>
        </w:tc>
      </w:tr>
      <w:tr>
        <w:tc>
          <w:tcPr>
            <w:tcW w:type="dxa" w:w="709"/>
            <w:tcBorders>
              <w:top w:color="000001" w:sz="2" w:val="single"/>
              <w:left w:color="000001" w:sz="2" w:val="single"/>
              <w:bottom w:color="000001" w:sz="2" w:val="single"/>
            </w:tcBorders>
            <w:shd w:fill="auto" w:val="clear"/>
            <w:tcMar>
              <w:left w:type="dxa" w:w="75"/>
            </w:tcMar>
            <w:vAlign w:val="center"/>
          </w:tcPr>
          <w:p w14:paraId="C2000000">
            <w:pPr>
              <w:widowControl w:val="0"/>
              <w:spacing w:after="20" w:before="20"/>
              <w:ind w:firstLine="0" w:left="20" w:right="20"/>
              <w:jc w:val="right"/>
            </w:pPr>
            <w:r>
              <w:rPr>
                <w:color w:val="000000"/>
              </w:rPr>
              <w:t>1</w:t>
            </w:r>
          </w:p>
        </w:tc>
        <w:tc>
          <w:tcPr>
            <w:tcW w:type="dxa" w:w="3749"/>
            <w:tcBorders>
              <w:top w:color="000001" w:sz="2" w:val="single"/>
              <w:left w:color="000001" w:sz="2" w:val="single"/>
              <w:bottom w:color="000001" w:sz="2" w:val="single"/>
            </w:tcBorders>
            <w:shd w:fill="auto" w:val="clear"/>
            <w:tcMar>
              <w:left w:type="dxa" w:w="75"/>
            </w:tcMar>
            <w:vAlign w:val="center"/>
          </w:tcPr>
          <w:p w14:paraId="C3000000">
            <w:pPr>
              <w:widowControl w:val="0"/>
              <w:spacing w:after="20" w:before="20"/>
              <w:ind w:firstLine="0" w:left="20" w:right="20"/>
            </w:pPr>
            <w:r>
              <w:rPr>
                <w:color w:val="000000"/>
              </w:rPr>
              <w:t xml:space="preserve">Передача права на использование ПО </w:t>
            </w:r>
            <w:r>
              <w:rPr>
                <w:color w:val="000000"/>
              </w:rPr>
              <w:t>ViPNet</w:t>
            </w:r>
            <w:r>
              <w:rPr>
                <w:color w:val="000000"/>
              </w:rPr>
              <w:t xml:space="preserve"> </w:t>
            </w:r>
            <w:r>
              <w:rPr>
                <w:color w:val="000000"/>
              </w:rPr>
              <w:t>Client</w:t>
            </w:r>
            <w:r>
              <w:rPr>
                <w:color w:val="000000"/>
              </w:rPr>
              <w:t xml:space="preserve"> </w:t>
            </w:r>
            <w:r>
              <w:rPr>
                <w:color w:val="000000"/>
              </w:rPr>
              <w:t>for</w:t>
            </w:r>
            <w:r>
              <w:rPr>
                <w:color w:val="000000"/>
              </w:rPr>
              <w:t xml:space="preserve"> </w:t>
            </w:r>
            <w:r>
              <w:rPr>
                <w:color w:val="000000"/>
              </w:rPr>
              <w:t>Windows</w:t>
            </w:r>
            <w:r>
              <w:rPr>
                <w:color w:val="000000"/>
              </w:rPr>
              <w:t xml:space="preserve"> 4.х (КС2)</w:t>
            </w:r>
          </w:p>
        </w:tc>
        <w:tc>
          <w:tcPr>
            <w:tcW w:type="dxa" w:w="850"/>
            <w:tcBorders>
              <w:top w:color="000001" w:sz="2" w:val="single"/>
              <w:left w:color="000001" w:sz="2" w:val="single"/>
              <w:bottom w:color="000001" w:sz="2" w:val="single"/>
            </w:tcBorders>
            <w:shd w:fill="auto" w:val="clear"/>
            <w:tcMar>
              <w:left w:type="dxa" w:w="75"/>
            </w:tcMar>
            <w:vAlign w:val="center"/>
          </w:tcPr>
          <w:p w14:paraId="C4000000">
            <w:pPr>
              <w:widowControl w:val="0"/>
              <w:spacing w:after="20" w:before="20"/>
              <w:ind w:firstLine="0" w:left="20" w:right="20"/>
              <w:jc w:val="right"/>
            </w:pPr>
            <w:r>
              <w:t>1</w:t>
            </w:r>
          </w:p>
        </w:tc>
        <w:tc>
          <w:tcPr>
            <w:tcW w:type="dxa" w:w="1212"/>
            <w:tcBorders>
              <w:top w:color="000001" w:sz="2" w:val="single"/>
              <w:left w:color="000001" w:sz="2" w:val="single"/>
              <w:bottom w:color="000001" w:sz="2" w:val="single"/>
            </w:tcBorders>
            <w:shd w:fill="auto" w:val="clear"/>
            <w:tcMar>
              <w:left w:type="dxa" w:w="75"/>
            </w:tcMar>
            <w:vAlign w:val="center"/>
          </w:tcPr>
          <w:p/>
        </w:tc>
        <w:tc>
          <w:tcPr>
            <w:tcW w:type="dxa" w:w="1560"/>
            <w:tcBorders>
              <w:top w:color="000001" w:sz="2" w:val="single"/>
              <w:left w:color="000001" w:sz="2" w:val="single"/>
              <w:bottom w:color="000001" w:sz="2" w:val="single"/>
              <w:right w:color="000001" w:sz="2" w:val="single"/>
            </w:tcBorders>
            <w:shd w:fill="auto" w:val="clear"/>
            <w:tcMar>
              <w:left w:type="dxa" w:w="75"/>
            </w:tcMar>
            <w:vAlign w:val="center"/>
          </w:tcPr>
          <w:p/>
        </w:tc>
        <w:tc>
          <w:tcPr>
            <w:tcW w:type="dxa" w:w="1417"/>
            <w:tcBorders>
              <w:top w:color="000001" w:sz="2" w:val="single"/>
              <w:left w:color="000001" w:sz="2" w:val="single"/>
              <w:bottom w:color="000001" w:sz="2" w:val="single"/>
              <w:right w:color="000001" w:sz="2" w:val="single"/>
            </w:tcBorders>
            <w:tcMar>
              <w:left w:type="dxa" w:w="75"/>
            </w:tcMar>
            <w:vAlign w:val="center"/>
          </w:tcPr>
          <w:p/>
        </w:tc>
      </w:tr>
      <w:tr>
        <w:tc>
          <w:tcPr>
            <w:tcW w:type="dxa" w:w="709"/>
            <w:tcBorders>
              <w:top w:color="000001" w:sz="2" w:val="single"/>
              <w:left w:color="000001" w:sz="2" w:val="single"/>
              <w:bottom w:color="000001" w:sz="2" w:val="single"/>
            </w:tcBorders>
            <w:shd w:fill="auto" w:val="clear"/>
            <w:tcMar>
              <w:left w:type="dxa" w:w="75"/>
            </w:tcMar>
            <w:vAlign w:val="center"/>
          </w:tcPr>
          <w:p w14:paraId="C5000000">
            <w:pPr>
              <w:widowControl w:val="0"/>
              <w:spacing w:after="20" w:before="20"/>
              <w:ind w:firstLine="0" w:left="20" w:right="20"/>
              <w:jc w:val="right"/>
            </w:pPr>
            <w:r>
              <w:rPr>
                <w:color w:val="000000"/>
              </w:rPr>
              <w:t>2</w:t>
            </w:r>
          </w:p>
        </w:tc>
        <w:tc>
          <w:tcPr>
            <w:tcW w:type="dxa" w:w="3749"/>
            <w:tcBorders>
              <w:top w:color="000001" w:sz="2" w:val="single"/>
              <w:left w:color="000001" w:sz="2" w:val="single"/>
              <w:bottom w:color="000001" w:sz="2" w:val="single"/>
            </w:tcBorders>
            <w:shd w:fill="auto" w:val="clear"/>
            <w:tcMar>
              <w:left w:type="dxa" w:w="75"/>
            </w:tcMar>
            <w:vAlign w:val="center"/>
          </w:tcPr>
          <w:p w14:paraId="C6000000">
            <w:pPr>
              <w:widowControl w:val="0"/>
              <w:spacing w:after="20" w:before="20"/>
              <w:ind w:firstLine="0" w:left="20" w:right="20"/>
            </w:pPr>
            <w:r>
              <w:rPr>
                <w:color w:val="000000"/>
              </w:rPr>
              <w:t xml:space="preserve">Сертификат активации сервиса совместной технической поддержки ПО </w:t>
            </w:r>
            <w:r>
              <w:rPr>
                <w:color w:val="000000"/>
              </w:rPr>
              <w:t>ViPNet</w:t>
            </w:r>
            <w:r>
              <w:rPr>
                <w:color w:val="000000"/>
              </w:rPr>
              <w:t xml:space="preserve"> </w:t>
            </w:r>
            <w:r>
              <w:rPr>
                <w:color w:val="000000"/>
              </w:rPr>
              <w:t>Client</w:t>
            </w:r>
            <w:r>
              <w:rPr>
                <w:color w:val="000000"/>
              </w:rPr>
              <w:t xml:space="preserve"> </w:t>
            </w:r>
            <w:r>
              <w:rPr>
                <w:color w:val="000000"/>
              </w:rPr>
              <w:t>for</w:t>
            </w:r>
            <w:r>
              <w:rPr>
                <w:color w:val="000000"/>
              </w:rPr>
              <w:t xml:space="preserve"> </w:t>
            </w:r>
            <w:r>
              <w:rPr>
                <w:color w:val="000000"/>
              </w:rPr>
              <w:t>Windows</w:t>
            </w:r>
            <w:r>
              <w:rPr>
                <w:color w:val="000000"/>
              </w:rPr>
              <w:t xml:space="preserve"> 4.x (КС2) на срок 1 год, уровень - Расширенный</w:t>
            </w:r>
          </w:p>
        </w:tc>
        <w:tc>
          <w:tcPr>
            <w:tcW w:type="dxa" w:w="850"/>
            <w:tcBorders>
              <w:top w:color="000001" w:sz="2" w:val="single"/>
              <w:left w:color="000001" w:sz="2" w:val="single"/>
              <w:bottom w:color="000001" w:sz="2" w:val="single"/>
            </w:tcBorders>
            <w:shd w:fill="auto" w:val="clear"/>
            <w:tcMar>
              <w:left w:type="dxa" w:w="75"/>
            </w:tcMar>
            <w:vAlign w:val="center"/>
          </w:tcPr>
          <w:p w14:paraId="C7000000">
            <w:pPr>
              <w:widowControl w:val="0"/>
              <w:spacing w:after="20" w:before="20"/>
              <w:ind w:firstLine="0" w:left="20" w:right="20"/>
              <w:jc w:val="right"/>
            </w:pPr>
            <w:r>
              <w:t>1</w:t>
            </w:r>
          </w:p>
        </w:tc>
        <w:tc>
          <w:tcPr>
            <w:tcW w:type="dxa" w:w="1212"/>
            <w:tcBorders>
              <w:top w:color="000001" w:sz="2" w:val="single"/>
              <w:left w:color="000001" w:sz="2" w:val="single"/>
              <w:bottom w:color="000001" w:sz="2" w:val="single"/>
            </w:tcBorders>
            <w:shd w:fill="auto" w:val="clear"/>
            <w:tcMar>
              <w:left w:type="dxa" w:w="75"/>
            </w:tcMar>
            <w:vAlign w:val="center"/>
          </w:tcPr>
          <w:p/>
        </w:tc>
        <w:tc>
          <w:tcPr>
            <w:tcW w:type="dxa" w:w="1560"/>
            <w:tcBorders>
              <w:top w:color="000001" w:sz="2" w:val="single"/>
              <w:left w:color="000001" w:sz="2" w:val="single"/>
              <w:bottom w:color="000001" w:sz="2" w:val="single"/>
              <w:right w:color="000001" w:sz="2" w:val="single"/>
            </w:tcBorders>
            <w:shd w:fill="auto" w:val="clear"/>
            <w:tcMar>
              <w:left w:type="dxa" w:w="75"/>
            </w:tcMar>
            <w:vAlign w:val="center"/>
          </w:tcPr>
          <w:p/>
        </w:tc>
        <w:tc>
          <w:tcPr>
            <w:tcW w:type="dxa" w:w="1417"/>
            <w:tcBorders>
              <w:top w:color="000001" w:sz="2" w:val="single"/>
              <w:left w:color="000001" w:sz="2" w:val="single"/>
              <w:bottom w:color="000001" w:sz="2" w:val="single"/>
              <w:right w:color="000001" w:sz="2" w:val="single"/>
            </w:tcBorders>
            <w:tcMar>
              <w:left w:type="dxa" w:w="75"/>
            </w:tcMar>
            <w:vAlign w:val="center"/>
          </w:tcPr>
          <w:p/>
        </w:tc>
      </w:tr>
      <w:tr>
        <w:tc>
          <w:tcPr>
            <w:tcW w:type="dxa" w:w="709"/>
            <w:tcBorders>
              <w:top w:color="000001" w:sz="2" w:val="single"/>
              <w:left w:color="000001" w:sz="2" w:val="single"/>
              <w:bottom w:color="000001" w:sz="2" w:val="single"/>
            </w:tcBorders>
            <w:shd w:fill="auto" w:val="clear"/>
            <w:tcMar>
              <w:left w:type="dxa" w:w="75"/>
            </w:tcMar>
            <w:vAlign w:val="center"/>
          </w:tcPr>
          <w:p w14:paraId="C8000000">
            <w:pPr>
              <w:widowControl w:val="0"/>
              <w:spacing w:after="20" w:before="20"/>
              <w:ind w:firstLine="0" w:left="20" w:right="20"/>
              <w:jc w:val="right"/>
            </w:pPr>
            <w:r>
              <w:rPr>
                <w:color w:val="000000"/>
              </w:rPr>
              <w:t>3</w:t>
            </w:r>
          </w:p>
        </w:tc>
        <w:tc>
          <w:tcPr>
            <w:tcW w:type="dxa" w:w="3749"/>
            <w:tcBorders>
              <w:top w:color="000001" w:sz="2" w:val="single"/>
              <w:left w:color="000001" w:sz="2" w:val="single"/>
              <w:bottom w:color="000001" w:sz="2" w:val="single"/>
            </w:tcBorders>
            <w:shd w:fill="auto" w:val="clear"/>
            <w:tcMar>
              <w:left w:type="dxa" w:w="75"/>
            </w:tcMar>
            <w:vAlign w:val="center"/>
          </w:tcPr>
          <w:p w14:paraId="C9000000">
            <w:pPr>
              <w:widowControl w:val="0"/>
              <w:spacing w:after="20" w:before="20"/>
              <w:ind w:firstLine="0" w:left="20" w:right="20"/>
            </w:pPr>
            <w:r>
              <w:rPr>
                <w:color w:val="000000"/>
              </w:rPr>
              <w:t xml:space="preserve">Компакт-диск с дистрибутивом ПО </w:t>
            </w:r>
            <w:r>
              <w:rPr>
                <w:color w:val="000000"/>
              </w:rPr>
              <w:t>ViPNet</w:t>
            </w:r>
            <w:r>
              <w:rPr>
                <w:color w:val="000000"/>
              </w:rPr>
              <w:t xml:space="preserve"> </w:t>
            </w:r>
            <w:r>
              <w:rPr>
                <w:color w:val="000000"/>
              </w:rPr>
              <w:t>Client</w:t>
            </w:r>
            <w:r>
              <w:rPr>
                <w:color w:val="000000"/>
              </w:rPr>
              <w:t xml:space="preserve"> </w:t>
            </w:r>
            <w:r>
              <w:rPr>
                <w:color w:val="000000"/>
              </w:rPr>
              <w:t>for</w:t>
            </w:r>
            <w:r>
              <w:rPr>
                <w:color w:val="000000"/>
              </w:rPr>
              <w:t xml:space="preserve"> </w:t>
            </w:r>
            <w:r>
              <w:rPr>
                <w:color w:val="000000"/>
              </w:rPr>
              <w:t>Windows</w:t>
            </w:r>
            <w:r>
              <w:rPr>
                <w:color w:val="000000"/>
              </w:rPr>
              <w:t xml:space="preserve"> 4.x (KC2)</w:t>
            </w:r>
          </w:p>
        </w:tc>
        <w:tc>
          <w:tcPr>
            <w:tcW w:type="dxa" w:w="850"/>
            <w:tcBorders>
              <w:top w:color="000001" w:sz="2" w:val="single"/>
              <w:left w:color="000001" w:sz="2" w:val="single"/>
              <w:bottom w:color="000001" w:sz="2" w:val="single"/>
            </w:tcBorders>
            <w:shd w:fill="auto" w:val="clear"/>
            <w:tcMar>
              <w:left w:type="dxa" w:w="75"/>
            </w:tcMar>
            <w:vAlign w:val="center"/>
          </w:tcPr>
          <w:p w14:paraId="CA000000">
            <w:pPr>
              <w:widowControl w:val="0"/>
              <w:spacing w:after="20" w:before="20"/>
              <w:ind w:firstLine="0" w:left="20" w:right="20"/>
              <w:jc w:val="right"/>
            </w:pPr>
            <w:r>
              <w:t>1</w:t>
            </w:r>
          </w:p>
        </w:tc>
        <w:tc>
          <w:tcPr>
            <w:tcW w:type="dxa" w:w="1212"/>
            <w:tcBorders>
              <w:top w:color="000001" w:sz="2" w:val="single"/>
              <w:left w:color="000001" w:sz="2" w:val="single"/>
              <w:bottom w:color="000001" w:sz="2" w:val="single"/>
            </w:tcBorders>
            <w:shd w:fill="auto" w:val="clear"/>
            <w:tcMar>
              <w:left w:type="dxa" w:w="75"/>
            </w:tcMar>
            <w:vAlign w:val="center"/>
          </w:tcPr>
          <w:p/>
        </w:tc>
        <w:tc>
          <w:tcPr>
            <w:tcW w:type="dxa" w:w="1560"/>
            <w:tcBorders>
              <w:top w:color="000001" w:sz="2" w:val="single"/>
              <w:left w:color="000001" w:sz="2" w:val="single"/>
              <w:bottom w:color="000001" w:sz="2" w:val="single"/>
              <w:right w:color="000001" w:sz="2" w:val="single"/>
            </w:tcBorders>
            <w:shd w:fill="auto" w:val="clear"/>
            <w:tcMar>
              <w:left w:type="dxa" w:w="75"/>
            </w:tcMar>
            <w:vAlign w:val="center"/>
          </w:tcPr>
          <w:p/>
        </w:tc>
        <w:tc>
          <w:tcPr>
            <w:tcW w:type="dxa" w:w="1417"/>
            <w:tcBorders>
              <w:top w:color="000001" w:sz="2" w:val="single"/>
              <w:left w:color="000001" w:sz="2" w:val="single"/>
              <w:bottom w:color="000001" w:sz="2" w:val="single"/>
              <w:right w:color="000001" w:sz="2" w:val="single"/>
            </w:tcBorders>
            <w:tcMar>
              <w:left w:type="dxa" w:w="75"/>
            </w:tcMar>
            <w:vAlign w:val="center"/>
          </w:tcPr>
          <w:p/>
        </w:tc>
      </w:tr>
      <w:tr>
        <w:tc>
          <w:tcPr>
            <w:tcW w:type="dxa" w:w="709"/>
            <w:tcBorders>
              <w:top w:color="000001" w:sz="2" w:val="single"/>
              <w:left w:color="000001" w:sz="2" w:val="single"/>
              <w:bottom w:color="000001" w:sz="2" w:val="single"/>
            </w:tcBorders>
            <w:shd w:fill="auto" w:val="clear"/>
            <w:tcMar>
              <w:left w:type="dxa" w:w="75"/>
            </w:tcMar>
            <w:vAlign w:val="center"/>
          </w:tcPr>
          <w:p w14:paraId="CB000000">
            <w:pPr>
              <w:widowControl w:val="0"/>
              <w:spacing w:after="20" w:before="20"/>
              <w:ind w:firstLine="0" w:left="20" w:right="20"/>
              <w:jc w:val="right"/>
            </w:pPr>
            <w:r>
              <w:rPr>
                <w:color w:val="000000"/>
              </w:rPr>
              <w:t>4</w:t>
            </w:r>
          </w:p>
        </w:tc>
        <w:tc>
          <w:tcPr>
            <w:tcW w:type="dxa" w:w="3749"/>
            <w:tcBorders>
              <w:top w:color="000001" w:sz="2" w:val="single"/>
              <w:left w:color="000001" w:sz="2" w:val="single"/>
              <w:bottom w:color="000001" w:sz="2" w:val="single"/>
            </w:tcBorders>
            <w:shd w:fill="auto" w:val="clear"/>
            <w:tcMar>
              <w:left w:type="dxa" w:w="75"/>
            </w:tcMar>
            <w:vAlign w:val="center"/>
          </w:tcPr>
          <w:p w14:paraId="CC000000">
            <w:pPr>
              <w:widowControl w:val="0"/>
              <w:spacing w:after="20" w:before="20"/>
              <w:ind w:firstLine="0" w:left="20" w:right="20"/>
            </w:pPr>
            <w:r>
              <w:rPr>
                <w:color w:val="000000"/>
              </w:rPr>
              <w:t xml:space="preserve">Kaspersky Endpoint Security </w:t>
            </w:r>
            <w:r>
              <w:rPr>
                <w:color w:val="000000"/>
              </w:rPr>
              <w:t>для</w:t>
            </w:r>
            <w:r>
              <w:rPr>
                <w:color w:val="000000"/>
              </w:rPr>
              <w:t xml:space="preserve"> </w:t>
            </w:r>
            <w:r>
              <w:rPr>
                <w:color w:val="000000"/>
              </w:rPr>
              <w:t>бизнеса</w:t>
            </w:r>
            <w:r>
              <w:rPr>
                <w:color w:val="000000"/>
              </w:rPr>
              <w:t xml:space="preserve"> – </w:t>
            </w:r>
            <w:r>
              <w:rPr>
                <w:color w:val="000000"/>
              </w:rPr>
              <w:t>Стандартный</w:t>
            </w:r>
            <w:r>
              <w:rPr>
                <w:color w:val="000000"/>
              </w:rPr>
              <w:t xml:space="preserve"> Russian Edition.</w:t>
            </w:r>
          </w:p>
        </w:tc>
        <w:tc>
          <w:tcPr>
            <w:tcW w:type="dxa" w:w="850"/>
            <w:tcBorders>
              <w:top w:color="000001" w:sz="2" w:val="single"/>
              <w:left w:color="000001" w:sz="2" w:val="single"/>
              <w:bottom w:color="000001" w:sz="2" w:val="single"/>
            </w:tcBorders>
            <w:shd w:fill="auto" w:val="clear"/>
            <w:tcMar>
              <w:left w:type="dxa" w:w="75"/>
            </w:tcMar>
            <w:vAlign w:val="center"/>
          </w:tcPr>
          <w:p w14:paraId="CD000000">
            <w:pPr>
              <w:widowControl w:val="0"/>
              <w:spacing w:after="20" w:before="20"/>
              <w:ind w:firstLine="0" w:left="20" w:right="20"/>
              <w:jc w:val="right"/>
            </w:pPr>
            <w:r>
              <w:t>1</w:t>
            </w:r>
          </w:p>
        </w:tc>
        <w:tc>
          <w:tcPr>
            <w:tcW w:type="dxa" w:w="1212"/>
            <w:tcBorders>
              <w:top w:color="000001" w:sz="2" w:val="single"/>
              <w:left w:color="000001" w:sz="2" w:val="single"/>
              <w:bottom w:color="000001" w:sz="2" w:val="single"/>
            </w:tcBorders>
            <w:shd w:fill="auto" w:val="clear"/>
            <w:tcMar>
              <w:left w:type="dxa" w:w="75"/>
            </w:tcMar>
            <w:vAlign w:val="center"/>
          </w:tcPr>
          <w:p/>
        </w:tc>
        <w:tc>
          <w:tcPr>
            <w:tcW w:type="dxa" w:w="1560"/>
            <w:tcBorders>
              <w:top w:color="000001" w:sz="2" w:val="single"/>
              <w:left w:color="000001" w:sz="2" w:val="single"/>
              <w:bottom w:color="000001" w:sz="2" w:val="single"/>
              <w:right w:color="000001" w:sz="2" w:val="single"/>
            </w:tcBorders>
            <w:shd w:fill="auto" w:val="clear"/>
            <w:tcMar>
              <w:left w:type="dxa" w:w="75"/>
            </w:tcMar>
            <w:vAlign w:val="center"/>
          </w:tcPr>
          <w:p/>
        </w:tc>
        <w:tc>
          <w:tcPr>
            <w:tcW w:type="dxa" w:w="1417"/>
            <w:tcBorders>
              <w:top w:color="000001" w:sz="2" w:val="single"/>
              <w:left w:color="000001" w:sz="2" w:val="single"/>
              <w:bottom w:color="000001" w:sz="2" w:val="single"/>
              <w:right w:color="000001" w:sz="2" w:val="single"/>
            </w:tcBorders>
            <w:tcMar>
              <w:left w:type="dxa" w:w="75"/>
            </w:tcMar>
            <w:vAlign w:val="center"/>
          </w:tcPr>
          <w:p/>
        </w:tc>
      </w:tr>
      <w:tr>
        <w:tc>
          <w:tcPr>
            <w:tcW w:type="dxa" w:w="709"/>
            <w:tcBorders>
              <w:top w:color="000001" w:sz="2" w:val="single"/>
              <w:left w:color="000001" w:sz="2" w:val="single"/>
              <w:bottom w:color="000001" w:sz="2" w:val="single"/>
            </w:tcBorders>
            <w:shd w:fill="auto" w:val="clear"/>
            <w:tcMar>
              <w:left w:type="dxa" w:w="75"/>
            </w:tcMar>
            <w:vAlign w:val="center"/>
          </w:tcPr>
          <w:p w14:paraId="CE000000">
            <w:pPr>
              <w:widowControl w:val="0"/>
              <w:spacing w:after="20" w:before="20"/>
              <w:ind w:firstLine="0" w:left="20" w:right="20"/>
              <w:jc w:val="right"/>
            </w:pPr>
            <w:r>
              <w:rPr>
                <w:color w:val="000000"/>
              </w:rPr>
              <w:t>5</w:t>
            </w:r>
          </w:p>
        </w:tc>
        <w:tc>
          <w:tcPr>
            <w:tcW w:type="dxa" w:w="3749"/>
            <w:tcBorders>
              <w:top w:color="000001" w:sz="2" w:val="single"/>
              <w:left w:color="000001" w:sz="2" w:val="single"/>
              <w:bottom w:color="000001" w:sz="2" w:val="single"/>
            </w:tcBorders>
            <w:shd w:fill="auto" w:val="clear"/>
            <w:tcMar>
              <w:left w:type="dxa" w:w="75"/>
            </w:tcMar>
            <w:vAlign w:val="center"/>
          </w:tcPr>
          <w:p w14:paraId="CF000000">
            <w:pPr>
              <w:widowControl w:val="0"/>
              <w:spacing w:after="20" w:before="20"/>
              <w:ind w:firstLine="0" w:left="20" w:right="20"/>
            </w:pPr>
            <w:r>
              <w:rPr>
                <w:color w:val="000000"/>
              </w:rPr>
              <w:t xml:space="preserve">Kaspersky </w:t>
            </w:r>
            <w:r>
              <w:rPr>
                <w:color w:val="000000"/>
              </w:rPr>
              <w:t>Стандартный</w:t>
            </w:r>
            <w:r>
              <w:rPr>
                <w:color w:val="000000"/>
              </w:rPr>
              <w:t xml:space="preserve"> Certified Media Pack Russian Edition. </w:t>
            </w:r>
            <w:r>
              <w:rPr>
                <w:color w:val="000000"/>
              </w:rPr>
              <w:t>Media</w:t>
            </w:r>
            <w:r>
              <w:rPr>
                <w:color w:val="000000"/>
              </w:rPr>
              <w:t xml:space="preserve"> </w:t>
            </w:r>
            <w:r>
              <w:rPr>
                <w:color w:val="000000"/>
              </w:rPr>
              <w:t>Pack</w:t>
            </w:r>
          </w:p>
        </w:tc>
        <w:tc>
          <w:tcPr>
            <w:tcW w:type="dxa" w:w="850"/>
            <w:tcBorders>
              <w:top w:color="000001" w:sz="2" w:val="single"/>
              <w:left w:color="000001" w:sz="2" w:val="single"/>
              <w:bottom w:color="000001" w:sz="2" w:val="single"/>
            </w:tcBorders>
            <w:shd w:fill="auto" w:val="clear"/>
            <w:tcMar>
              <w:left w:type="dxa" w:w="75"/>
            </w:tcMar>
            <w:vAlign w:val="center"/>
          </w:tcPr>
          <w:p w14:paraId="D0000000">
            <w:pPr>
              <w:widowControl w:val="0"/>
              <w:spacing w:after="20" w:before="20"/>
              <w:ind w:firstLine="0" w:left="20" w:right="20"/>
              <w:jc w:val="right"/>
            </w:pPr>
            <w:r>
              <w:t>1</w:t>
            </w:r>
          </w:p>
        </w:tc>
        <w:tc>
          <w:tcPr>
            <w:tcW w:type="dxa" w:w="1212"/>
            <w:tcBorders>
              <w:top w:color="000001" w:sz="2" w:val="single"/>
              <w:left w:color="000001" w:sz="2" w:val="single"/>
              <w:bottom w:color="000001" w:sz="2" w:val="single"/>
            </w:tcBorders>
            <w:shd w:fill="auto" w:val="clear"/>
            <w:tcMar>
              <w:left w:type="dxa" w:w="75"/>
            </w:tcMar>
            <w:vAlign w:val="center"/>
          </w:tcPr>
          <w:p/>
        </w:tc>
        <w:tc>
          <w:tcPr>
            <w:tcW w:type="dxa" w:w="1560"/>
            <w:tcBorders>
              <w:top w:color="000001" w:sz="2" w:val="single"/>
              <w:left w:color="000001" w:sz="2" w:val="single"/>
              <w:bottom w:color="000001" w:sz="2" w:val="single"/>
              <w:right w:color="000001" w:sz="2" w:val="single"/>
            </w:tcBorders>
            <w:shd w:fill="auto" w:val="clear"/>
            <w:tcMar>
              <w:left w:type="dxa" w:w="75"/>
            </w:tcMar>
            <w:vAlign w:val="center"/>
          </w:tcPr>
          <w:p/>
        </w:tc>
        <w:tc>
          <w:tcPr>
            <w:tcW w:type="dxa" w:w="1417"/>
            <w:tcBorders>
              <w:top w:color="000001" w:sz="2" w:val="single"/>
              <w:left w:color="000001" w:sz="2" w:val="single"/>
              <w:bottom w:color="000001" w:sz="2" w:val="single"/>
              <w:right w:color="000001" w:sz="2" w:val="single"/>
            </w:tcBorders>
            <w:tcMar>
              <w:left w:type="dxa" w:w="75"/>
            </w:tcMar>
            <w:vAlign w:val="center"/>
          </w:tcPr>
          <w:p/>
        </w:tc>
      </w:tr>
      <w:tr>
        <w:tc>
          <w:tcPr>
            <w:tcW w:type="dxa" w:w="709"/>
            <w:tcBorders>
              <w:top w:color="000001" w:sz="2" w:val="single"/>
              <w:left w:color="000001" w:sz="2" w:val="single"/>
              <w:bottom w:color="000001" w:sz="2" w:val="single"/>
            </w:tcBorders>
            <w:shd w:fill="auto" w:val="clear"/>
            <w:tcMar>
              <w:left w:type="dxa" w:w="75"/>
            </w:tcMar>
            <w:vAlign w:val="center"/>
          </w:tcPr>
          <w:p w14:paraId="D1000000">
            <w:pPr>
              <w:widowControl w:val="0"/>
              <w:spacing w:after="20" w:before="20"/>
              <w:ind w:firstLine="0" w:left="20" w:right="20"/>
              <w:jc w:val="right"/>
            </w:pPr>
            <w:r>
              <w:rPr>
                <w:color w:val="000000"/>
              </w:rPr>
              <w:t>6</w:t>
            </w:r>
          </w:p>
        </w:tc>
        <w:tc>
          <w:tcPr>
            <w:tcW w:type="dxa" w:w="3749"/>
            <w:tcBorders>
              <w:top w:color="000001" w:sz="2" w:val="single"/>
              <w:left w:color="000001" w:sz="2" w:val="single"/>
              <w:bottom w:color="000001" w:sz="2" w:val="single"/>
            </w:tcBorders>
            <w:shd w:fill="auto" w:val="clear"/>
            <w:tcMar>
              <w:left w:type="dxa" w:w="75"/>
            </w:tcMar>
            <w:vAlign w:val="center"/>
          </w:tcPr>
          <w:p w14:paraId="D2000000">
            <w:pPr>
              <w:widowControl w:val="0"/>
              <w:spacing w:after="20" w:before="20"/>
              <w:ind w:firstLine="0" w:left="20" w:right="20"/>
            </w:pPr>
            <w:r>
              <w:rPr>
                <w:color w:val="000000"/>
              </w:rPr>
              <w:t xml:space="preserve">Право на использование ПО "Средство защиты информации </w:t>
            </w:r>
            <w:r>
              <w:rPr>
                <w:color w:val="000000"/>
              </w:rPr>
              <w:t>Secret</w:t>
            </w:r>
            <w:r>
              <w:rPr>
                <w:color w:val="000000"/>
              </w:rPr>
              <w:t xml:space="preserve"> </w:t>
            </w:r>
            <w:r>
              <w:rPr>
                <w:color w:val="000000"/>
              </w:rPr>
              <w:t>Net</w:t>
            </w:r>
            <w:r>
              <w:rPr>
                <w:color w:val="000000"/>
              </w:rPr>
              <w:t xml:space="preserve"> </w:t>
            </w:r>
            <w:r>
              <w:rPr>
                <w:color w:val="000000"/>
              </w:rPr>
              <w:t>Studio</w:t>
            </w:r>
            <w:r>
              <w:rPr>
                <w:color w:val="000000"/>
              </w:rPr>
              <w:t>".  Постоянная защита (сеть ROGOV)</w:t>
            </w:r>
          </w:p>
        </w:tc>
        <w:tc>
          <w:tcPr>
            <w:tcW w:type="dxa" w:w="850"/>
            <w:tcBorders>
              <w:top w:color="000001" w:sz="2" w:val="single"/>
              <w:left w:color="000001" w:sz="2" w:val="single"/>
              <w:bottom w:color="000001" w:sz="2" w:val="single"/>
            </w:tcBorders>
            <w:shd w:fill="auto" w:val="clear"/>
            <w:tcMar>
              <w:left w:type="dxa" w:w="75"/>
            </w:tcMar>
            <w:vAlign w:val="center"/>
          </w:tcPr>
          <w:p w14:paraId="D3000000">
            <w:pPr>
              <w:widowControl w:val="0"/>
              <w:spacing w:after="20" w:before="20"/>
              <w:ind w:firstLine="0" w:left="20" w:right="20"/>
              <w:jc w:val="right"/>
            </w:pPr>
            <w:r>
              <w:t>1</w:t>
            </w:r>
          </w:p>
        </w:tc>
        <w:tc>
          <w:tcPr>
            <w:tcW w:type="dxa" w:w="1212"/>
            <w:tcBorders>
              <w:top w:color="000001" w:sz="2" w:val="single"/>
              <w:left w:color="000001" w:sz="2" w:val="single"/>
              <w:bottom w:color="000001" w:sz="2" w:val="single"/>
            </w:tcBorders>
            <w:shd w:fill="auto" w:val="clear"/>
            <w:tcMar>
              <w:left w:type="dxa" w:w="75"/>
            </w:tcMar>
            <w:vAlign w:val="center"/>
          </w:tcPr>
          <w:p/>
        </w:tc>
        <w:tc>
          <w:tcPr>
            <w:tcW w:type="dxa" w:w="1560"/>
            <w:tcBorders>
              <w:top w:color="000001" w:sz="2" w:val="single"/>
              <w:left w:color="000001" w:sz="2" w:val="single"/>
              <w:bottom w:color="000001" w:sz="2" w:val="single"/>
              <w:right w:color="000001" w:sz="2" w:val="single"/>
            </w:tcBorders>
            <w:shd w:fill="auto" w:val="clear"/>
            <w:tcMar>
              <w:left w:type="dxa" w:w="75"/>
            </w:tcMar>
            <w:vAlign w:val="center"/>
          </w:tcPr>
          <w:p/>
        </w:tc>
        <w:tc>
          <w:tcPr>
            <w:tcW w:type="dxa" w:w="1417"/>
            <w:tcBorders>
              <w:top w:color="000001" w:sz="2" w:val="single"/>
              <w:left w:color="000001" w:sz="2" w:val="single"/>
              <w:bottom w:color="000001" w:sz="2" w:val="single"/>
              <w:right w:color="000001" w:sz="2" w:val="single"/>
            </w:tcBorders>
            <w:tcMar>
              <w:left w:type="dxa" w:w="75"/>
            </w:tcMar>
            <w:vAlign w:val="center"/>
          </w:tcPr>
          <w:p/>
        </w:tc>
      </w:tr>
      <w:tr>
        <w:tc>
          <w:tcPr>
            <w:tcW w:type="dxa" w:w="709"/>
            <w:tcBorders>
              <w:top w:color="000001" w:sz="2" w:val="single"/>
              <w:left w:color="000001" w:sz="2" w:val="single"/>
              <w:bottom w:color="000001" w:sz="2" w:val="single"/>
            </w:tcBorders>
            <w:shd w:fill="auto" w:val="clear"/>
            <w:tcMar>
              <w:left w:type="dxa" w:w="75"/>
            </w:tcMar>
            <w:vAlign w:val="center"/>
          </w:tcPr>
          <w:p w14:paraId="D4000000">
            <w:pPr>
              <w:widowControl w:val="0"/>
              <w:spacing w:after="20" w:before="20"/>
              <w:ind w:firstLine="0" w:left="20" w:right="20"/>
              <w:jc w:val="right"/>
            </w:pPr>
            <w:r>
              <w:rPr>
                <w:color w:val="000000"/>
              </w:rPr>
              <w:t>7</w:t>
            </w:r>
          </w:p>
        </w:tc>
        <w:tc>
          <w:tcPr>
            <w:tcW w:type="dxa" w:w="3749"/>
            <w:tcBorders>
              <w:top w:color="000001" w:sz="2" w:val="single"/>
              <w:left w:color="000001" w:sz="2" w:val="single"/>
              <w:bottom w:color="000001" w:sz="2" w:val="single"/>
            </w:tcBorders>
            <w:shd w:fill="auto" w:val="clear"/>
            <w:tcMar>
              <w:left w:type="dxa" w:w="75"/>
            </w:tcMar>
            <w:vAlign w:val="center"/>
          </w:tcPr>
          <w:p w14:paraId="D5000000">
            <w:pPr>
              <w:widowControl w:val="0"/>
              <w:spacing w:after="20" w:before="20"/>
              <w:ind w:firstLine="0" w:left="20" w:right="20"/>
            </w:pPr>
            <w:r>
              <w:rPr>
                <w:color w:val="000000"/>
              </w:rPr>
              <w:t xml:space="preserve">Установочный комплект. Сертифицированное Средство защиты информации </w:t>
            </w:r>
            <w:r>
              <w:rPr>
                <w:color w:val="000000"/>
              </w:rPr>
              <w:t>Secret</w:t>
            </w:r>
            <w:r>
              <w:rPr>
                <w:color w:val="000000"/>
              </w:rPr>
              <w:t xml:space="preserve"> </w:t>
            </w:r>
            <w:r>
              <w:rPr>
                <w:color w:val="000000"/>
              </w:rPr>
              <w:t>Net</w:t>
            </w:r>
            <w:r>
              <w:rPr>
                <w:color w:val="000000"/>
              </w:rPr>
              <w:t xml:space="preserve"> </w:t>
            </w:r>
            <w:r>
              <w:rPr>
                <w:color w:val="000000"/>
              </w:rPr>
              <w:t>Studio</w:t>
            </w:r>
            <w:r>
              <w:rPr>
                <w:color w:val="000000"/>
              </w:rPr>
              <w:t xml:space="preserve"> 8</w:t>
            </w:r>
          </w:p>
        </w:tc>
        <w:tc>
          <w:tcPr>
            <w:tcW w:type="dxa" w:w="850"/>
            <w:tcBorders>
              <w:top w:color="000001" w:sz="2" w:val="single"/>
              <w:left w:color="000001" w:sz="2" w:val="single"/>
              <w:bottom w:color="000001" w:sz="2" w:val="single"/>
            </w:tcBorders>
            <w:shd w:fill="auto" w:val="clear"/>
            <w:tcMar>
              <w:left w:type="dxa" w:w="75"/>
            </w:tcMar>
            <w:vAlign w:val="center"/>
          </w:tcPr>
          <w:p w14:paraId="D6000000">
            <w:pPr>
              <w:widowControl w:val="0"/>
              <w:spacing w:after="20" w:before="20"/>
              <w:ind w:firstLine="0" w:left="20" w:right="20"/>
              <w:jc w:val="right"/>
            </w:pPr>
            <w:r>
              <w:t>1</w:t>
            </w:r>
          </w:p>
        </w:tc>
        <w:tc>
          <w:tcPr>
            <w:tcW w:type="dxa" w:w="1212"/>
            <w:tcBorders>
              <w:top w:color="000001" w:sz="2" w:val="single"/>
              <w:left w:color="000001" w:sz="2" w:val="single"/>
              <w:bottom w:color="000001" w:sz="2" w:val="single"/>
            </w:tcBorders>
            <w:shd w:fill="auto" w:val="clear"/>
            <w:tcMar>
              <w:left w:type="dxa" w:w="75"/>
            </w:tcMar>
            <w:vAlign w:val="center"/>
          </w:tcPr>
          <w:p/>
        </w:tc>
        <w:tc>
          <w:tcPr>
            <w:tcW w:type="dxa" w:w="1560"/>
            <w:tcBorders>
              <w:top w:color="000001" w:sz="2" w:val="single"/>
              <w:left w:color="000001" w:sz="2" w:val="single"/>
              <w:bottom w:color="000001" w:sz="2" w:val="single"/>
              <w:right w:color="000001" w:sz="2" w:val="single"/>
            </w:tcBorders>
            <w:shd w:fill="auto" w:val="clear"/>
            <w:tcMar>
              <w:left w:type="dxa" w:w="75"/>
            </w:tcMar>
            <w:vAlign w:val="center"/>
          </w:tcPr>
          <w:p/>
        </w:tc>
        <w:tc>
          <w:tcPr>
            <w:tcW w:type="dxa" w:w="1417"/>
            <w:tcBorders>
              <w:top w:color="000001" w:sz="2" w:val="single"/>
              <w:left w:color="000001" w:sz="2" w:val="single"/>
              <w:bottom w:color="000001" w:sz="2" w:val="single"/>
              <w:right w:color="000001" w:sz="2" w:val="single"/>
            </w:tcBorders>
            <w:tcMar>
              <w:left w:type="dxa" w:w="75"/>
            </w:tcMar>
            <w:vAlign w:val="center"/>
          </w:tcPr>
          <w:p/>
        </w:tc>
      </w:tr>
      <w:tr>
        <w:tc>
          <w:tcPr>
            <w:tcW w:type="dxa" w:w="8080"/>
            <w:gridSpan w:val="5"/>
            <w:tcBorders>
              <w:top w:color="000001" w:sz="2" w:val="single"/>
              <w:left w:color="000001" w:sz="2" w:val="single"/>
              <w:bottom w:color="000001" w:sz="2" w:val="single"/>
              <w:right w:color="000001" w:sz="2" w:val="single"/>
            </w:tcBorders>
            <w:shd w:fill="auto" w:val="clear"/>
            <w:tcMar>
              <w:left w:type="dxa" w:w="75"/>
            </w:tcMar>
            <w:vAlign w:val="center"/>
          </w:tcPr>
          <w:p w14:paraId="D7000000">
            <w:pPr>
              <w:ind/>
              <w:jc w:val="right"/>
              <w:rPr>
                <w:b w:val="1"/>
                <w:color w:val="000000"/>
                <w:sz w:val="22"/>
              </w:rPr>
            </w:pPr>
            <w:r>
              <w:rPr>
                <w:b w:val="1"/>
                <w:color w:val="000000"/>
                <w:sz w:val="22"/>
              </w:rPr>
              <w:t>ИТОГО, руб.</w:t>
            </w:r>
          </w:p>
        </w:tc>
        <w:tc>
          <w:tcPr>
            <w:tcW w:type="dxa" w:w="1417"/>
            <w:tcBorders>
              <w:top w:color="000001" w:sz="2" w:val="single"/>
              <w:left w:color="000001" w:sz="2" w:val="single"/>
              <w:bottom w:color="000001" w:sz="2" w:val="single"/>
              <w:right w:color="000001" w:sz="2" w:val="single"/>
            </w:tcBorders>
            <w:tcMar>
              <w:left w:type="dxa" w:w="75"/>
            </w:tcMar>
            <w:vAlign w:val="center"/>
          </w:tcPr>
          <w:p/>
        </w:tc>
      </w:tr>
      <w:tr>
        <w:tc>
          <w:tcPr>
            <w:tcW w:type="dxa" w:w="8080"/>
            <w:gridSpan w:val="5"/>
            <w:tcBorders>
              <w:top w:color="000001" w:sz="2" w:val="single"/>
              <w:left w:color="000001" w:sz="2" w:val="single"/>
              <w:bottom w:color="000001" w:sz="2" w:val="single"/>
              <w:right w:color="000001" w:sz="2" w:val="single"/>
            </w:tcBorders>
            <w:shd w:fill="auto" w:val="clear"/>
            <w:tcMar>
              <w:left w:type="dxa" w:w="75"/>
            </w:tcMar>
            <w:vAlign w:val="center"/>
          </w:tcPr>
          <w:p w14:paraId="D8000000">
            <w:pPr>
              <w:ind/>
              <w:jc w:val="right"/>
              <w:rPr>
                <w:b w:val="1"/>
                <w:color w:val="000000"/>
                <w:sz w:val="22"/>
              </w:rPr>
            </w:pPr>
            <w:r>
              <w:rPr>
                <w:b w:val="1"/>
                <w:color w:val="000000"/>
                <w:sz w:val="22"/>
              </w:rPr>
              <w:t>В том числе НДС, руб.</w:t>
            </w:r>
          </w:p>
        </w:tc>
        <w:tc>
          <w:tcPr>
            <w:tcW w:type="dxa" w:w="1417"/>
            <w:tcBorders>
              <w:top w:color="000001" w:sz="2" w:val="single"/>
              <w:left w:color="000001" w:sz="2" w:val="single"/>
              <w:bottom w:color="000001" w:sz="2" w:val="single"/>
              <w:right w:color="000001" w:sz="2" w:val="single"/>
            </w:tcBorders>
            <w:tcMar>
              <w:left w:type="dxa" w:w="75"/>
            </w:tcMar>
            <w:vAlign w:val="center"/>
          </w:tcPr>
          <w:p/>
        </w:tc>
      </w:tr>
    </w:tbl>
    <w:p w14:paraId="D9000000">
      <w:pPr>
        <w:widowControl w:val="0"/>
        <w:ind/>
        <w:jc w:val="both"/>
        <w:rPr>
          <w:b w:val="1"/>
          <w:sz w:val="22"/>
        </w:rPr>
      </w:pPr>
    </w:p>
    <w:p w14:paraId="DA000000">
      <w:pPr>
        <w:widowControl w:val="0"/>
        <w:ind w:firstLine="540" w:left="0"/>
        <w:jc w:val="both"/>
        <w:rPr>
          <w:b w:val="1"/>
          <w:sz w:val="22"/>
        </w:rPr>
      </w:pPr>
    </w:p>
    <w:tbl>
      <w:tblPr>
        <w:tblStyle w:val="Style_8"/>
        <w:tblW w:type="auto" w:w="0"/>
        <w:tblLayout w:type="fixed"/>
      </w:tblPr>
      <w:tblGrid>
        <w:gridCol w:w="4962"/>
        <w:gridCol w:w="4677"/>
      </w:tblGrid>
      <w:tr>
        <w:trPr>
          <w:trHeight w:hRule="atLeast" w:val="558"/>
        </w:trPr>
        <w:tc>
          <w:tcPr>
            <w:tcW w:type="dxa" w:w="4962"/>
          </w:tcPr>
          <w:p w14:paraId="DB000000">
            <w:pPr>
              <w:ind/>
              <w:jc w:val="center"/>
              <w:rPr>
                <w:b w:val="1"/>
                <w:sz w:val="22"/>
              </w:rPr>
            </w:pPr>
            <w:r>
              <w:rPr>
                <w:b w:val="1"/>
                <w:sz w:val="22"/>
              </w:rPr>
              <w:t>ЗАКАЗЧИК</w:t>
            </w:r>
          </w:p>
        </w:tc>
        <w:tc>
          <w:tcPr>
            <w:tcW w:type="dxa" w:w="4677"/>
          </w:tcPr>
          <w:p w14:paraId="DC000000">
            <w:pPr>
              <w:ind w:firstLine="0" w:left="13"/>
              <w:jc w:val="center"/>
              <w:rPr>
                <w:b w:val="1"/>
                <w:sz w:val="22"/>
              </w:rPr>
            </w:pPr>
            <w:r>
              <w:rPr>
                <w:b w:val="1"/>
                <w:sz w:val="22"/>
              </w:rPr>
              <w:t>ИСПОЛНИТЕЛЬ</w:t>
            </w:r>
          </w:p>
        </w:tc>
      </w:tr>
      <w:tr>
        <w:trPr>
          <w:trHeight w:hRule="atLeast" w:val="363"/>
        </w:trPr>
        <w:tc>
          <w:tcPr>
            <w:tcW w:type="dxa" w:w="4962"/>
          </w:tcPr>
          <w:p w14:paraId="DD000000">
            <w:pPr>
              <w:spacing w:after="0"/>
              <w:ind/>
              <w:jc w:val="left"/>
              <w:rPr>
                <w:b w:val="1"/>
                <w:color w:val="000000"/>
                <w:sz w:val="20"/>
              </w:rPr>
            </w:pPr>
            <w:r>
              <w:rPr>
                <w:b w:val="1"/>
                <w:color w:val="000000"/>
                <w:sz w:val="20"/>
              </w:rPr>
              <w:t>И.о</w:t>
            </w:r>
            <w:r>
              <w:rPr>
                <w:b w:val="1"/>
                <w:color w:val="000000"/>
                <w:sz w:val="20"/>
              </w:rPr>
              <w:t xml:space="preserve">. ректора ФГБОУ ВО </w:t>
            </w:r>
            <w:r>
              <w:rPr>
                <w:b w:val="1"/>
                <w:color w:val="000000"/>
                <w:sz w:val="20"/>
              </w:rPr>
              <w:t>РостГМУ</w:t>
            </w:r>
            <w:r>
              <w:rPr>
                <w:b w:val="1"/>
                <w:color w:val="000000"/>
                <w:sz w:val="20"/>
              </w:rPr>
              <w:t xml:space="preserve"> </w:t>
            </w:r>
          </w:p>
          <w:p w14:paraId="DE000000">
            <w:pPr>
              <w:spacing w:after="0"/>
              <w:ind/>
              <w:jc w:val="left"/>
              <w:rPr>
                <w:b w:val="1"/>
                <w:color w:val="000000"/>
                <w:sz w:val="20"/>
              </w:rPr>
            </w:pPr>
            <w:r>
              <w:rPr>
                <w:b w:val="1"/>
                <w:color w:val="000000"/>
                <w:sz w:val="20"/>
              </w:rPr>
              <w:t>Минздрава России</w:t>
            </w:r>
          </w:p>
          <w:p w14:paraId="DF000000">
            <w:pPr>
              <w:spacing w:after="0"/>
              <w:ind/>
              <w:jc w:val="left"/>
              <w:rPr>
                <w:color w:val="000000"/>
                <w:sz w:val="20"/>
              </w:rPr>
            </w:pPr>
          </w:p>
          <w:p w14:paraId="E0000000">
            <w:pPr>
              <w:spacing w:after="0"/>
              <w:ind/>
              <w:rPr>
                <w:color w:val="000000"/>
                <w:sz w:val="20"/>
              </w:rPr>
            </w:pPr>
            <w:r>
              <w:rPr>
                <w:color w:val="000000"/>
                <w:sz w:val="20"/>
              </w:rPr>
              <w:t>__________________</w:t>
            </w:r>
            <w:r>
              <w:rPr>
                <w:b w:val="1"/>
                <w:color w:val="000000"/>
                <w:sz w:val="20"/>
              </w:rPr>
              <w:t xml:space="preserve"> /</w:t>
            </w:r>
            <w:r>
              <w:rPr>
                <w:b w:val="1"/>
                <w:color w:val="000000"/>
                <w:sz w:val="20"/>
              </w:rPr>
              <w:t>М.А.Шишов/</w:t>
            </w:r>
          </w:p>
          <w:p w14:paraId="E1000000">
            <w:r>
              <w:rPr>
                <w:b w:val="1"/>
                <w:color w:val="000000"/>
                <w:sz w:val="20"/>
              </w:rPr>
              <w:t>э.ц.п.</w:t>
            </w:r>
          </w:p>
        </w:tc>
        <w:tc>
          <w:tcPr>
            <w:tcW w:type="dxa" w:w="4677"/>
          </w:tcPr>
          <w:p w14:paraId="E2000000">
            <w:pPr>
              <w:ind/>
              <w:jc w:val="center"/>
              <w:rPr>
                <w:sz w:val="22"/>
              </w:rPr>
            </w:pPr>
          </w:p>
          <w:p w14:paraId="E3000000">
            <w:pPr>
              <w:ind/>
              <w:jc w:val="center"/>
              <w:rPr>
                <w:sz w:val="22"/>
              </w:rPr>
            </w:pPr>
          </w:p>
          <w:p w14:paraId="E4000000">
            <w:pPr>
              <w:ind/>
              <w:jc w:val="center"/>
              <w:rPr>
                <w:sz w:val="22"/>
              </w:rPr>
            </w:pPr>
          </w:p>
          <w:p w14:paraId="E5000000">
            <w:pPr>
              <w:ind/>
              <w:jc w:val="center"/>
              <w:rPr>
                <w:sz w:val="22"/>
              </w:rPr>
            </w:pPr>
          </w:p>
          <w:p w14:paraId="E6000000">
            <w:pPr>
              <w:spacing w:after="0"/>
              <w:ind/>
              <w:rPr>
                <w:color w:val="000000"/>
                <w:sz w:val="20"/>
              </w:rPr>
            </w:pPr>
            <w:r>
              <w:rPr>
                <w:color w:val="000000"/>
                <w:sz w:val="20"/>
              </w:rPr>
              <w:t>__________________</w:t>
            </w:r>
            <w:r>
              <w:rPr>
                <w:b w:val="1"/>
                <w:color w:val="000000"/>
                <w:sz w:val="20"/>
              </w:rPr>
              <w:t xml:space="preserve"> /___________</w:t>
            </w:r>
            <w:r>
              <w:rPr>
                <w:b w:val="1"/>
                <w:color w:val="000000"/>
                <w:sz w:val="20"/>
              </w:rPr>
              <w:t>/</w:t>
            </w:r>
          </w:p>
          <w:p w14:paraId="E7000000">
            <w:r>
              <w:rPr>
                <w:b w:val="1"/>
                <w:color w:val="000000"/>
                <w:sz w:val="20"/>
              </w:rPr>
              <w:t>э.ц.п.</w:t>
            </w:r>
          </w:p>
        </w:tc>
      </w:tr>
    </w:tbl>
    <w:p w14:paraId="E8000000">
      <w:pPr>
        <w:sectPr>
          <w:headerReference r:id="rId1" w:type="default"/>
          <w:pgSz w:h="16838" w:orient="portrait" w:w="11906"/>
          <w:pgMar w:bottom="705" w:footer="0" w:gutter="0" w:header="709" w:left="1418" w:right="566" w:top="567"/>
          <w:titlePg/>
        </w:sectPr>
      </w:pPr>
    </w:p>
    <w:p w14:paraId="E9000000">
      <w:pPr>
        <w:pStyle w:val="Style_10"/>
        <w:ind w:firstLine="0" w:left="5760" w:right="-5"/>
        <w:jc w:val="right"/>
        <w:rPr>
          <w:rFonts w:ascii="Times New Roman" w:hAnsi="Times New Roman"/>
          <w:b w:val="0"/>
          <w:spacing w:val="-1"/>
          <w:sz w:val="22"/>
        </w:rPr>
      </w:pPr>
      <w:r>
        <w:rPr>
          <w:rFonts w:ascii="Times New Roman" w:hAnsi="Times New Roman"/>
          <w:b w:val="0"/>
          <w:spacing w:val="-1"/>
          <w:sz w:val="22"/>
        </w:rPr>
        <w:t>Приложение № 2</w:t>
      </w:r>
    </w:p>
    <w:p w14:paraId="EA000000">
      <w:pPr>
        <w:widowControl w:val="0"/>
        <w:ind w:firstLine="0" w:left="6237"/>
        <w:jc w:val="right"/>
        <w:rPr>
          <w:sz w:val="22"/>
        </w:rPr>
      </w:pPr>
      <w:r>
        <w:rPr>
          <w:sz w:val="22"/>
        </w:rPr>
        <w:t xml:space="preserve">    </w:t>
      </w:r>
      <w:r>
        <w:rPr>
          <w:sz w:val="22"/>
        </w:rPr>
        <w:t xml:space="preserve">к </w:t>
      </w:r>
      <w:r>
        <w:rPr>
          <w:sz w:val="22"/>
        </w:rPr>
        <w:t>Контракт</w:t>
      </w:r>
      <w:r>
        <w:rPr>
          <w:sz w:val="22"/>
        </w:rPr>
        <w:t>у №</w:t>
      </w:r>
      <w:r>
        <w:rPr>
          <w:sz w:val="22"/>
        </w:rPr>
        <w:t xml:space="preserve"> </w:t>
      </w:r>
      <w:r>
        <w:rPr>
          <w:sz w:val="22"/>
        </w:rPr>
        <w:t>РГМУ</w:t>
      </w:r>
      <w:r>
        <w:rPr>
          <w:sz w:val="22"/>
        </w:rPr>
        <w:t xml:space="preserve"> </w:t>
      </w:r>
      <w:r>
        <w:rPr>
          <w:sz w:val="22"/>
        </w:rPr>
        <w:t>33544</w:t>
      </w:r>
    </w:p>
    <w:p w14:paraId="EB000000">
      <w:pPr>
        <w:widowControl w:val="0"/>
        <w:ind w:firstLine="0" w:left="6237"/>
        <w:jc w:val="right"/>
        <w:rPr>
          <w:sz w:val="22"/>
        </w:rPr>
      </w:pPr>
      <w:r>
        <w:rPr>
          <w:sz w:val="22"/>
        </w:rPr>
        <w:t xml:space="preserve">от </w:t>
      </w:r>
      <w:r>
        <w:rPr>
          <w:color w:val="000000"/>
          <w:sz w:val="22"/>
        </w:rPr>
        <w:t>«__</w:t>
      </w:r>
      <w:r>
        <w:rPr>
          <w:color w:val="000000"/>
          <w:sz w:val="22"/>
        </w:rPr>
        <w:t>_»_</w:t>
      </w:r>
      <w:r>
        <w:rPr>
          <w:color w:val="000000"/>
          <w:sz w:val="22"/>
        </w:rPr>
        <w:t>_______</w:t>
      </w:r>
      <w:r>
        <w:rPr>
          <w:color w:val="000000"/>
          <w:sz w:val="22"/>
        </w:rPr>
        <w:t xml:space="preserve">2026 </w:t>
      </w:r>
      <w:r>
        <w:rPr>
          <w:color w:val="000000"/>
          <w:sz w:val="22"/>
        </w:rPr>
        <w:t>г.</w:t>
      </w:r>
    </w:p>
    <w:p w14:paraId="EC000000">
      <w:pPr>
        <w:widowControl w:val="0"/>
        <w:ind w:firstLine="0" w:left="6237"/>
        <w:jc w:val="right"/>
        <w:rPr>
          <w:sz w:val="22"/>
        </w:rPr>
      </w:pPr>
    </w:p>
    <w:p w14:paraId="ED000000">
      <w:pPr>
        <w:pStyle w:val="Style_11"/>
        <w:spacing w:before="0"/>
        <w:ind w:firstLine="0" w:left="567"/>
        <w:jc w:val="center"/>
        <w:outlineLvl w:val="0"/>
        <w:rPr>
          <w:rFonts w:ascii="Times New Roman" w:hAnsi="Times New Roman"/>
          <w:sz w:val="22"/>
        </w:rPr>
      </w:pPr>
      <w:r>
        <w:rPr>
          <w:rFonts w:ascii="Times New Roman" w:hAnsi="Times New Roman"/>
          <w:sz w:val="22"/>
        </w:rPr>
        <w:t>ОБЪЁМ ТЕХНИЧЕСКОЙ ПОДДЕРЖКИ</w:t>
      </w:r>
    </w:p>
    <w:p w14:paraId="EE000000">
      <w:pPr>
        <w:pStyle w:val="Style_11"/>
        <w:spacing w:before="0"/>
        <w:ind/>
        <w:outlineLvl w:val="0"/>
        <w:rPr>
          <w:rFonts w:ascii="Times New Roman" w:hAnsi="Times New Roman"/>
          <w:sz w:val="22"/>
        </w:rPr>
      </w:pPr>
    </w:p>
    <w:p w14:paraId="EF000000">
      <w:pPr>
        <w:rPr>
          <w:b w:val="1"/>
          <w:sz w:val="22"/>
        </w:rPr>
      </w:pPr>
      <w:r>
        <w:rPr>
          <w:b w:val="1"/>
          <w:sz w:val="22"/>
        </w:rPr>
        <w:t>Термины и определения.</w:t>
      </w:r>
    </w:p>
    <w:p w14:paraId="F0000000">
      <w:pPr>
        <w:ind/>
        <w:jc w:val="both"/>
        <w:rPr>
          <w:sz w:val="22"/>
        </w:rPr>
      </w:pPr>
      <w:r>
        <w:rPr>
          <w:sz w:val="22"/>
        </w:rPr>
        <w:t>Продукт — программное или программно-аппаратное изделие.</w:t>
      </w:r>
    </w:p>
    <w:p w14:paraId="F1000000">
      <w:pPr>
        <w:ind/>
        <w:jc w:val="both"/>
        <w:rPr>
          <w:sz w:val="22"/>
        </w:rPr>
      </w:pPr>
    </w:p>
    <w:p w14:paraId="F2000000">
      <w:pPr>
        <w:ind/>
        <w:jc w:val="both"/>
        <w:rPr>
          <w:sz w:val="22"/>
        </w:rPr>
      </w:pPr>
      <w:r>
        <w:rPr>
          <w:sz w:val="22"/>
        </w:rPr>
        <w:t>Пользователь — юридическое лицо, использующее или планирующее использовать Продукты.</w:t>
      </w:r>
    </w:p>
    <w:p w14:paraId="F3000000">
      <w:pPr>
        <w:ind/>
        <w:jc w:val="both"/>
        <w:rPr>
          <w:sz w:val="22"/>
        </w:rPr>
      </w:pPr>
    </w:p>
    <w:p w14:paraId="F4000000">
      <w:pPr>
        <w:ind/>
        <w:jc w:val="both"/>
        <w:rPr>
          <w:sz w:val="22"/>
        </w:rPr>
      </w:pPr>
      <w:r>
        <w:rPr>
          <w:sz w:val="22"/>
        </w:rPr>
        <w:t>Актуальная версия продукта — поколение Продукта, поддерживаемое в настоящее время производителем. Для данной версии Продукта выпускаются обновления, проводятся доработки и исправления найденных дефектов. Данная версия Продукта рекомендована к использованию и распространению.</w:t>
      </w:r>
    </w:p>
    <w:p w14:paraId="F5000000">
      <w:pPr>
        <w:ind/>
        <w:jc w:val="both"/>
        <w:rPr>
          <w:sz w:val="22"/>
        </w:rPr>
      </w:pPr>
      <w:r>
        <w:rPr>
          <w:sz w:val="22"/>
        </w:rPr>
        <w:t>Неактуальная версия продукта — поколение Продукта, снятое с поддержки производителя. Доработки, выпуск обновлений и исправление дефектов для данных продуктов не производятся.</w:t>
      </w:r>
    </w:p>
    <w:p w14:paraId="F6000000">
      <w:pPr>
        <w:ind/>
        <w:jc w:val="both"/>
        <w:rPr>
          <w:sz w:val="22"/>
        </w:rPr>
      </w:pPr>
      <w:r>
        <w:rPr>
          <w:sz w:val="22"/>
        </w:rPr>
        <w:t>Сертификат технической поддержки — документ, оформленный в электронном или бумажном виде, содержащий информацию о полном названии организации Пользователя, уникальном идентификационном номере сертификата, полном списке Продуктов с указанием версий, на которые распространяется данный Сертификат технической поддержки, и подтверждающий право Пользователя на получение услуг технической поддержки в течение срока, указанного в сертификате, в объемах и в зависимости от выбранной схемы технической поддержки.</w:t>
      </w:r>
    </w:p>
    <w:p w14:paraId="F7000000">
      <w:pPr>
        <w:ind/>
        <w:jc w:val="both"/>
        <w:rPr>
          <w:sz w:val="22"/>
        </w:rPr>
      </w:pPr>
    </w:p>
    <w:p w14:paraId="F8000000">
      <w:pPr>
        <w:ind/>
        <w:jc w:val="both"/>
        <w:rPr>
          <w:sz w:val="22"/>
        </w:rPr>
      </w:pPr>
      <w:r>
        <w:rPr>
          <w:sz w:val="22"/>
        </w:rPr>
        <w:t>Схемы (варианты) технической поддержки — набор услуг, направленных на оказание помощи Пользователям Продуктов.</w:t>
      </w:r>
    </w:p>
    <w:p w14:paraId="F9000000">
      <w:pPr>
        <w:pStyle w:val="Style_11"/>
        <w:spacing w:before="0"/>
        <w:ind/>
        <w:outlineLvl w:val="0"/>
        <w:rPr>
          <w:rFonts w:ascii="Times New Roman" w:hAnsi="Times New Roman"/>
          <w:sz w:val="22"/>
        </w:rPr>
      </w:pPr>
    </w:p>
    <w:p w14:paraId="FA000000">
      <w:pPr>
        <w:pStyle w:val="Style_11"/>
        <w:spacing w:before="0"/>
        <w:ind/>
        <w:jc w:val="center"/>
        <w:outlineLvl w:val="0"/>
        <w:rPr>
          <w:rFonts w:ascii="Times New Roman" w:hAnsi="Times New Roman"/>
          <w:sz w:val="22"/>
        </w:rPr>
      </w:pPr>
    </w:p>
    <w:tbl>
      <w:tblPr>
        <w:tblStyle w:val="Style_8"/>
        <w:tblW w:type="auto" w:w="0"/>
        <w:tblInd w:type="dxa" w:w="-5"/>
        <w:tblLayout w:type="fixed"/>
      </w:tblPr>
      <w:tblGrid>
        <w:gridCol w:w="630"/>
        <w:gridCol w:w="2887"/>
        <w:gridCol w:w="6689"/>
      </w:tblGrid>
      <w:tr>
        <w:tc>
          <w:tcPr>
            <w:tcW w:type="dxa" w:w="630"/>
            <w:tcBorders>
              <w:top w:color="000000" w:sz="4" w:val="single"/>
              <w:left w:color="000000" w:sz="4" w:val="single"/>
              <w:bottom w:color="000000" w:sz="4" w:val="single"/>
              <w:right w:color="000000" w:sz="4" w:val="single"/>
            </w:tcBorders>
          </w:tcPr>
          <w:p w14:paraId="FB000000">
            <w:pPr>
              <w:pStyle w:val="Style_11"/>
              <w:spacing w:before="0"/>
              <w:ind/>
              <w:outlineLvl w:val="0"/>
              <w:rPr>
                <w:rFonts w:ascii="Times New Roman" w:hAnsi="Times New Roman"/>
                <w:sz w:val="22"/>
              </w:rPr>
            </w:pPr>
            <w:r>
              <w:rPr>
                <w:rFonts w:ascii="Times New Roman" w:hAnsi="Times New Roman"/>
                <w:sz w:val="22"/>
              </w:rPr>
              <w:t>№</w:t>
            </w:r>
          </w:p>
        </w:tc>
        <w:tc>
          <w:tcPr>
            <w:tcW w:type="dxa" w:w="2887"/>
            <w:tcBorders>
              <w:top w:color="000000" w:sz="4" w:val="single"/>
              <w:left w:color="000000" w:sz="4" w:val="single"/>
              <w:bottom w:color="000000" w:sz="4" w:val="single"/>
              <w:right w:color="000000" w:sz="4" w:val="single"/>
            </w:tcBorders>
          </w:tcPr>
          <w:p w14:paraId="FC000000">
            <w:pPr>
              <w:pStyle w:val="Style_11"/>
              <w:spacing w:before="0"/>
              <w:ind/>
              <w:jc w:val="center"/>
              <w:outlineLvl w:val="0"/>
              <w:rPr>
                <w:rFonts w:ascii="Times New Roman" w:hAnsi="Times New Roman"/>
                <w:sz w:val="22"/>
              </w:rPr>
            </w:pPr>
            <w:r>
              <w:rPr>
                <w:rFonts w:ascii="Times New Roman" w:hAnsi="Times New Roman"/>
                <w:sz w:val="22"/>
              </w:rPr>
              <w:t>Наименование услуги</w:t>
            </w:r>
          </w:p>
        </w:tc>
        <w:tc>
          <w:tcPr>
            <w:tcW w:type="dxa" w:w="6689"/>
            <w:tcBorders>
              <w:top w:color="000000" w:sz="4" w:val="single"/>
              <w:left w:color="000000" w:sz="4" w:val="single"/>
              <w:bottom w:color="000000" w:sz="4" w:val="single"/>
              <w:right w:color="000000" w:sz="4" w:val="single"/>
            </w:tcBorders>
          </w:tcPr>
          <w:p w14:paraId="FD000000">
            <w:pPr>
              <w:pStyle w:val="Style_11"/>
              <w:spacing w:before="0"/>
              <w:ind/>
              <w:jc w:val="center"/>
              <w:outlineLvl w:val="0"/>
              <w:rPr>
                <w:rFonts w:ascii="Times New Roman" w:hAnsi="Times New Roman"/>
                <w:sz w:val="22"/>
              </w:rPr>
            </w:pPr>
            <w:r>
              <w:rPr>
                <w:rFonts w:ascii="Times New Roman" w:hAnsi="Times New Roman"/>
                <w:sz w:val="22"/>
              </w:rPr>
              <w:t>Описание</w:t>
            </w:r>
          </w:p>
        </w:tc>
      </w:tr>
      <w:tr>
        <w:tc>
          <w:tcPr>
            <w:tcW w:type="dxa" w:w="630"/>
            <w:tcBorders>
              <w:top w:color="000000" w:sz="4" w:val="single"/>
              <w:left w:color="000000" w:sz="4" w:val="single"/>
              <w:bottom w:color="000000" w:sz="4" w:val="single"/>
              <w:right w:color="000000" w:sz="4" w:val="single"/>
            </w:tcBorders>
          </w:tcPr>
          <w:p w14:paraId="FE000000">
            <w:pPr>
              <w:pStyle w:val="Style_11"/>
              <w:spacing w:before="0"/>
              <w:ind/>
              <w:outlineLvl w:val="0"/>
              <w:rPr>
                <w:rFonts w:ascii="Times New Roman" w:hAnsi="Times New Roman"/>
                <w:sz w:val="22"/>
              </w:rPr>
            </w:pPr>
            <w:r>
              <w:rPr>
                <w:rFonts w:ascii="Times New Roman" w:hAnsi="Times New Roman"/>
                <w:sz w:val="22"/>
              </w:rPr>
              <w:t>1.</w:t>
            </w:r>
          </w:p>
        </w:tc>
        <w:tc>
          <w:tcPr>
            <w:tcW w:type="dxa" w:w="2887"/>
            <w:tcBorders>
              <w:top w:color="000000" w:sz="4" w:val="single"/>
              <w:left w:color="000000" w:sz="4" w:val="single"/>
              <w:bottom w:color="000000" w:sz="4" w:val="single"/>
              <w:right w:color="000000" w:sz="4" w:val="single"/>
            </w:tcBorders>
          </w:tcPr>
          <w:p w14:paraId="FF000000">
            <w:pPr>
              <w:pStyle w:val="Style_11"/>
              <w:spacing w:before="0"/>
              <w:ind/>
              <w:outlineLvl w:val="0"/>
              <w:rPr>
                <w:rFonts w:ascii="Times New Roman" w:hAnsi="Times New Roman"/>
                <w:sz w:val="22"/>
              </w:rPr>
            </w:pPr>
            <w:r>
              <w:rPr>
                <w:rFonts w:ascii="Times New Roman" w:hAnsi="Times New Roman"/>
                <w:sz w:val="22"/>
              </w:rPr>
              <w:t>Время и способ приема сообщений</w:t>
            </w:r>
          </w:p>
        </w:tc>
        <w:tc>
          <w:tcPr>
            <w:tcW w:type="dxa" w:w="6689"/>
            <w:tcBorders>
              <w:top w:color="000000" w:sz="4" w:val="single"/>
              <w:left w:color="000000" w:sz="4" w:val="single"/>
              <w:bottom w:color="000000" w:sz="4" w:val="single"/>
              <w:right w:color="000000" w:sz="4" w:val="single"/>
            </w:tcBorders>
          </w:tcPr>
          <w:p w14:paraId="00010000">
            <w:pPr>
              <w:pStyle w:val="Style_11"/>
              <w:spacing w:before="0"/>
              <w:ind w:firstLine="594" w:left="0"/>
              <w:rPr>
                <w:rFonts w:ascii="Times New Roman" w:hAnsi="Times New Roman"/>
                <w:sz w:val="22"/>
              </w:rPr>
            </w:pPr>
            <w:r>
              <w:rPr>
                <w:rFonts w:ascii="Times New Roman" w:hAnsi="Times New Roman"/>
                <w:sz w:val="22"/>
              </w:rPr>
              <w:t>Приём обращений ведется Исполнителем по рабочим дням с понедельника по четверг с 9:00 до 18:00 часов по московскому времени, в пятницу – с 9:00 по 16:45 часов по московскому времени.</w:t>
            </w:r>
          </w:p>
          <w:p w14:paraId="01010000">
            <w:pPr>
              <w:pStyle w:val="Style_11"/>
              <w:spacing w:before="0"/>
              <w:ind w:firstLine="594" w:left="0"/>
              <w:rPr>
                <w:rFonts w:ascii="Times New Roman" w:hAnsi="Times New Roman"/>
                <w:sz w:val="22"/>
              </w:rPr>
            </w:pPr>
            <w:r>
              <w:rPr>
                <w:rFonts w:ascii="Times New Roman" w:hAnsi="Times New Roman"/>
                <w:sz w:val="22"/>
              </w:rPr>
              <w:t>Приём обращений и консультирование ведется Исполнителем:</w:t>
            </w:r>
          </w:p>
          <w:p w14:paraId="02010000">
            <w:pPr>
              <w:pStyle w:val="Style_12"/>
              <w:tabs>
                <w:tab w:leader="none" w:pos="357" w:val="left"/>
                <w:tab w:leader="none" w:pos="878" w:val="left"/>
              </w:tabs>
              <w:spacing w:after="0" w:before="0"/>
              <w:ind w:firstLine="0" w:left="598"/>
              <w:rPr>
                <w:rFonts w:ascii="Times New Roman" w:hAnsi="Times New Roman"/>
                <w:spacing w:val="-1"/>
                <w:sz w:val="22"/>
              </w:rPr>
            </w:pPr>
            <w:r>
              <w:rPr>
                <w:rFonts w:ascii="Times New Roman" w:hAnsi="Times New Roman"/>
                <w:sz w:val="22"/>
              </w:rPr>
              <w:t xml:space="preserve">по электронной почте </w:t>
            </w:r>
            <w:r>
              <w:rPr>
                <w:rStyle w:val="Style_13_ch"/>
                <w:rFonts w:ascii="Times New Roman" w:hAnsi="Times New Roman"/>
                <w:sz w:val="22"/>
              </w:rPr>
              <w:fldChar w:fldCharType="begin"/>
            </w:r>
            <w:r>
              <w:rPr>
                <w:rStyle w:val="Style_13_ch"/>
                <w:rFonts w:ascii="Times New Roman" w:hAnsi="Times New Roman"/>
                <w:sz w:val="22"/>
              </w:rPr>
              <w:instrText>HYPERLINK "mailto:support@donland.ru"</w:instrText>
            </w:r>
            <w:r>
              <w:rPr>
                <w:rStyle w:val="Style_13_ch"/>
                <w:rFonts w:ascii="Times New Roman" w:hAnsi="Times New Roman"/>
                <w:sz w:val="22"/>
              </w:rPr>
              <w:fldChar w:fldCharType="separate"/>
            </w:r>
            <w:r>
              <w:rPr>
                <w:rStyle w:val="Style_13_ch"/>
                <w:rFonts w:ascii="Times New Roman" w:hAnsi="Times New Roman"/>
                <w:sz w:val="22"/>
              </w:rPr>
              <w:t>support</w:t>
            </w:r>
            <w:r>
              <w:rPr>
                <w:rStyle w:val="Style_13_ch"/>
                <w:rFonts w:ascii="Times New Roman" w:hAnsi="Times New Roman"/>
                <w:sz w:val="22"/>
              </w:rPr>
              <w:t>@</w:t>
            </w:r>
            <w:r>
              <w:rPr>
                <w:rStyle w:val="Style_13_ch"/>
                <w:rFonts w:ascii="Times New Roman" w:hAnsi="Times New Roman"/>
                <w:sz w:val="22"/>
              </w:rPr>
              <w:t>donland</w:t>
            </w:r>
            <w:r>
              <w:rPr>
                <w:rStyle w:val="Style_13_ch"/>
                <w:rFonts w:ascii="Times New Roman" w:hAnsi="Times New Roman"/>
                <w:sz w:val="22"/>
              </w:rPr>
              <w:t>.</w:t>
            </w:r>
            <w:r>
              <w:rPr>
                <w:rStyle w:val="Style_13_ch"/>
                <w:rFonts w:ascii="Times New Roman" w:hAnsi="Times New Roman"/>
                <w:sz w:val="22"/>
              </w:rPr>
              <w:t>ru</w:t>
            </w:r>
            <w:r>
              <w:rPr>
                <w:rStyle w:val="Style_13_ch"/>
                <w:rFonts w:ascii="Times New Roman" w:hAnsi="Times New Roman"/>
                <w:sz w:val="22"/>
              </w:rPr>
              <w:fldChar w:fldCharType="end"/>
            </w:r>
            <w:r>
              <w:rPr>
                <w:rFonts w:ascii="Times New Roman" w:hAnsi="Times New Roman"/>
                <w:sz w:val="22"/>
              </w:rPr>
              <w:t xml:space="preserve"> (в теме письма в обязательном порядке необходимо указать «техническая поддержка КСТС»);</w:t>
            </w:r>
          </w:p>
          <w:p w14:paraId="03010000">
            <w:pPr>
              <w:pStyle w:val="Style_12"/>
              <w:tabs>
                <w:tab w:leader="none" w:pos="357" w:val="left"/>
                <w:tab w:leader="none" w:pos="878" w:val="left"/>
              </w:tabs>
              <w:spacing w:after="0" w:before="0"/>
              <w:ind w:firstLine="0" w:left="598"/>
              <w:rPr>
                <w:rFonts w:ascii="Times New Roman" w:hAnsi="Times New Roman"/>
                <w:spacing w:val="-1"/>
                <w:sz w:val="22"/>
              </w:rPr>
            </w:pPr>
            <w:r>
              <w:rPr>
                <w:rFonts w:ascii="Times New Roman" w:hAnsi="Times New Roman"/>
                <w:spacing w:val="-1"/>
                <w:sz w:val="22"/>
              </w:rPr>
              <w:t>телефон: +7 (863) 307-00-70</w:t>
            </w:r>
            <w:r>
              <w:rPr>
                <w:rFonts w:ascii="Times New Roman" w:hAnsi="Times New Roman"/>
                <w:b w:val="1"/>
                <w:spacing w:val="-1"/>
                <w:sz w:val="28"/>
              </w:rPr>
              <w:t>*</w:t>
            </w:r>
            <w:r>
              <w:rPr>
                <w:rFonts w:ascii="Times New Roman" w:hAnsi="Times New Roman"/>
                <w:spacing w:val="-1"/>
                <w:sz w:val="22"/>
              </w:rPr>
              <w:t xml:space="preserve"> (в голосовом меню выбирать соединение с отделом защиты информации).</w:t>
            </w:r>
          </w:p>
          <w:p w14:paraId="04010000">
            <w:pPr>
              <w:pStyle w:val="Style_12"/>
              <w:numPr>
                <w:ilvl w:val="0"/>
                <w:numId w:val="0"/>
              </w:numPr>
              <w:tabs>
                <w:tab w:leader="none" w:pos="357" w:val="left"/>
                <w:tab w:leader="none" w:pos="1445" w:val="left"/>
              </w:tabs>
              <w:spacing w:after="0" w:before="0"/>
              <w:ind w:firstLine="0" w:left="598"/>
              <w:rPr>
                <w:rFonts w:ascii="Times New Roman" w:hAnsi="Times New Roman"/>
                <w:spacing w:val="-1"/>
                <w:sz w:val="22"/>
              </w:rPr>
            </w:pPr>
          </w:p>
          <w:p w14:paraId="05010000">
            <w:pPr>
              <w:pStyle w:val="Style_11"/>
              <w:spacing w:before="0"/>
              <w:ind w:firstLine="594" w:left="0"/>
              <w:rPr>
                <w:rFonts w:ascii="Times New Roman" w:hAnsi="Times New Roman"/>
                <w:sz w:val="22"/>
              </w:rPr>
            </w:pPr>
            <w:r>
              <w:rPr>
                <w:rFonts w:ascii="Times New Roman" w:hAnsi="Times New Roman"/>
                <w:sz w:val="22"/>
              </w:rPr>
              <w:t>Работа с обращениями и консультация ведется в режиме 8*5 (8 часов в день, с понедельника по пятницу).</w:t>
            </w:r>
          </w:p>
          <w:p w14:paraId="06010000">
            <w:pPr>
              <w:pStyle w:val="Style_11"/>
              <w:spacing w:before="0"/>
              <w:ind w:firstLine="594" w:left="0"/>
              <w:rPr>
                <w:rFonts w:ascii="Times New Roman" w:hAnsi="Times New Roman"/>
                <w:sz w:val="22"/>
              </w:rPr>
            </w:pPr>
            <w:r>
              <w:rPr>
                <w:rFonts w:ascii="Times New Roman" w:hAnsi="Times New Roman"/>
                <w:sz w:val="22"/>
              </w:rPr>
              <w:t>При обращении Заказчик должен предоставить следующую информацию:</w:t>
            </w:r>
          </w:p>
          <w:p w14:paraId="07010000">
            <w:pPr>
              <w:pStyle w:val="Style_12"/>
              <w:tabs>
                <w:tab w:leader="none" w:pos="357" w:val="left"/>
                <w:tab w:leader="none" w:pos="878" w:val="left"/>
              </w:tabs>
              <w:spacing w:after="0" w:before="0"/>
              <w:ind w:firstLine="0" w:left="598"/>
              <w:rPr>
                <w:rFonts w:ascii="Times New Roman" w:hAnsi="Times New Roman"/>
                <w:sz w:val="22"/>
              </w:rPr>
            </w:pPr>
            <w:r>
              <w:rPr>
                <w:rFonts w:ascii="Times New Roman" w:hAnsi="Times New Roman"/>
                <w:sz w:val="22"/>
              </w:rPr>
              <w:t>номер Сертификата технической поддержки, по которому Исполнитель оказывает Заказчику услуги технической поддержки;</w:t>
            </w:r>
          </w:p>
          <w:p w14:paraId="08010000">
            <w:pPr>
              <w:pStyle w:val="Style_12"/>
              <w:tabs>
                <w:tab w:leader="none" w:pos="357" w:val="left"/>
                <w:tab w:leader="none" w:pos="878" w:val="left"/>
              </w:tabs>
              <w:spacing w:after="0" w:before="0"/>
              <w:ind w:firstLine="0" w:left="598"/>
              <w:rPr>
                <w:rFonts w:ascii="Times New Roman" w:hAnsi="Times New Roman"/>
                <w:sz w:val="22"/>
              </w:rPr>
            </w:pPr>
            <w:r>
              <w:rPr>
                <w:rFonts w:ascii="Times New Roman" w:hAnsi="Times New Roman"/>
                <w:sz w:val="22"/>
              </w:rPr>
              <w:t>наименование компании Заказчика;</w:t>
            </w:r>
          </w:p>
          <w:p w14:paraId="09010000">
            <w:pPr>
              <w:pStyle w:val="Style_12"/>
              <w:tabs>
                <w:tab w:leader="none" w:pos="357" w:val="left"/>
                <w:tab w:leader="none" w:pos="878" w:val="left"/>
              </w:tabs>
              <w:spacing w:after="0" w:before="0"/>
              <w:ind w:firstLine="0" w:left="598"/>
            </w:pPr>
            <w:r>
              <w:rPr>
                <w:rFonts w:ascii="Times New Roman" w:hAnsi="Times New Roman"/>
                <w:sz w:val="22"/>
              </w:rPr>
              <w:t>описание возникшей ситуации.</w:t>
            </w:r>
          </w:p>
        </w:tc>
      </w:tr>
      <w:tr>
        <w:tc>
          <w:tcPr>
            <w:tcW w:type="dxa" w:w="630"/>
            <w:tcBorders>
              <w:top w:color="000000" w:sz="4" w:val="single"/>
              <w:left w:color="000000" w:sz="4" w:val="single"/>
              <w:bottom w:color="000000" w:sz="4" w:val="single"/>
              <w:right w:color="000000" w:sz="4" w:val="single"/>
            </w:tcBorders>
          </w:tcPr>
          <w:p w14:paraId="0A010000">
            <w:pPr>
              <w:pStyle w:val="Style_11"/>
              <w:spacing w:before="0"/>
              <w:ind/>
              <w:outlineLvl w:val="0"/>
              <w:rPr>
                <w:rFonts w:ascii="Times New Roman" w:hAnsi="Times New Roman"/>
                <w:sz w:val="22"/>
              </w:rPr>
            </w:pPr>
            <w:r>
              <w:rPr>
                <w:rFonts w:ascii="Times New Roman" w:hAnsi="Times New Roman"/>
                <w:sz w:val="22"/>
              </w:rPr>
              <w:t>2.</w:t>
            </w:r>
          </w:p>
        </w:tc>
        <w:tc>
          <w:tcPr>
            <w:tcW w:type="dxa" w:w="2887"/>
            <w:tcBorders>
              <w:top w:color="000000" w:sz="4" w:val="single"/>
              <w:left w:color="000000" w:sz="4" w:val="single"/>
              <w:bottom w:color="000000" w:sz="4" w:val="single"/>
              <w:right w:color="000000" w:sz="4" w:val="single"/>
            </w:tcBorders>
          </w:tcPr>
          <w:p w14:paraId="0B010000">
            <w:pPr>
              <w:pStyle w:val="Style_11"/>
              <w:spacing w:before="0"/>
              <w:ind/>
              <w:outlineLvl w:val="0"/>
              <w:rPr>
                <w:rFonts w:ascii="Times New Roman" w:hAnsi="Times New Roman"/>
                <w:sz w:val="22"/>
              </w:rPr>
            </w:pPr>
            <w:r>
              <w:rPr>
                <w:rFonts w:ascii="Times New Roman" w:hAnsi="Times New Roman"/>
                <w:sz w:val="22"/>
              </w:rPr>
              <w:t>Консультирование при установке Продуктов</w:t>
            </w:r>
          </w:p>
          <w:p w14:paraId="0C010000">
            <w:pPr>
              <w:pStyle w:val="Style_11"/>
              <w:spacing w:before="0"/>
              <w:ind/>
              <w:outlineLvl w:val="0"/>
              <w:rPr>
                <w:rFonts w:ascii="Times New Roman" w:hAnsi="Times New Roman"/>
                <w:sz w:val="22"/>
              </w:rPr>
            </w:pPr>
          </w:p>
        </w:tc>
        <w:tc>
          <w:tcPr>
            <w:tcW w:type="dxa" w:w="6689"/>
            <w:tcBorders>
              <w:top w:color="000000" w:sz="4" w:val="single"/>
              <w:left w:color="000000" w:sz="4" w:val="single"/>
              <w:bottom w:color="000000" w:sz="4" w:val="single"/>
              <w:right w:color="000000" w:sz="4" w:val="single"/>
            </w:tcBorders>
          </w:tcPr>
          <w:p w14:paraId="0D010000">
            <w:pPr>
              <w:pStyle w:val="Style_11"/>
              <w:spacing w:before="0"/>
              <w:ind w:firstLine="594" w:left="0"/>
              <w:rPr>
                <w:rFonts w:ascii="Times New Roman" w:hAnsi="Times New Roman"/>
                <w:sz w:val="22"/>
              </w:rPr>
            </w:pPr>
            <w:r>
              <w:rPr>
                <w:rFonts w:ascii="Times New Roman" w:hAnsi="Times New Roman"/>
                <w:sz w:val="22"/>
              </w:rPr>
              <w:t>Консультирование Исполнителем при установке Продуктов включает себя:</w:t>
            </w:r>
          </w:p>
          <w:p w14:paraId="0E010000">
            <w:pPr>
              <w:pStyle w:val="Style_12"/>
              <w:tabs>
                <w:tab w:leader="none" w:pos="357" w:val="left"/>
                <w:tab w:leader="none" w:pos="878" w:val="left"/>
              </w:tabs>
              <w:spacing w:after="0" w:before="0"/>
              <w:ind w:firstLine="0" w:left="598"/>
              <w:rPr>
                <w:rFonts w:ascii="Times New Roman" w:hAnsi="Times New Roman"/>
                <w:sz w:val="22"/>
              </w:rPr>
            </w:pPr>
            <w:r>
              <w:rPr>
                <w:rFonts w:ascii="Times New Roman" w:hAnsi="Times New Roman"/>
                <w:sz w:val="22"/>
              </w:rPr>
              <w:t>предоставление комплекта эксплуатационной документации на Продукт;</w:t>
            </w:r>
          </w:p>
          <w:p w14:paraId="0F010000">
            <w:pPr>
              <w:pStyle w:val="Style_12"/>
              <w:tabs>
                <w:tab w:leader="none" w:pos="357" w:val="left"/>
                <w:tab w:leader="none" w:pos="878" w:val="left"/>
              </w:tabs>
              <w:spacing w:after="0" w:before="0"/>
              <w:ind w:firstLine="0" w:left="598"/>
            </w:pPr>
            <w:r>
              <w:rPr>
                <w:rFonts w:ascii="Times New Roman" w:hAnsi="Times New Roman"/>
                <w:sz w:val="22"/>
              </w:rPr>
              <w:t>рекомендации по процессу установки Продукта в объеме эксплуатационной документации.</w:t>
            </w:r>
          </w:p>
        </w:tc>
      </w:tr>
      <w:tr>
        <w:tc>
          <w:tcPr>
            <w:tcW w:type="dxa" w:w="630"/>
            <w:tcBorders>
              <w:top w:color="000000" w:sz="4" w:val="single"/>
              <w:left w:color="000000" w:sz="4" w:val="single"/>
              <w:bottom w:color="000000" w:sz="4" w:val="single"/>
              <w:right w:color="000000" w:sz="4" w:val="single"/>
            </w:tcBorders>
          </w:tcPr>
          <w:p w14:paraId="10010000">
            <w:pPr>
              <w:pStyle w:val="Style_11"/>
              <w:spacing w:before="0"/>
              <w:ind/>
              <w:outlineLvl w:val="0"/>
              <w:rPr>
                <w:rFonts w:ascii="Times New Roman" w:hAnsi="Times New Roman"/>
                <w:sz w:val="22"/>
              </w:rPr>
            </w:pPr>
            <w:r>
              <w:rPr>
                <w:rFonts w:ascii="Times New Roman" w:hAnsi="Times New Roman"/>
                <w:sz w:val="22"/>
              </w:rPr>
              <w:t>3.</w:t>
            </w:r>
          </w:p>
        </w:tc>
        <w:tc>
          <w:tcPr>
            <w:tcW w:type="dxa" w:w="2887"/>
            <w:tcBorders>
              <w:top w:color="000000" w:sz="4" w:val="single"/>
              <w:left w:color="000000" w:sz="4" w:val="single"/>
              <w:bottom w:color="000000" w:sz="4" w:val="single"/>
              <w:right w:color="000000" w:sz="4" w:val="single"/>
            </w:tcBorders>
          </w:tcPr>
          <w:p w14:paraId="11010000">
            <w:pPr>
              <w:pStyle w:val="Style_11"/>
              <w:spacing w:before="0"/>
              <w:ind/>
              <w:outlineLvl w:val="0"/>
              <w:rPr>
                <w:rFonts w:ascii="Times New Roman" w:hAnsi="Times New Roman"/>
                <w:sz w:val="22"/>
              </w:rPr>
            </w:pPr>
            <w:r>
              <w:rPr>
                <w:rFonts w:ascii="Times New Roman" w:hAnsi="Times New Roman"/>
                <w:sz w:val="22"/>
              </w:rPr>
              <w:t>Консультирование при эксплуатации Продуктов</w:t>
            </w:r>
          </w:p>
          <w:p w14:paraId="12010000">
            <w:pPr>
              <w:pStyle w:val="Style_11"/>
              <w:spacing w:before="0"/>
              <w:ind/>
              <w:outlineLvl w:val="0"/>
              <w:rPr>
                <w:rFonts w:ascii="Times New Roman" w:hAnsi="Times New Roman"/>
                <w:sz w:val="22"/>
              </w:rPr>
            </w:pPr>
          </w:p>
        </w:tc>
        <w:tc>
          <w:tcPr>
            <w:tcW w:type="dxa" w:w="6689"/>
            <w:tcBorders>
              <w:top w:color="000000" w:sz="4" w:val="single"/>
              <w:left w:color="000000" w:sz="4" w:val="single"/>
              <w:bottom w:color="000000" w:sz="4" w:val="single"/>
              <w:right w:color="000000" w:sz="4" w:val="single"/>
            </w:tcBorders>
          </w:tcPr>
          <w:p w14:paraId="13010000">
            <w:pPr>
              <w:pStyle w:val="Style_11"/>
              <w:spacing w:before="0"/>
              <w:ind w:firstLine="594" w:left="0"/>
              <w:rPr>
                <w:rFonts w:ascii="Times New Roman" w:hAnsi="Times New Roman"/>
                <w:sz w:val="22"/>
              </w:rPr>
            </w:pPr>
            <w:r>
              <w:rPr>
                <w:rFonts w:ascii="Times New Roman" w:hAnsi="Times New Roman"/>
                <w:sz w:val="22"/>
              </w:rPr>
              <w:t>Консультирование Исполнителем при эксплуатации Продуктов включает себя:</w:t>
            </w:r>
          </w:p>
          <w:p w14:paraId="14010000">
            <w:pPr>
              <w:pStyle w:val="Style_12"/>
              <w:tabs>
                <w:tab w:leader="none" w:pos="357" w:val="left"/>
                <w:tab w:leader="none" w:pos="878" w:val="left"/>
              </w:tabs>
              <w:spacing w:after="0" w:before="0"/>
              <w:ind w:firstLine="0" w:left="598"/>
              <w:rPr>
                <w:rFonts w:ascii="Times New Roman" w:hAnsi="Times New Roman"/>
                <w:sz w:val="22"/>
              </w:rPr>
            </w:pPr>
            <w:r>
              <w:rPr>
                <w:rFonts w:ascii="Times New Roman" w:hAnsi="Times New Roman"/>
                <w:sz w:val="22"/>
              </w:rPr>
              <w:t>рекомендации по настройке Продукта в объеме эксплуатационной документации;</w:t>
            </w:r>
          </w:p>
          <w:p w14:paraId="15010000">
            <w:pPr>
              <w:pStyle w:val="Style_12"/>
              <w:tabs>
                <w:tab w:leader="none" w:pos="357" w:val="left"/>
                <w:tab w:leader="none" w:pos="878" w:val="left"/>
              </w:tabs>
              <w:spacing w:after="0" w:before="0"/>
              <w:ind w:firstLine="0" w:left="598"/>
              <w:rPr>
                <w:rFonts w:ascii="Times New Roman" w:hAnsi="Times New Roman"/>
                <w:sz w:val="22"/>
              </w:rPr>
            </w:pPr>
            <w:r>
              <w:rPr>
                <w:rFonts w:ascii="Times New Roman" w:hAnsi="Times New Roman"/>
                <w:sz w:val="22"/>
              </w:rPr>
              <w:t>рекомендации по устранению ошибок, возникающих в процессе эксплуатации, поиск и устранение причин, вызвавших сбой в работе;</w:t>
            </w:r>
          </w:p>
          <w:p w14:paraId="16010000">
            <w:pPr>
              <w:pStyle w:val="Style_12"/>
              <w:tabs>
                <w:tab w:leader="none" w:pos="357" w:val="left"/>
                <w:tab w:leader="none" w:pos="878" w:val="left"/>
              </w:tabs>
              <w:spacing w:after="0" w:before="0"/>
              <w:ind w:firstLine="0" w:left="598"/>
              <w:rPr>
                <w:rFonts w:ascii="Times New Roman" w:hAnsi="Times New Roman"/>
                <w:sz w:val="22"/>
              </w:rPr>
            </w:pPr>
            <w:r>
              <w:rPr>
                <w:rFonts w:ascii="Times New Roman" w:hAnsi="Times New Roman"/>
                <w:sz w:val="22"/>
              </w:rPr>
              <w:t>диагностику с целью установления факта ошибки в работе Продукта. Выявленная ошибка, в зависимости от сложности, устраняется в процессе диагностики или в последующих обновлениях программного обеспечения.</w:t>
            </w:r>
          </w:p>
          <w:p w14:paraId="17010000">
            <w:pPr>
              <w:pStyle w:val="Style_11"/>
              <w:spacing w:before="0"/>
              <w:ind/>
              <w:rPr>
                <w:rFonts w:ascii="Times New Roman" w:hAnsi="Times New Roman"/>
                <w:sz w:val="22"/>
              </w:rPr>
            </w:pPr>
          </w:p>
          <w:p w14:paraId="18010000">
            <w:pPr>
              <w:pStyle w:val="Style_11"/>
              <w:spacing w:before="0"/>
              <w:ind w:firstLine="594" w:left="0"/>
              <w:rPr>
                <w:rFonts w:ascii="Times New Roman" w:hAnsi="Times New Roman"/>
                <w:sz w:val="22"/>
              </w:rPr>
            </w:pPr>
            <w:r>
              <w:rPr>
                <w:rFonts w:ascii="Times New Roman" w:hAnsi="Times New Roman"/>
                <w:sz w:val="22"/>
              </w:rPr>
              <w:t>Заказчик обязан предоставить Исполнителю информацию, достаточную для того, чтобы воспроизвести данную проблему на основании копии Продуктов, и включающую в себя подробное описание проблемы: регистрационные файлы, дампы оперативной памяти, лог-файлы, файлы настроек и пр. Полный список дополнительной информации, необходимой для воспроизведения и анализа проблемы, уточняется при обращении в службу технической поддержки Исполнителя.</w:t>
            </w:r>
          </w:p>
        </w:tc>
      </w:tr>
      <w:tr>
        <w:tc>
          <w:tcPr>
            <w:tcW w:type="dxa" w:w="630"/>
            <w:tcBorders>
              <w:top w:color="000000" w:sz="4" w:val="single"/>
              <w:left w:color="000000" w:sz="4" w:val="single"/>
              <w:bottom w:color="000000" w:sz="4" w:val="single"/>
              <w:right w:color="000000" w:sz="4" w:val="single"/>
            </w:tcBorders>
          </w:tcPr>
          <w:p w14:paraId="19010000">
            <w:pPr>
              <w:pStyle w:val="Style_11"/>
              <w:spacing w:before="0"/>
              <w:ind/>
              <w:outlineLvl w:val="0"/>
              <w:rPr>
                <w:rFonts w:ascii="Times New Roman" w:hAnsi="Times New Roman"/>
                <w:sz w:val="22"/>
              </w:rPr>
            </w:pPr>
            <w:r>
              <w:rPr>
                <w:rFonts w:ascii="Times New Roman" w:hAnsi="Times New Roman"/>
                <w:sz w:val="22"/>
              </w:rPr>
              <w:t>4.</w:t>
            </w:r>
          </w:p>
        </w:tc>
        <w:tc>
          <w:tcPr>
            <w:tcW w:type="dxa" w:w="2887"/>
            <w:tcBorders>
              <w:top w:color="000000" w:sz="4" w:val="single"/>
              <w:left w:color="000000" w:sz="4" w:val="single"/>
              <w:bottom w:color="000000" w:sz="4" w:val="single"/>
              <w:right w:color="000000" w:sz="4" w:val="single"/>
            </w:tcBorders>
          </w:tcPr>
          <w:p w14:paraId="1A010000">
            <w:pPr>
              <w:pStyle w:val="Style_11"/>
              <w:spacing w:before="0"/>
              <w:ind/>
              <w:outlineLvl w:val="0"/>
            </w:pPr>
            <w:r>
              <w:rPr>
                <w:rFonts w:ascii="Times New Roman" w:hAnsi="Times New Roman"/>
                <w:sz w:val="22"/>
              </w:rPr>
              <w:t>Обновление Продуктов</w:t>
            </w:r>
            <w:r>
              <w:rPr>
                <w:rFonts w:ascii="Times New Roman" w:hAnsi="Times New Roman"/>
                <w:b w:val="1"/>
                <w:sz w:val="28"/>
              </w:rPr>
              <w:t>***</w:t>
            </w:r>
          </w:p>
        </w:tc>
        <w:tc>
          <w:tcPr>
            <w:tcW w:type="dxa" w:w="6689"/>
            <w:tcBorders>
              <w:top w:color="000000" w:sz="4" w:val="single"/>
              <w:left w:color="000000" w:sz="4" w:val="single"/>
              <w:bottom w:color="000000" w:sz="4" w:val="single"/>
              <w:right w:color="000000" w:sz="4" w:val="single"/>
            </w:tcBorders>
          </w:tcPr>
          <w:p w14:paraId="1B010000">
            <w:pPr>
              <w:pStyle w:val="Style_11"/>
              <w:spacing w:before="0"/>
              <w:ind w:firstLine="594" w:left="0"/>
              <w:rPr>
                <w:rFonts w:ascii="Times New Roman" w:hAnsi="Times New Roman"/>
                <w:sz w:val="22"/>
              </w:rPr>
            </w:pPr>
            <w:r>
              <w:rPr>
                <w:rFonts w:ascii="Times New Roman" w:hAnsi="Times New Roman"/>
                <w:sz w:val="22"/>
              </w:rPr>
              <w:t>Исполнитель предоставляет обновление (программные коррекции), а также все изменения, производимые в рамках актуальной версии (текущей версии) продукта (для программно-аппаратных комплексов — только программные компоненты) по запросу Заказчика.</w:t>
            </w:r>
          </w:p>
        </w:tc>
      </w:tr>
      <w:tr>
        <w:tc>
          <w:tcPr>
            <w:tcW w:type="dxa" w:w="630"/>
            <w:tcBorders>
              <w:top w:color="000000" w:sz="4" w:val="single"/>
              <w:left w:color="000000" w:sz="4" w:val="single"/>
              <w:bottom w:color="000000" w:sz="4" w:val="single"/>
              <w:right w:color="000000" w:sz="4" w:val="single"/>
            </w:tcBorders>
          </w:tcPr>
          <w:p w14:paraId="1C010000">
            <w:pPr>
              <w:pStyle w:val="Style_11"/>
              <w:spacing w:before="0"/>
              <w:ind/>
              <w:outlineLvl w:val="0"/>
              <w:rPr>
                <w:rFonts w:ascii="Times New Roman" w:hAnsi="Times New Roman"/>
                <w:sz w:val="22"/>
              </w:rPr>
            </w:pPr>
            <w:r>
              <w:rPr>
                <w:rFonts w:ascii="Times New Roman" w:hAnsi="Times New Roman"/>
                <w:sz w:val="22"/>
              </w:rPr>
              <w:t>5.</w:t>
            </w:r>
          </w:p>
        </w:tc>
        <w:tc>
          <w:tcPr>
            <w:tcW w:type="dxa" w:w="2887"/>
            <w:tcBorders>
              <w:top w:color="000000" w:sz="4" w:val="single"/>
              <w:left w:color="000000" w:sz="4" w:val="single"/>
              <w:bottom w:color="000000" w:sz="4" w:val="single"/>
              <w:right w:color="000000" w:sz="4" w:val="single"/>
            </w:tcBorders>
          </w:tcPr>
          <w:p w14:paraId="1D010000">
            <w:pPr>
              <w:pStyle w:val="Style_11"/>
              <w:spacing w:before="0"/>
              <w:ind/>
              <w:outlineLvl w:val="0"/>
            </w:pPr>
            <w:r>
              <w:rPr>
                <w:rFonts w:ascii="Times New Roman" w:hAnsi="Times New Roman"/>
                <w:sz w:val="22"/>
              </w:rPr>
              <w:t>Консультирование при эксплуатации Продуктов в корпоративной сети телекоммуникационной связи Ростовской области (КСТС)</w:t>
            </w:r>
            <w:r>
              <w:rPr>
                <w:rFonts w:ascii="Times New Roman" w:hAnsi="Times New Roman"/>
                <w:b w:val="1"/>
                <w:sz w:val="28"/>
              </w:rPr>
              <w:t>**</w:t>
            </w:r>
          </w:p>
        </w:tc>
        <w:tc>
          <w:tcPr>
            <w:tcW w:type="dxa" w:w="6689"/>
            <w:tcBorders>
              <w:top w:color="000000" w:sz="4" w:val="single"/>
              <w:left w:color="000000" w:sz="4" w:val="single"/>
              <w:bottom w:color="000000" w:sz="4" w:val="single"/>
              <w:right w:color="000000" w:sz="4" w:val="single"/>
            </w:tcBorders>
          </w:tcPr>
          <w:p w14:paraId="1E010000">
            <w:pPr>
              <w:pStyle w:val="Style_11"/>
              <w:spacing w:before="0"/>
              <w:ind w:firstLine="594" w:left="0"/>
              <w:rPr>
                <w:rFonts w:ascii="Times New Roman" w:hAnsi="Times New Roman"/>
                <w:sz w:val="22"/>
              </w:rPr>
            </w:pPr>
            <w:r>
              <w:rPr>
                <w:rFonts w:ascii="Times New Roman" w:hAnsi="Times New Roman"/>
                <w:sz w:val="22"/>
              </w:rPr>
              <w:t>Консультирование Исполнителем при эксплуатации Продуктов в КСТС включает себя:</w:t>
            </w:r>
          </w:p>
          <w:p w14:paraId="1F010000">
            <w:pPr>
              <w:pStyle w:val="Style_12"/>
              <w:tabs>
                <w:tab w:leader="none" w:pos="357" w:val="left"/>
                <w:tab w:leader="none" w:pos="878" w:val="left"/>
              </w:tabs>
              <w:spacing w:after="0" w:before="0"/>
              <w:ind w:firstLine="0" w:left="598"/>
              <w:rPr>
                <w:rFonts w:ascii="Times New Roman" w:hAnsi="Times New Roman"/>
                <w:sz w:val="22"/>
              </w:rPr>
            </w:pPr>
            <w:r>
              <w:rPr>
                <w:rFonts w:ascii="Times New Roman" w:hAnsi="Times New Roman"/>
                <w:sz w:val="22"/>
              </w:rPr>
              <w:t>выпуск/</w:t>
            </w:r>
            <w:r>
              <w:rPr>
                <w:rFonts w:ascii="Times New Roman" w:hAnsi="Times New Roman"/>
                <w:sz w:val="22"/>
              </w:rPr>
              <w:t>перевыпуск</w:t>
            </w:r>
            <w:r>
              <w:rPr>
                <w:rFonts w:ascii="Times New Roman" w:hAnsi="Times New Roman"/>
                <w:sz w:val="22"/>
              </w:rPr>
              <w:t xml:space="preserve"> справочно-ключевых дистрибутивов в течение срока сопровождения, указанного в Сертификате технической поддержки (по запросу Заказчика);</w:t>
            </w:r>
          </w:p>
          <w:p w14:paraId="20010000">
            <w:pPr>
              <w:pStyle w:val="Style_12"/>
              <w:tabs>
                <w:tab w:leader="none" w:pos="357" w:val="left"/>
                <w:tab w:leader="none" w:pos="878" w:val="left"/>
              </w:tabs>
              <w:spacing w:after="0" w:before="0"/>
              <w:ind w:firstLine="0" w:left="598"/>
              <w:rPr>
                <w:rFonts w:ascii="Times New Roman" w:hAnsi="Times New Roman"/>
                <w:sz w:val="22"/>
              </w:rPr>
            </w:pPr>
            <w:r>
              <w:rPr>
                <w:rFonts w:ascii="Times New Roman" w:hAnsi="Times New Roman"/>
                <w:sz w:val="22"/>
              </w:rPr>
              <w:t>настройка доступа к информационным ресурсам через КСТС;</w:t>
            </w:r>
          </w:p>
          <w:p w14:paraId="21010000">
            <w:pPr>
              <w:pStyle w:val="Style_12"/>
              <w:tabs>
                <w:tab w:leader="none" w:pos="357" w:val="left"/>
                <w:tab w:leader="none" w:pos="878" w:val="left"/>
              </w:tabs>
              <w:spacing w:after="0" w:before="0"/>
              <w:ind w:firstLine="0" w:left="598"/>
              <w:rPr>
                <w:rFonts w:ascii="Times New Roman" w:hAnsi="Times New Roman"/>
                <w:sz w:val="22"/>
              </w:rPr>
            </w:pPr>
            <w:r>
              <w:rPr>
                <w:rFonts w:ascii="Times New Roman" w:hAnsi="Times New Roman"/>
                <w:sz w:val="22"/>
              </w:rPr>
              <w:t>смена ключевой информации;</w:t>
            </w:r>
          </w:p>
          <w:p w14:paraId="22010000">
            <w:pPr>
              <w:pStyle w:val="Style_12"/>
              <w:tabs>
                <w:tab w:leader="none" w:pos="357" w:val="left"/>
                <w:tab w:leader="none" w:pos="878" w:val="left"/>
              </w:tabs>
              <w:spacing w:after="0" w:before="0"/>
              <w:ind w:firstLine="0" w:left="598"/>
            </w:pPr>
            <w:r>
              <w:rPr>
                <w:rFonts w:ascii="Times New Roman" w:hAnsi="Times New Roman"/>
                <w:sz w:val="22"/>
              </w:rPr>
              <w:t xml:space="preserve">рекомендации по настройке, проведению диагностики, устранению ошибок, возникающих в процессе эксплуатации с использованием удаленного подключения (по запросу </w:t>
            </w:r>
            <w:r>
              <w:rPr>
                <w:rFonts w:ascii="Times New Roman" w:hAnsi="Times New Roman"/>
                <w:sz w:val="22"/>
              </w:rPr>
              <w:t>Заказчика)</w:t>
            </w:r>
            <w:r>
              <w:rPr>
                <w:rFonts w:ascii="Times New Roman" w:hAnsi="Times New Roman"/>
                <w:b w:val="1"/>
                <w:sz w:val="28"/>
              </w:rPr>
              <w:t>*</w:t>
            </w:r>
          </w:p>
        </w:tc>
      </w:tr>
    </w:tbl>
    <w:p w14:paraId="23010000">
      <w:pPr>
        <w:pStyle w:val="Style_14"/>
        <w:tabs>
          <w:tab w:leader="none" w:pos="720" w:val="left"/>
        </w:tabs>
        <w:ind w:firstLine="0" w:left="-284"/>
        <w:jc w:val="both"/>
        <w:rPr>
          <w:sz w:val="22"/>
        </w:rPr>
      </w:pPr>
    </w:p>
    <w:p w14:paraId="24010000">
      <w:pPr>
        <w:pStyle w:val="Style_12"/>
        <w:numPr>
          <w:ilvl w:val="0"/>
          <w:numId w:val="0"/>
        </w:numPr>
      </w:pPr>
      <w:r>
        <w:rPr>
          <w:rFonts w:ascii="Times New Roman" w:hAnsi="Times New Roman"/>
          <w:b w:val="1"/>
          <w:spacing w:val="-1"/>
          <w:sz w:val="28"/>
        </w:rPr>
        <w:t>*</w:t>
      </w:r>
      <w:r>
        <w:rPr>
          <w:rFonts w:ascii="Times New Roman" w:hAnsi="Times New Roman"/>
          <w:spacing w:val="-1"/>
          <w:sz w:val="22"/>
        </w:rPr>
        <w:t> – доступно для схемы (варианта) технической поддержки «совместная расширенная техническая поддержка».</w:t>
      </w:r>
    </w:p>
    <w:p w14:paraId="25010000">
      <w:pPr>
        <w:pStyle w:val="Style_12"/>
        <w:numPr>
          <w:ilvl w:val="0"/>
          <w:numId w:val="0"/>
        </w:numPr>
      </w:pPr>
      <w:r>
        <w:rPr>
          <w:rFonts w:ascii="Times New Roman" w:hAnsi="Times New Roman"/>
          <w:b w:val="1"/>
          <w:spacing w:val="-1"/>
          <w:sz w:val="28"/>
        </w:rPr>
        <w:t>**</w:t>
      </w:r>
      <w:r>
        <w:rPr>
          <w:rFonts w:ascii="Times New Roman" w:hAnsi="Times New Roman"/>
          <w:spacing w:val="-1"/>
          <w:sz w:val="22"/>
        </w:rPr>
        <w:t> – для Продуктов, приобретенных Заказчиком для подключения к корпоративной сети телекоммуникационной связи Ростовской области.</w:t>
      </w:r>
    </w:p>
    <w:p w14:paraId="26010000">
      <w:pPr>
        <w:pStyle w:val="Style_12"/>
        <w:numPr>
          <w:ilvl w:val="0"/>
          <w:numId w:val="0"/>
        </w:numPr>
        <w:rPr>
          <w:rFonts w:ascii="Times New Roman" w:hAnsi="Times New Roman"/>
          <w:spacing w:val="-1"/>
          <w:sz w:val="22"/>
        </w:rPr>
      </w:pPr>
    </w:p>
    <w:p w14:paraId="27010000">
      <w:pPr>
        <w:pStyle w:val="Style_12"/>
        <w:numPr>
          <w:ilvl w:val="0"/>
          <w:numId w:val="0"/>
        </w:numPr>
      </w:pPr>
      <w:r>
        <w:rPr>
          <w:rFonts w:ascii="Times New Roman" w:hAnsi="Times New Roman"/>
          <w:b w:val="1"/>
          <w:spacing w:val="-1"/>
          <w:sz w:val="28"/>
        </w:rPr>
        <w:t>***</w:t>
      </w:r>
      <w:r>
        <w:rPr>
          <w:rFonts w:ascii="Times New Roman" w:hAnsi="Times New Roman"/>
          <w:spacing w:val="-1"/>
          <w:sz w:val="22"/>
        </w:rPr>
        <w:t> – диск с дистрибутивом ПО приобретается отдельно.</w:t>
      </w:r>
    </w:p>
    <w:p w14:paraId="28010000">
      <w:pPr>
        <w:pStyle w:val="Style_12"/>
        <w:numPr>
          <w:ilvl w:val="0"/>
          <w:numId w:val="0"/>
        </w:numPr>
        <w:ind w:firstLine="0" w:left="-567"/>
        <w:rPr>
          <w:rFonts w:ascii="Times New Roman" w:hAnsi="Times New Roman"/>
          <w:spacing w:val="-1"/>
          <w:sz w:val="22"/>
        </w:rPr>
      </w:pPr>
    </w:p>
    <w:p w14:paraId="29010000">
      <w:pPr>
        <w:pStyle w:val="Style_14"/>
        <w:tabs>
          <w:tab w:leader="none" w:pos="720" w:val="left"/>
        </w:tabs>
        <w:ind w:firstLine="539" w:left="0"/>
        <w:jc w:val="both"/>
        <w:rPr>
          <w:spacing w:val="-1"/>
          <w:sz w:val="22"/>
        </w:rPr>
      </w:pPr>
    </w:p>
    <w:p w14:paraId="2A010000">
      <w:pPr>
        <w:pStyle w:val="Style_14"/>
        <w:tabs>
          <w:tab w:leader="none" w:pos="720" w:val="left"/>
        </w:tabs>
        <w:ind w:firstLine="539" w:left="0"/>
        <w:jc w:val="both"/>
        <w:rPr>
          <w:spacing w:val="-1"/>
          <w:sz w:val="22"/>
        </w:rPr>
      </w:pPr>
    </w:p>
    <w:tbl>
      <w:tblPr>
        <w:tblStyle w:val="Style_8"/>
        <w:tblW w:type="auto" w:w="0"/>
        <w:jc w:val="center"/>
        <w:tblLayout w:type="fixed"/>
      </w:tblPr>
      <w:tblGrid>
        <w:gridCol w:w="4699"/>
        <w:gridCol w:w="5508"/>
      </w:tblGrid>
      <w:tr>
        <w:tc>
          <w:tcPr>
            <w:tcW w:type="dxa" w:w="4699"/>
          </w:tcPr>
          <w:p w14:paraId="2B010000">
            <w:pPr>
              <w:ind w:right="217"/>
              <w:jc w:val="both"/>
              <w:rPr>
                <w:sz w:val="22"/>
              </w:rPr>
            </w:pPr>
            <w:r>
              <w:rPr>
                <w:sz w:val="22"/>
              </w:rPr>
              <w:t>ЗАКАЗЧИК</w:t>
            </w:r>
          </w:p>
        </w:tc>
        <w:tc>
          <w:tcPr>
            <w:tcW w:type="dxa" w:w="5508"/>
          </w:tcPr>
          <w:p w14:paraId="2C010000">
            <w:pPr>
              <w:ind w:firstLine="0" w:left="510" w:right="176"/>
              <w:jc w:val="both"/>
              <w:rPr>
                <w:sz w:val="22"/>
              </w:rPr>
            </w:pPr>
            <w:r>
              <w:rPr>
                <w:sz w:val="22"/>
              </w:rPr>
              <w:t>ИСПОЛНИТЕЛЬ</w:t>
            </w:r>
          </w:p>
          <w:p w14:paraId="2D010000">
            <w:pPr>
              <w:ind w:firstLine="0" w:left="510" w:right="176"/>
              <w:jc w:val="both"/>
              <w:rPr>
                <w:sz w:val="22"/>
              </w:rPr>
            </w:pPr>
          </w:p>
        </w:tc>
      </w:tr>
      <w:tr>
        <w:trPr>
          <w:trHeight w:hRule="atLeast" w:val="1238"/>
        </w:trPr>
        <w:tc>
          <w:tcPr>
            <w:tcW w:type="dxa" w:w="4699"/>
          </w:tcPr>
          <w:p w14:paraId="2E010000">
            <w:pPr>
              <w:spacing w:after="0"/>
              <w:ind/>
              <w:jc w:val="left"/>
              <w:rPr>
                <w:b w:val="1"/>
                <w:color w:val="000000"/>
                <w:sz w:val="20"/>
              </w:rPr>
            </w:pPr>
            <w:r>
              <w:rPr>
                <w:b w:val="1"/>
                <w:color w:val="000000"/>
                <w:sz w:val="20"/>
              </w:rPr>
              <w:t>И.о</w:t>
            </w:r>
            <w:r>
              <w:rPr>
                <w:b w:val="1"/>
                <w:color w:val="000000"/>
                <w:sz w:val="20"/>
              </w:rPr>
              <w:t xml:space="preserve">. ректора ФГБОУ ВО </w:t>
            </w:r>
            <w:r>
              <w:rPr>
                <w:b w:val="1"/>
                <w:color w:val="000000"/>
                <w:sz w:val="20"/>
              </w:rPr>
              <w:t>РостГМУ</w:t>
            </w:r>
            <w:r>
              <w:rPr>
                <w:b w:val="1"/>
                <w:color w:val="000000"/>
                <w:sz w:val="20"/>
              </w:rPr>
              <w:t xml:space="preserve"> </w:t>
            </w:r>
          </w:p>
          <w:p w14:paraId="2F010000">
            <w:pPr>
              <w:spacing w:after="0"/>
              <w:ind/>
              <w:jc w:val="left"/>
              <w:rPr>
                <w:b w:val="1"/>
                <w:color w:val="000000"/>
                <w:sz w:val="20"/>
              </w:rPr>
            </w:pPr>
            <w:r>
              <w:rPr>
                <w:b w:val="1"/>
                <w:color w:val="000000"/>
                <w:sz w:val="20"/>
              </w:rPr>
              <w:t>Минздрава России</w:t>
            </w:r>
          </w:p>
          <w:p w14:paraId="30010000">
            <w:pPr>
              <w:spacing w:after="0"/>
              <w:ind/>
              <w:jc w:val="left"/>
              <w:rPr>
                <w:color w:val="000000"/>
                <w:sz w:val="20"/>
              </w:rPr>
            </w:pPr>
          </w:p>
          <w:p w14:paraId="31010000">
            <w:pPr>
              <w:spacing w:after="0"/>
              <w:ind/>
              <w:rPr>
                <w:color w:val="000000"/>
                <w:sz w:val="20"/>
              </w:rPr>
            </w:pPr>
            <w:r>
              <w:rPr>
                <w:color w:val="000000"/>
                <w:sz w:val="20"/>
              </w:rPr>
              <w:t>__________________</w:t>
            </w:r>
            <w:r>
              <w:rPr>
                <w:b w:val="1"/>
                <w:color w:val="000000"/>
                <w:sz w:val="20"/>
              </w:rPr>
              <w:t xml:space="preserve"> /</w:t>
            </w:r>
            <w:r>
              <w:rPr>
                <w:b w:val="1"/>
                <w:color w:val="000000"/>
                <w:sz w:val="20"/>
              </w:rPr>
              <w:t>М.А.Шишов/</w:t>
            </w:r>
          </w:p>
          <w:p w14:paraId="32010000">
            <w:r>
              <w:rPr>
                <w:b w:val="1"/>
                <w:color w:val="000000"/>
                <w:sz w:val="20"/>
              </w:rPr>
              <w:t>э.ц.п.</w:t>
            </w:r>
          </w:p>
        </w:tc>
        <w:tc>
          <w:tcPr>
            <w:tcW w:type="dxa" w:w="5508"/>
          </w:tcPr>
          <w:p w14:paraId="33010000">
            <w:pPr>
              <w:tabs>
                <w:tab w:leader="none" w:pos="2809" w:val="left"/>
              </w:tabs>
              <w:ind w:firstLine="0" w:left="510"/>
              <w:rPr>
                <w:sz w:val="22"/>
              </w:rPr>
            </w:pPr>
          </w:p>
        </w:tc>
      </w:tr>
    </w:tbl>
    <w:p w14:paraId="34010000">
      <w:pPr>
        <w:ind/>
        <w:jc w:val="right"/>
      </w:pPr>
      <w:r>
        <w:br w:type="page"/>
      </w:r>
      <w:r>
        <w:t>Приложение № 3</w:t>
      </w:r>
    </w:p>
    <w:p w14:paraId="35010000">
      <w:pPr>
        <w:widowControl w:val="0"/>
        <w:ind w:firstLine="0" w:left="6237"/>
        <w:jc w:val="right"/>
        <w:rPr>
          <w:sz w:val="22"/>
        </w:rPr>
      </w:pPr>
      <w:r>
        <w:tab/>
      </w:r>
      <w:r>
        <w:tab/>
      </w:r>
      <w:r>
        <w:rPr>
          <w:sz w:val="22"/>
        </w:rPr>
        <w:t xml:space="preserve">к </w:t>
      </w:r>
      <w:r>
        <w:rPr>
          <w:sz w:val="22"/>
        </w:rPr>
        <w:t>Контракт</w:t>
      </w:r>
      <w:r>
        <w:rPr>
          <w:sz w:val="22"/>
        </w:rPr>
        <w:t xml:space="preserve">у № </w:t>
      </w:r>
      <w:r>
        <w:rPr>
          <w:sz w:val="22"/>
        </w:rPr>
        <w:t xml:space="preserve">РГМУ </w:t>
      </w:r>
      <w:r>
        <w:rPr>
          <w:sz w:val="22"/>
        </w:rPr>
        <w:t>33544</w:t>
      </w:r>
    </w:p>
    <w:p w14:paraId="36010000">
      <w:pPr>
        <w:widowControl w:val="0"/>
        <w:ind w:firstLine="0" w:left="6237"/>
        <w:jc w:val="right"/>
        <w:rPr>
          <w:sz w:val="22"/>
        </w:rPr>
      </w:pPr>
      <w:r>
        <w:rPr>
          <w:sz w:val="22"/>
        </w:rPr>
        <w:t xml:space="preserve">от </w:t>
      </w:r>
      <w:r>
        <w:rPr>
          <w:color w:val="000000"/>
          <w:sz w:val="22"/>
        </w:rPr>
        <w:t>«__</w:t>
      </w:r>
      <w:r>
        <w:rPr>
          <w:color w:val="000000"/>
          <w:sz w:val="22"/>
        </w:rPr>
        <w:t>_»_</w:t>
      </w:r>
      <w:r>
        <w:rPr>
          <w:color w:val="000000"/>
          <w:sz w:val="22"/>
        </w:rPr>
        <w:t>_______</w:t>
      </w:r>
      <w:r>
        <w:rPr>
          <w:color w:val="000000"/>
          <w:sz w:val="22"/>
        </w:rPr>
        <w:t xml:space="preserve">2026 </w:t>
      </w:r>
      <w:r>
        <w:rPr>
          <w:color w:val="000000"/>
          <w:sz w:val="22"/>
        </w:rPr>
        <w:t>г.</w:t>
      </w:r>
    </w:p>
    <w:p w14:paraId="37010000">
      <w:pPr>
        <w:ind/>
        <w:jc w:val="right"/>
        <w:rPr>
          <w:sz w:val="22"/>
        </w:rPr>
      </w:pPr>
    </w:p>
    <w:p w14:paraId="38010000">
      <w:pPr>
        <w:spacing w:line="276" w:lineRule="auto"/>
        <w:ind w:firstLine="539" w:left="0"/>
        <w:jc w:val="center"/>
        <w:rPr>
          <w:b w:val="1"/>
          <w:sz w:val="22"/>
        </w:rPr>
      </w:pPr>
      <w:r>
        <w:rPr>
          <w:b w:val="1"/>
          <w:sz w:val="22"/>
        </w:rPr>
        <w:t>Соглашение на передачу неисключительных прав</w:t>
      </w:r>
    </w:p>
    <w:p w14:paraId="39010000">
      <w:pPr>
        <w:spacing w:line="276" w:lineRule="auto"/>
        <w:ind w:firstLine="539" w:left="0"/>
        <w:jc w:val="center"/>
        <w:rPr>
          <w:b w:val="1"/>
          <w:sz w:val="22"/>
        </w:rPr>
      </w:pPr>
    </w:p>
    <w:p w14:paraId="3A010000">
      <w:pPr>
        <w:spacing w:line="264" w:lineRule="auto"/>
        <w:ind w:firstLine="500" w:left="0"/>
        <w:jc w:val="both"/>
        <w:rPr>
          <w:sz w:val="22"/>
        </w:rPr>
      </w:pPr>
      <w:r>
        <w:rPr>
          <w:color w:val="000000"/>
          <w:sz w:val="22"/>
        </w:rPr>
        <w:t>ФГБОУ ВО РОСТГМУ МИНЗДРАВА РОССИИ</w:t>
      </w:r>
      <w:r>
        <w:rPr>
          <w:sz w:val="22"/>
        </w:rPr>
        <w:t>, именуемое в дальнейшем Лицензиат, в лице</w:t>
      </w:r>
      <w:r>
        <w:t xml:space="preserve"> </w:t>
      </w:r>
      <w:r>
        <w:rPr>
          <w:color w:val="000000"/>
          <w:sz w:val="22"/>
        </w:rPr>
        <w:t>и.о</w:t>
      </w:r>
      <w:r>
        <w:rPr>
          <w:color w:val="000000"/>
          <w:sz w:val="22"/>
        </w:rPr>
        <w:t>. ректора Шишова Михаила Алексеевича</w:t>
      </w:r>
      <w:r>
        <w:rPr>
          <w:sz w:val="22"/>
        </w:rPr>
        <w:t xml:space="preserve">, действующего на основании </w:t>
      </w:r>
      <w:r>
        <w:rPr>
          <w:sz w:val="22"/>
        </w:rPr>
        <w:t>Устава</w:t>
      </w:r>
      <w:r>
        <w:rPr>
          <w:sz w:val="22"/>
        </w:rPr>
        <w:t xml:space="preserve">, с одной стороны, и Государственное бюджетное учреждение Ростовской области «Региональный центр информационных систем» (ГБУ РО «РЦИС»), именуемое в дальнейшем Лицензиар»,  </w:t>
      </w:r>
      <w:r>
        <w:rPr>
          <w:sz w:val="22"/>
        </w:rPr>
        <w:t xml:space="preserve">в лице </w:t>
      </w:r>
      <w:r>
        <w:rPr>
          <w:sz w:val="22"/>
        </w:rPr>
        <w:t xml:space="preserve">Начальника Центра компетенции </w:t>
      </w:r>
      <w:r>
        <w:rPr>
          <w:sz w:val="22"/>
        </w:rPr>
        <w:t>Ряднова</w:t>
      </w:r>
      <w:r>
        <w:rPr>
          <w:sz w:val="22"/>
        </w:rPr>
        <w:t xml:space="preserve"> Игоря Николаевича, действующего на основании доверенности №</w:t>
      </w:r>
      <w:r>
        <w:rPr>
          <w:sz w:val="22"/>
        </w:rPr>
        <w:t xml:space="preserve"> 8</w:t>
      </w:r>
      <w:r>
        <w:rPr>
          <w:sz w:val="22"/>
        </w:rPr>
        <w:t xml:space="preserve"> от </w:t>
      </w:r>
      <w:r>
        <w:rPr>
          <w:sz w:val="22"/>
        </w:rPr>
        <w:t>13.01.2026</w:t>
      </w:r>
      <w:r>
        <w:rPr>
          <w:sz w:val="22"/>
        </w:rPr>
        <w:t xml:space="preserve"> г.</w:t>
      </w:r>
      <w:r>
        <w:rPr>
          <w:sz w:val="22"/>
        </w:rPr>
        <w:t>, с другой стороны, заключили настоящее соглашение о нижеследующем:</w:t>
      </w:r>
    </w:p>
    <w:p w14:paraId="3B010000">
      <w:pPr>
        <w:spacing w:line="264" w:lineRule="auto"/>
        <w:ind w:firstLine="500" w:left="0"/>
        <w:jc w:val="both"/>
        <w:rPr>
          <w:sz w:val="22"/>
        </w:rPr>
      </w:pPr>
    </w:p>
    <w:p w14:paraId="3C010000">
      <w:pPr>
        <w:pStyle w:val="Style_15"/>
        <w:spacing w:before="0" w:line="264" w:lineRule="auto"/>
        <w:ind/>
        <w:jc w:val="center"/>
        <w:rPr>
          <w:rFonts w:ascii="Times New Roman" w:hAnsi="Times New Roman"/>
          <w:sz w:val="22"/>
        </w:rPr>
      </w:pPr>
      <w:r>
        <w:rPr>
          <w:rFonts w:ascii="Times New Roman" w:hAnsi="Times New Roman"/>
          <w:sz w:val="22"/>
        </w:rPr>
        <w:t>1. ПРЕДМЕТ СОГЛАШЕНИЯ</w:t>
      </w:r>
    </w:p>
    <w:p w14:paraId="3D010000">
      <w:pPr>
        <w:pStyle w:val="Style_15"/>
        <w:spacing w:before="0" w:line="264" w:lineRule="auto"/>
        <w:ind w:firstLine="539" w:left="0"/>
        <w:rPr>
          <w:rFonts w:ascii="Times New Roman" w:hAnsi="Times New Roman"/>
          <w:sz w:val="22"/>
        </w:rPr>
      </w:pPr>
      <w:r>
        <w:rPr>
          <w:rFonts w:ascii="Times New Roman" w:hAnsi="Times New Roman"/>
          <w:sz w:val="22"/>
        </w:rPr>
        <w:t xml:space="preserve">1.1. Лицензиар, имея соответствующие полномочия от правообладателей, передает Лицензиату следующие неисключительные (ограниченные) права на программы для ЭВМ и базы данных, далее именуемые «Продукты», указанные в Спецификации (Приложение № 1 данного </w:t>
      </w:r>
      <w:r>
        <w:rPr>
          <w:rFonts w:ascii="Times New Roman" w:hAnsi="Times New Roman"/>
          <w:sz w:val="22"/>
        </w:rPr>
        <w:t>Контракт</w:t>
      </w:r>
      <w:r>
        <w:rPr>
          <w:rFonts w:ascii="Times New Roman" w:hAnsi="Times New Roman"/>
          <w:sz w:val="22"/>
        </w:rPr>
        <w:t>а):</w:t>
      </w:r>
    </w:p>
    <w:p w14:paraId="3E010000">
      <w:pPr>
        <w:pStyle w:val="Style_15"/>
        <w:numPr>
          <w:ilvl w:val="0"/>
          <w:numId w:val="1"/>
        </w:numPr>
        <w:spacing w:before="0" w:line="264" w:lineRule="auto"/>
        <w:ind w:firstLine="539" w:left="0"/>
        <w:rPr>
          <w:rFonts w:ascii="Times New Roman" w:hAnsi="Times New Roman"/>
          <w:sz w:val="22"/>
        </w:rPr>
      </w:pPr>
      <w:r>
        <w:rPr>
          <w:rFonts w:ascii="Times New Roman" w:hAnsi="Times New Roman"/>
          <w:sz w:val="22"/>
        </w:rPr>
        <w:t xml:space="preserve">право на воспроизведение, предоставленное Лицензиату для инсталляции и запуска программных Продуктов в соответствии с документацией на них, определяющей функциональные и технические характеристики Продуктов. </w:t>
      </w:r>
    </w:p>
    <w:p w14:paraId="3F010000">
      <w:pPr>
        <w:pStyle w:val="Style_15"/>
        <w:spacing w:before="0" w:line="264" w:lineRule="auto"/>
        <w:ind w:firstLine="539" w:left="0"/>
        <w:rPr>
          <w:rFonts w:ascii="Times New Roman" w:hAnsi="Times New Roman"/>
          <w:sz w:val="22"/>
        </w:rPr>
      </w:pPr>
      <w:r>
        <w:rPr>
          <w:rFonts w:ascii="Times New Roman" w:hAnsi="Times New Roman"/>
          <w:sz w:val="22"/>
        </w:rPr>
        <w:t>Под «экземпляром» Продукта в настоящем соглашении понимаются любые материальные носители с Продуктом, документация, электронные ключи и иные принадлежности, которые необходимы для использования Продукта конечными пользователями.</w:t>
      </w:r>
    </w:p>
    <w:p w14:paraId="40010000">
      <w:pPr>
        <w:pStyle w:val="Style_15"/>
        <w:spacing w:before="0" w:line="264" w:lineRule="auto"/>
        <w:ind w:firstLine="539" w:left="0"/>
        <w:rPr>
          <w:rFonts w:ascii="Times New Roman" w:hAnsi="Times New Roman"/>
          <w:sz w:val="22"/>
        </w:rPr>
      </w:pPr>
      <w:r>
        <w:rPr>
          <w:rFonts w:ascii="Times New Roman" w:hAnsi="Times New Roman"/>
          <w:sz w:val="22"/>
        </w:rPr>
        <w:t xml:space="preserve">Документация на Продукт может содержать требования к используемым аппаратным, программным средствам и квалификации персонала. </w:t>
      </w:r>
    </w:p>
    <w:p w14:paraId="41010000">
      <w:pPr>
        <w:pStyle w:val="Style_15"/>
        <w:spacing w:before="0" w:line="264" w:lineRule="auto"/>
        <w:ind w:firstLine="539" w:left="0"/>
        <w:rPr>
          <w:rFonts w:ascii="Times New Roman" w:hAnsi="Times New Roman"/>
          <w:sz w:val="22"/>
        </w:rPr>
      </w:pPr>
      <w:r>
        <w:rPr>
          <w:rFonts w:ascii="Times New Roman" w:hAnsi="Times New Roman"/>
          <w:sz w:val="22"/>
        </w:rPr>
        <w:t>Авторское право и исключительные имущественные права на Продукты принадлежат их законным правообладателям.</w:t>
      </w:r>
    </w:p>
    <w:p w14:paraId="42010000">
      <w:pPr>
        <w:pStyle w:val="Style_15"/>
        <w:spacing w:before="0" w:line="264" w:lineRule="auto"/>
        <w:ind w:firstLine="539" w:left="0"/>
        <w:rPr>
          <w:rFonts w:ascii="Times New Roman" w:hAnsi="Times New Roman"/>
          <w:sz w:val="22"/>
        </w:rPr>
      </w:pPr>
      <w:r>
        <w:rPr>
          <w:rFonts w:ascii="Times New Roman" w:hAnsi="Times New Roman"/>
          <w:sz w:val="22"/>
        </w:rPr>
        <w:t xml:space="preserve">1.2. Наименования и цены Продуктов, на которые передаются права, указываются в Спецификации (Приложение № 1 данного </w:t>
      </w:r>
      <w:r>
        <w:rPr>
          <w:rFonts w:ascii="Times New Roman" w:hAnsi="Times New Roman"/>
          <w:sz w:val="22"/>
        </w:rPr>
        <w:t>Контракт</w:t>
      </w:r>
      <w:r>
        <w:rPr>
          <w:rFonts w:ascii="Times New Roman" w:hAnsi="Times New Roman"/>
          <w:sz w:val="22"/>
        </w:rPr>
        <w:t xml:space="preserve">а) и акте приема-передачи прав. </w:t>
      </w:r>
    </w:p>
    <w:p w14:paraId="43010000">
      <w:pPr>
        <w:pStyle w:val="Style_15"/>
        <w:spacing w:before="0" w:line="264" w:lineRule="auto"/>
        <w:ind w:firstLine="539" w:left="0"/>
        <w:rPr>
          <w:rFonts w:ascii="Times New Roman" w:hAnsi="Times New Roman"/>
          <w:sz w:val="22"/>
        </w:rPr>
      </w:pPr>
      <w:r>
        <w:rPr>
          <w:rFonts w:ascii="Times New Roman" w:hAnsi="Times New Roman"/>
          <w:sz w:val="22"/>
        </w:rPr>
        <w:t xml:space="preserve">При этом под "ценой" Продукта в настоящем </w:t>
      </w:r>
      <w:r>
        <w:rPr>
          <w:rFonts w:ascii="Times New Roman" w:hAnsi="Times New Roman"/>
          <w:sz w:val="22"/>
        </w:rPr>
        <w:t>Контракт</w:t>
      </w:r>
      <w:r>
        <w:rPr>
          <w:rFonts w:ascii="Times New Roman" w:hAnsi="Times New Roman"/>
          <w:sz w:val="22"/>
        </w:rPr>
        <w:t>е подразумевается вознаграждение, которое выплачивается Лицензиару за переданные неисключительные права на Продукт.</w:t>
      </w:r>
    </w:p>
    <w:p w14:paraId="44010000">
      <w:pPr>
        <w:pStyle w:val="Style_15"/>
        <w:spacing w:before="0" w:line="264" w:lineRule="auto"/>
        <w:ind w:firstLine="539" w:left="0"/>
        <w:rPr>
          <w:rFonts w:ascii="Times New Roman" w:hAnsi="Times New Roman"/>
          <w:sz w:val="22"/>
        </w:rPr>
      </w:pPr>
      <w:r>
        <w:rPr>
          <w:rFonts w:ascii="Times New Roman" w:hAnsi="Times New Roman"/>
          <w:sz w:val="22"/>
        </w:rPr>
        <w:t>1.3. Территория правомерного использования Продукта – Российская Федерация. Срок правомерного использования Продукта максимально возможный.</w:t>
      </w:r>
    </w:p>
    <w:p w14:paraId="45010000">
      <w:pPr>
        <w:pStyle w:val="Style_15"/>
        <w:spacing w:before="0" w:line="264" w:lineRule="auto"/>
        <w:ind w:firstLine="539" w:left="0"/>
        <w:rPr>
          <w:rFonts w:ascii="Times New Roman" w:hAnsi="Times New Roman"/>
          <w:sz w:val="22"/>
        </w:rPr>
      </w:pPr>
    </w:p>
    <w:p w14:paraId="46010000">
      <w:pPr>
        <w:pStyle w:val="Style_15"/>
        <w:spacing w:before="0" w:line="264" w:lineRule="auto"/>
        <w:ind/>
        <w:jc w:val="center"/>
        <w:rPr>
          <w:sz w:val="22"/>
        </w:rPr>
      </w:pPr>
      <w:r>
        <w:rPr>
          <w:rFonts w:ascii="Times New Roman" w:hAnsi="Times New Roman"/>
          <w:sz w:val="22"/>
        </w:rPr>
        <w:t>2. ПРАВА И ОБЯЗАТЕЛЬСТВА</w:t>
      </w:r>
    </w:p>
    <w:p w14:paraId="47010000">
      <w:pPr>
        <w:spacing w:line="264" w:lineRule="auto"/>
        <w:ind w:firstLine="539" w:left="0"/>
        <w:jc w:val="both"/>
        <w:rPr>
          <w:sz w:val="22"/>
        </w:rPr>
      </w:pPr>
      <w:r>
        <w:rPr>
          <w:sz w:val="22"/>
        </w:rPr>
        <w:t xml:space="preserve">2.1. Использование Лицензиатом не предусмотренным настоящим соглашением способом либо по прекращении срока действия правомерного использования Продукта, либо за пределами прав, предоставленных по настоящему соглашению, влечет ответственность, предусмотренную законодательством РФ. </w:t>
      </w:r>
    </w:p>
    <w:p w14:paraId="48010000">
      <w:pPr>
        <w:pStyle w:val="Style_14"/>
        <w:tabs>
          <w:tab w:leader="none" w:pos="709" w:val="left"/>
        </w:tabs>
        <w:spacing w:line="264" w:lineRule="auto"/>
        <w:ind w:firstLine="539" w:left="0"/>
        <w:jc w:val="both"/>
        <w:rPr>
          <w:sz w:val="22"/>
        </w:rPr>
      </w:pPr>
      <w:r>
        <w:rPr>
          <w:sz w:val="22"/>
        </w:rPr>
        <w:t>2.2. Лицензиат обязуется не вносить изменения в Продукты, не осуществлять модификацию, адаптацию, декомпиляцию, дизассемблирование и иные действия, нарушающие права авторов на неприкосновенность программного обеспечения.</w:t>
      </w:r>
    </w:p>
    <w:p w14:paraId="49010000">
      <w:pPr>
        <w:pStyle w:val="Style_14"/>
        <w:tabs>
          <w:tab w:leader="none" w:pos="720" w:val="left"/>
        </w:tabs>
        <w:spacing w:line="264" w:lineRule="auto"/>
        <w:ind w:firstLine="539" w:left="0"/>
        <w:jc w:val="both"/>
        <w:rPr>
          <w:sz w:val="22"/>
        </w:rPr>
      </w:pPr>
      <w:r>
        <w:rPr>
          <w:sz w:val="22"/>
        </w:rPr>
        <w:t xml:space="preserve">2.3. Лицензиат не имеет права перерабатывать полученные от Лицензиара Продукты, а также продавать, сдавать в аренду или безвозмездное пользование третьим лицам. </w:t>
      </w:r>
    </w:p>
    <w:p w14:paraId="4A010000">
      <w:pPr>
        <w:pStyle w:val="Style_14"/>
        <w:tabs>
          <w:tab w:leader="none" w:pos="720" w:val="left"/>
        </w:tabs>
        <w:spacing w:line="264" w:lineRule="auto"/>
        <w:ind w:firstLine="539" w:left="0"/>
        <w:jc w:val="both"/>
        <w:rPr>
          <w:sz w:val="22"/>
        </w:rPr>
      </w:pPr>
    </w:p>
    <w:tbl>
      <w:tblPr>
        <w:tblStyle w:val="Style_8"/>
        <w:tblW w:type="auto" w:w="0"/>
        <w:jc w:val="center"/>
        <w:tblLayout w:type="fixed"/>
      </w:tblPr>
      <w:tblGrid>
        <w:gridCol w:w="5052"/>
        <w:gridCol w:w="5155"/>
      </w:tblGrid>
      <w:tr>
        <w:tc>
          <w:tcPr>
            <w:tcW w:type="dxa" w:w="5052"/>
          </w:tcPr>
          <w:p w14:paraId="4B010000">
            <w:pPr>
              <w:spacing w:line="276" w:lineRule="auto"/>
              <w:ind w:right="217"/>
              <w:jc w:val="both"/>
              <w:rPr>
                <w:sz w:val="22"/>
              </w:rPr>
            </w:pPr>
            <w:r>
              <w:rPr>
                <w:sz w:val="22"/>
              </w:rPr>
              <w:t>Лицензиат</w:t>
            </w:r>
            <w:r>
              <w:rPr>
                <w:b w:val="1"/>
                <w:sz w:val="22"/>
              </w:rPr>
              <w:t>:</w:t>
            </w:r>
          </w:p>
          <w:p w14:paraId="4C010000">
            <w:pPr>
              <w:rPr>
                <w:b w:val="1"/>
                <w:sz w:val="22"/>
              </w:rPr>
            </w:pPr>
            <w:r>
              <w:rPr>
                <w:b w:val="1"/>
                <w:sz w:val="22"/>
              </w:rPr>
              <w:t>ФГБОУ ВО РОСТГМУ МИНЗДРАВА РОССИИ</w:t>
            </w:r>
          </w:p>
        </w:tc>
        <w:tc>
          <w:tcPr>
            <w:tcW w:type="dxa" w:w="5155"/>
          </w:tcPr>
          <w:p w14:paraId="4D010000">
            <w:pPr>
              <w:spacing w:line="276" w:lineRule="auto"/>
              <w:ind w:right="176"/>
              <w:jc w:val="both"/>
              <w:rPr>
                <w:sz w:val="22"/>
              </w:rPr>
            </w:pPr>
            <w:r>
              <w:rPr>
                <w:sz w:val="22"/>
              </w:rPr>
              <w:t>Лицензиар</w:t>
            </w:r>
            <w:r>
              <w:rPr>
                <w:b w:val="1"/>
                <w:sz w:val="22"/>
              </w:rPr>
              <w:t>:</w:t>
            </w:r>
          </w:p>
          <w:p w14:paraId="4E010000">
            <w:pPr>
              <w:spacing w:line="276" w:lineRule="auto"/>
              <w:ind/>
              <w:jc w:val="both"/>
              <w:rPr>
                <w:b w:val="1"/>
                <w:sz w:val="22"/>
              </w:rPr>
            </w:pPr>
            <w:r>
              <w:rPr>
                <w:b w:val="1"/>
                <w:sz w:val="22"/>
              </w:rPr>
              <w:t>ГБУ РО «РЦИС»</w:t>
            </w:r>
          </w:p>
        </w:tc>
      </w:tr>
      <w:tr>
        <w:trPr>
          <w:trHeight w:hRule="atLeast" w:val="1228"/>
        </w:trPr>
        <w:tc>
          <w:tcPr>
            <w:tcW w:type="dxa" w:w="5052"/>
          </w:tcPr>
          <w:p w14:paraId="4F010000">
            <w:pPr>
              <w:spacing w:after="0"/>
              <w:ind/>
              <w:jc w:val="left"/>
              <w:rPr>
                <w:b w:val="1"/>
                <w:color w:val="000000"/>
                <w:sz w:val="20"/>
              </w:rPr>
            </w:pPr>
            <w:r>
              <w:rPr>
                <w:b w:val="1"/>
                <w:color w:val="000000"/>
                <w:sz w:val="20"/>
              </w:rPr>
              <w:t>И.о</w:t>
            </w:r>
            <w:r>
              <w:rPr>
                <w:b w:val="1"/>
                <w:color w:val="000000"/>
                <w:sz w:val="20"/>
              </w:rPr>
              <w:t xml:space="preserve">. ректора ФГБОУ ВО </w:t>
            </w:r>
            <w:r>
              <w:rPr>
                <w:b w:val="1"/>
                <w:color w:val="000000"/>
                <w:sz w:val="20"/>
              </w:rPr>
              <w:t>РостГМУ</w:t>
            </w:r>
            <w:r>
              <w:rPr>
                <w:b w:val="1"/>
                <w:color w:val="000000"/>
                <w:sz w:val="20"/>
              </w:rPr>
              <w:t xml:space="preserve"> </w:t>
            </w:r>
          </w:p>
          <w:p w14:paraId="50010000">
            <w:pPr>
              <w:spacing w:after="0"/>
              <w:ind/>
              <w:jc w:val="left"/>
              <w:rPr>
                <w:b w:val="1"/>
                <w:color w:val="000000"/>
                <w:sz w:val="20"/>
              </w:rPr>
            </w:pPr>
            <w:r>
              <w:rPr>
                <w:b w:val="1"/>
                <w:color w:val="000000"/>
                <w:sz w:val="20"/>
              </w:rPr>
              <w:t>Минздрава России</w:t>
            </w:r>
          </w:p>
          <w:p w14:paraId="51010000">
            <w:pPr>
              <w:spacing w:after="0"/>
              <w:ind/>
              <w:jc w:val="left"/>
              <w:rPr>
                <w:color w:val="000000"/>
                <w:sz w:val="20"/>
              </w:rPr>
            </w:pPr>
          </w:p>
          <w:p w14:paraId="52010000">
            <w:pPr>
              <w:spacing w:after="0"/>
              <w:ind/>
              <w:rPr>
                <w:color w:val="000000"/>
                <w:sz w:val="20"/>
              </w:rPr>
            </w:pPr>
            <w:r>
              <w:rPr>
                <w:color w:val="000000"/>
                <w:sz w:val="20"/>
              </w:rPr>
              <w:t>__________________</w:t>
            </w:r>
            <w:r>
              <w:rPr>
                <w:b w:val="1"/>
                <w:color w:val="000000"/>
                <w:sz w:val="20"/>
              </w:rPr>
              <w:t xml:space="preserve"> /</w:t>
            </w:r>
            <w:r>
              <w:rPr>
                <w:b w:val="1"/>
                <w:color w:val="000000"/>
                <w:sz w:val="20"/>
              </w:rPr>
              <w:t>М.А.Шишов/</w:t>
            </w:r>
          </w:p>
          <w:p w14:paraId="53010000">
            <w:r>
              <w:rPr>
                <w:b w:val="1"/>
                <w:color w:val="000000"/>
                <w:sz w:val="20"/>
              </w:rPr>
              <w:t>э.ц.п.</w:t>
            </w:r>
          </w:p>
        </w:tc>
        <w:tc>
          <w:tcPr>
            <w:tcW w:type="dxa" w:w="5155"/>
          </w:tcPr>
          <w:p w14:paraId="54010000">
            <w:pPr>
              <w:ind w:right="34"/>
              <w:rPr>
                <w:sz w:val="22"/>
              </w:rPr>
            </w:pPr>
          </w:p>
        </w:tc>
      </w:tr>
    </w:tbl>
    <w:p w14:paraId="55010000">
      <w:pPr>
        <w:rPr>
          <w:sz w:val="22"/>
        </w:rPr>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distB="0" distL="0" distR="0" distT="0" layoutInCell="true" locked="false" relativeHeight="251658240" simplePos="false">
                <wp:simplePos x="0" y="0"/>
                <wp:positionH relativeFrom="column">
                  <wp:posOffset>-36511</wp:posOffset>
                </wp:positionH>
                <wp:positionV relativeFrom="page">
                  <wp:posOffset>396859</wp:posOffset>
                </wp:positionV>
                <wp:extent cx="6704965" cy="8711565"/>
                <wp:wrapNone/>
                <wp:docPr hidden="false" id="1" name="Picture 1"/>
                <a:graphic>
                  <a:graphicData uri="http://schemas.microsoft.com/office/word/2010/wordprocessingShape">
                    <wps:wsp>
                      <wps:cNvSpPr txBox="false"/>
                      <wps:spPr>
                        <a:xfrm flipH="false" flipV="false" rot="0">
                          <a:off x="0" y="0"/>
                          <a:ext cx="6704965" cy="8711565"/>
                        </a:xfrm>
                        <a:prstGeom prst="rect">
                          <a:avLst/>
                        </a:prstGeom>
                        <a:noFill/>
                        <a:ln w="0">
                          <a:noFill/>
                        </a:ln>
                      </wps:spPr>
                      <wps:txbx>
                        <w:txbxContent>
                          <w:p w14:paraId="56010000">
                            <w:pPr>
                              <w:pStyle w:val="Style_10"/>
                              <w:spacing w:after="0" w:before="0"/>
                              <w:ind/>
                              <w:jc w:val="right"/>
                              <w:rPr>
                                <w:color w:val="000000"/>
                              </w:rPr>
                            </w:pPr>
                            <w:r>
                              <w:rPr>
                                <w:rFonts w:ascii="Times New Roman" w:hAnsi="Times New Roman"/>
                                <w:b w:val="0"/>
                                <w:color w:val="000000"/>
                                <w:sz w:val="24"/>
                              </w:rPr>
                              <w:t>Приложение № 4</w:t>
                            </w:r>
                          </w:p>
                          <w:p w14:paraId="57010000">
                            <w:pPr>
                              <w:pStyle w:val="Style_16"/>
                              <w:widowControl w:val="0"/>
                              <w:ind w:firstLine="0" w:left="6237"/>
                              <w:jc w:val="right"/>
                              <w:rPr>
                                <w:sz w:val="22"/>
                              </w:rPr>
                            </w:pPr>
                            <w:r>
                              <w:rPr>
                                <w:color w:val="000000"/>
                              </w:rPr>
                              <w:tab/>
                            </w:r>
                            <w:r>
                              <w:rPr>
                                <w:color w:val="000000"/>
                              </w:rPr>
                              <w:tab/>
                            </w:r>
                            <w:r>
                              <w:rPr>
                                <w:sz w:val="22"/>
                              </w:rPr>
                              <w:t xml:space="preserve">к </w:t>
                            </w:r>
                            <w:r>
                              <w:rPr>
                                <w:sz w:val="22"/>
                              </w:rPr>
                              <w:t>Контракт</w:t>
                            </w:r>
                            <w:r>
                              <w:rPr>
                                <w:sz w:val="22"/>
                              </w:rPr>
                              <w:t>у №</w:t>
                            </w:r>
                            <w:r>
                              <w:rPr>
                                <w:sz w:val="22"/>
                              </w:rPr>
                              <w:t xml:space="preserve"> </w:t>
                            </w:r>
                            <w:r>
                              <w:rPr>
                                <w:sz w:val="22"/>
                              </w:rPr>
                              <w:t>РГМУ</w:t>
                            </w:r>
                            <w:r>
                              <w:rPr>
                                <w:sz w:val="22"/>
                              </w:rPr>
                              <w:t xml:space="preserve"> </w:t>
                            </w:r>
                            <w:r>
                              <w:rPr>
                                <w:sz w:val="22"/>
                              </w:rPr>
                              <w:t>33544</w:t>
                            </w:r>
                          </w:p>
                          <w:p w14:paraId="58010000">
                            <w:pPr>
                              <w:pStyle w:val="Style_16"/>
                              <w:widowControl w:val="0"/>
                              <w:ind w:firstLine="0" w:left="6237"/>
                              <w:jc w:val="right"/>
                              <w:rPr>
                                <w:sz w:val="22"/>
                              </w:rPr>
                            </w:pPr>
                            <w:r>
                              <w:rPr>
                                <w:sz w:val="22"/>
                              </w:rPr>
                              <w:t xml:space="preserve">от </w:t>
                            </w:r>
                            <w:r>
                              <w:rPr>
                                <w:color w:val="000000"/>
                                <w:sz w:val="22"/>
                              </w:rPr>
                              <w:t>«__</w:t>
                            </w:r>
                            <w:r>
                              <w:rPr>
                                <w:color w:val="000000"/>
                                <w:sz w:val="22"/>
                              </w:rPr>
                              <w:t>_»_</w:t>
                            </w:r>
                            <w:r>
                              <w:rPr>
                                <w:color w:val="000000"/>
                                <w:sz w:val="22"/>
                              </w:rPr>
                              <w:t>_______</w:t>
                            </w:r>
                            <w:r>
                              <w:rPr>
                                <w:color w:val="000000"/>
                                <w:sz w:val="22"/>
                              </w:rPr>
                              <w:t xml:space="preserve">2026 </w:t>
                            </w:r>
                            <w:r>
                              <w:rPr>
                                <w:color w:val="000000"/>
                                <w:sz w:val="22"/>
                              </w:rPr>
                              <w:t>г.</w:t>
                            </w:r>
                          </w:p>
                          <w:p w14:paraId="59010000">
                            <w:pPr>
                              <w:pStyle w:val="Style_16"/>
                              <w:ind/>
                              <w:jc w:val="right"/>
                              <w:rPr>
                                <w:color w:val="000000"/>
                              </w:rPr>
                            </w:pPr>
                            <w:r>
                              <w:rPr>
                                <w:color w:val="000000"/>
                              </w:rPr>
                              <w:t xml:space="preserve">                                                                 Форма доверенности</w:t>
                            </w:r>
                          </w:p>
                          <w:p w14:paraId="5A010000">
                            <w:pPr>
                              <w:pStyle w:val="Style_17"/>
                              <w:rPr>
                                <w:color w:val="000000"/>
                              </w:rPr>
                            </w:pPr>
                          </w:p>
                          <w:tbl>
                            <w:tblPr>
                              <w:tblStyle w:val="Style_8"/>
                              <w:tblW w:type="auto" w:w="0"/>
                              <w:tblInd w:type="dxa" w:w="-147"/>
                              <w:tblLayout w:type="fixed"/>
                            </w:tblPr>
                            <w:tblGrid>
                              <w:gridCol w:w="183"/>
                              <w:gridCol w:w="4926"/>
                              <w:gridCol w:w="5381"/>
                              <w:gridCol w:w="20"/>
                            </w:tblGrid>
                            <w:tr>
                              <w:trPr>
                                <w:trHeight w:hRule="atLeast" w:val="8750"/>
                              </w:trPr>
                              <w:tc>
                                <w:tcPr>
                                  <w:tcW w:type="dxa" w:w="10490"/>
                                  <w:gridSpan w:val="3"/>
                                  <w:tcBorders>
                                    <w:top w:color="000000" w:sz="4" w:val="single"/>
                                    <w:left w:color="000000" w:sz="4" w:val="single"/>
                                    <w:bottom w:color="000000" w:sz="4" w:val="single"/>
                                    <w:right w:color="000000" w:sz="4" w:val="single"/>
                                  </w:tcBorders>
                                </w:tcPr>
                                <w:p w14:paraId="5B010000">
                                  <w:pPr>
                                    <w:pStyle w:val="Style_17"/>
                                    <w:ind/>
                                    <w:jc w:val="center"/>
                                    <w:rPr>
                                      <w:sz w:val="20"/>
                                    </w:rPr>
                                  </w:pPr>
                                  <w:r>
                                    <w:rPr>
                                      <w:sz w:val="20"/>
                                    </w:rPr>
                                    <w:t>ПЕЧАТАЕТСЯ НА БЛАНКЕ ОРГАНИЗАЦИИ</w:t>
                                  </w:r>
                                </w:p>
                                <w:p w14:paraId="5C010000">
                                  <w:pPr>
                                    <w:pStyle w:val="Style_17"/>
                                    <w:ind/>
                                    <w:jc w:val="center"/>
                                    <w:rPr>
                                      <w:b w:val="1"/>
                                      <w:sz w:val="20"/>
                                    </w:rPr>
                                  </w:pPr>
                                </w:p>
                                <w:p w14:paraId="5D010000">
                                  <w:pPr>
                                    <w:pStyle w:val="Style_17"/>
                                    <w:tabs>
                                      <w:tab w:leader="none" w:pos="396" w:val="left"/>
                                    </w:tabs>
                                    <w:ind/>
                                    <w:rPr>
                                      <w:b w:val="1"/>
                                      <w:sz w:val="20"/>
                                    </w:rPr>
                                  </w:pPr>
                                  <w:r>
                                    <w:rPr>
                                      <w:b w:val="1"/>
                                      <w:sz w:val="20"/>
                                    </w:rPr>
                                    <w:tab/>
                                  </w:r>
                                  <w:r>
                                    <w:rPr>
                                      <w:b w:val="1"/>
                                      <w:sz w:val="20"/>
                                    </w:rPr>
                                    <w:t>________________________________________________________________________________</w:t>
                                  </w:r>
                                </w:p>
                                <w:p w14:paraId="5E010000">
                                  <w:pPr>
                                    <w:pStyle w:val="Style_17"/>
                                    <w:ind/>
                                    <w:jc w:val="center"/>
                                    <w:rPr>
                                      <w:b w:val="1"/>
                                      <w:sz w:val="20"/>
                                    </w:rPr>
                                  </w:pPr>
                                  <w:r>
                                    <w:rPr>
                                      <w:b w:val="1"/>
                                      <w:sz w:val="20"/>
                                    </w:rPr>
                                    <w:t>ДОВЕРЕННОСТЬ</w:t>
                                  </w:r>
                                </w:p>
                                <w:p w14:paraId="5F010000">
                                  <w:pPr>
                                    <w:pStyle w:val="Style_17"/>
                                    <w:ind w:firstLine="0" w:left="390"/>
                                  </w:pPr>
                                  <w:r>
                                    <w:rPr>
                                      <w:sz w:val="20"/>
                                      <w:u w:val="single"/>
                                    </w:rPr>
                                    <w:t>______________</w:t>
                                  </w:r>
                                  <w:r>
                                    <w:rPr>
                                      <w:sz w:val="20"/>
                                    </w:rPr>
                                    <w:tab/>
                                  </w:r>
                                  <w:r>
                                    <w:rPr>
                                      <w:sz w:val="20"/>
                                    </w:rPr>
                                    <w:tab/>
                                  </w:r>
                                  <w:r>
                                    <w:rPr>
                                      <w:sz w:val="20"/>
                                    </w:rPr>
                                    <w:tab/>
                                  </w:r>
                                  <w:r>
                                    <w:rPr>
                                      <w:sz w:val="20"/>
                                    </w:rPr>
                                    <w:tab/>
                                  </w:r>
                                  <w:r>
                                    <w:rPr>
                                      <w:sz w:val="20"/>
                                    </w:rPr>
                                    <w:tab/>
                                  </w:r>
                                  <w:r>
                                    <w:rPr>
                                      <w:sz w:val="20"/>
                                    </w:rPr>
                                    <w:tab/>
                                  </w:r>
                                  <w:r>
                                    <w:rPr>
                                      <w:sz w:val="20"/>
                                    </w:rPr>
                                    <w:t xml:space="preserve">                                     «__» ________ 202</w:t>
                                  </w:r>
                                  <w:r>
                                    <w:rPr>
                                      <w:sz w:val="20"/>
                                    </w:rPr>
                                    <w:t>6</w:t>
                                  </w:r>
                                  <w:r>
                                    <w:rPr>
                                      <w:sz w:val="20"/>
                                    </w:rPr>
                                    <w:t xml:space="preserve"> г.</w:t>
                                  </w:r>
                                </w:p>
                                <w:p w14:paraId="60010000">
                                  <w:pPr>
                                    <w:pStyle w:val="Style_17"/>
                                    <w:ind w:firstLine="0" w:left="390"/>
                                    <w:rPr>
                                      <w:sz w:val="20"/>
                                    </w:rPr>
                                  </w:pPr>
                                  <w:r>
                                    <w:rPr>
                                      <w:sz w:val="20"/>
                                    </w:rPr>
                                    <w:t>(город, поселок, пр.)</w:t>
                                  </w:r>
                                </w:p>
                                <w:p w14:paraId="61010000">
                                  <w:pPr>
                                    <w:pStyle w:val="Style_17"/>
                                    <w:ind w:firstLine="0" w:left="390"/>
                                    <w:rPr>
                                      <w:sz w:val="20"/>
                                    </w:rPr>
                                  </w:pPr>
                                  <w:r>
                                    <w:rPr>
                                      <w:sz w:val="20"/>
                                    </w:rPr>
                                    <w:t>________________________________________________________________________________</w:t>
                                  </w:r>
                                </w:p>
                                <w:p w14:paraId="62010000">
                                  <w:pPr>
                                    <w:pStyle w:val="Style_18"/>
                                    <w:tabs>
                                      <w:tab w:leader="none" w:pos="0" w:val="clear"/>
                                      <w:tab w:leader="none" w:pos="959" w:val="clear"/>
                                      <w:tab w:leader="none" w:pos="1918" w:val="clear"/>
                                      <w:tab w:leader="none" w:pos="2877" w:val="clear"/>
                                      <w:tab w:leader="none" w:pos="3836" w:val="clear"/>
                                      <w:tab w:leader="none" w:pos="4795" w:val="clear"/>
                                      <w:tab w:leader="none" w:pos="5754" w:val="clear"/>
                                      <w:tab w:leader="none" w:pos="6713" w:val="clear"/>
                                      <w:tab w:leader="none" w:pos="7672" w:val="clear"/>
                                      <w:tab w:leader="none" w:pos="8631" w:val="clear"/>
                                      <w:tab w:leader="none" w:pos="9590" w:val="clear"/>
                                      <w:tab w:leader="underscore" w:pos="9639" w:val="left"/>
                                    </w:tabs>
                                    <w:ind/>
                                    <w:jc w:val="center"/>
                                    <w:rPr>
                                      <w:rFonts w:ascii="Times New Roman" w:hAnsi="Times New Roman"/>
                                    </w:rPr>
                                  </w:pPr>
                                  <w:r>
                                    <w:rPr>
                                      <w:rFonts w:ascii="Times New Roman" w:hAnsi="Times New Roman"/>
                                    </w:rPr>
                                    <w:t>(наименование организации)</w:t>
                                  </w:r>
                                </w:p>
                                <w:p w14:paraId="63010000">
                                  <w:pPr>
                                    <w:pStyle w:val="Style_18"/>
                                    <w:tabs>
                                      <w:tab w:leader="none" w:pos="0" w:val="clear"/>
                                      <w:tab w:leader="none" w:pos="959" w:val="clear"/>
                                      <w:tab w:leader="none" w:pos="1918" w:val="clear"/>
                                      <w:tab w:leader="none" w:pos="2877" w:val="clear"/>
                                      <w:tab w:leader="none" w:pos="3836" w:val="clear"/>
                                      <w:tab w:leader="none" w:pos="4795" w:val="clear"/>
                                      <w:tab w:leader="none" w:pos="5754" w:val="clear"/>
                                      <w:tab w:leader="none" w:pos="6713" w:val="clear"/>
                                      <w:tab w:leader="none" w:pos="7672" w:val="clear"/>
                                      <w:tab w:leader="none" w:pos="8631" w:val="clear"/>
                                      <w:tab w:leader="none" w:pos="9590" w:val="clear"/>
                                      <w:tab w:leader="underscore" w:pos="9639" w:val="left"/>
                                    </w:tabs>
                                    <w:ind w:firstLine="0" w:left="390"/>
                                    <w:rPr>
                                      <w:rFonts w:ascii="Times New Roman" w:hAnsi="Times New Roman"/>
                                    </w:rPr>
                                  </w:pPr>
                                  <w:r>
                                    <w:rPr>
                                      <w:rFonts w:ascii="Times New Roman" w:hAnsi="Times New Roman"/>
                                    </w:rPr>
                                    <w:t>в лице __________________________________________________________________________</w:t>
                                  </w:r>
                                </w:p>
                                <w:p w14:paraId="64010000">
                                  <w:pPr>
                                    <w:pStyle w:val="Style_18"/>
                                    <w:tabs>
                                      <w:tab w:leader="none" w:pos="0" w:val="clear"/>
                                      <w:tab w:leader="none" w:pos="959" w:val="clear"/>
                                      <w:tab w:leader="none" w:pos="1918" w:val="clear"/>
                                      <w:tab w:leader="none" w:pos="2877" w:val="clear"/>
                                      <w:tab w:leader="none" w:pos="3836" w:val="clear"/>
                                      <w:tab w:leader="none" w:pos="4795" w:val="clear"/>
                                      <w:tab w:leader="none" w:pos="5754" w:val="clear"/>
                                      <w:tab w:leader="none" w:pos="6713" w:val="clear"/>
                                      <w:tab w:leader="none" w:pos="7672" w:val="clear"/>
                                      <w:tab w:leader="none" w:pos="8631" w:val="clear"/>
                                      <w:tab w:leader="none" w:pos="9590" w:val="clear"/>
                                      <w:tab w:leader="underscore" w:pos="9639" w:val="left"/>
                                    </w:tabs>
                                    <w:ind/>
                                    <w:jc w:val="center"/>
                                    <w:rPr>
                                      <w:rFonts w:ascii="Times New Roman" w:hAnsi="Times New Roman"/>
                                    </w:rPr>
                                  </w:pPr>
                                  <w:r>
                                    <w:rPr>
                                      <w:rFonts w:ascii="Times New Roman" w:hAnsi="Times New Roman"/>
                                    </w:rPr>
                                    <w:t>(должность, ФИО руководителя)</w:t>
                                  </w:r>
                                </w:p>
                                <w:p w14:paraId="65010000">
                                  <w:pPr>
                                    <w:pStyle w:val="Style_18"/>
                                    <w:tabs>
                                      <w:tab w:leader="none" w:pos="0" w:val="clear"/>
                                      <w:tab w:leader="none" w:pos="959" w:val="clear"/>
                                      <w:tab w:leader="none" w:pos="1918" w:val="clear"/>
                                      <w:tab w:leader="none" w:pos="2877" w:val="clear"/>
                                      <w:tab w:leader="none" w:pos="3836" w:val="clear"/>
                                      <w:tab w:leader="none" w:pos="4795" w:val="clear"/>
                                      <w:tab w:leader="none" w:pos="5754" w:val="clear"/>
                                      <w:tab w:leader="none" w:pos="6713" w:val="clear"/>
                                      <w:tab w:leader="none" w:pos="7672" w:val="clear"/>
                                      <w:tab w:leader="none" w:pos="8631" w:val="clear"/>
                                      <w:tab w:leader="none" w:pos="9590" w:val="clear"/>
                                      <w:tab w:leader="underscore" w:pos="9639" w:val="left"/>
                                    </w:tabs>
                                    <w:ind w:firstLine="0" w:left="390"/>
                                    <w:jc w:val="both"/>
                                    <w:rPr>
                                      <w:rFonts w:ascii="Times New Roman" w:hAnsi="Times New Roman"/>
                                    </w:rPr>
                                  </w:pPr>
                                  <w:r>
                                    <w:rPr>
                                      <w:rFonts w:ascii="Times New Roman" w:hAnsi="Times New Roman"/>
                                    </w:rPr>
                                    <w:t>действующего на основании Положения</w:t>
                                  </w:r>
                                </w:p>
                                <w:p w14:paraId="66010000">
                                  <w:pPr>
                                    <w:pStyle w:val="Style_18"/>
                                    <w:tabs>
                                      <w:tab w:leader="none" w:pos="0" w:val="clear"/>
                                      <w:tab w:leader="none" w:pos="959" w:val="clear"/>
                                      <w:tab w:leader="none" w:pos="1918" w:val="clear"/>
                                      <w:tab w:leader="none" w:pos="2877" w:val="clear"/>
                                      <w:tab w:leader="none" w:pos="3836" w:val="clear"/>
                                      <w:tab w:leader="none" w:pos="4795" w:val="clear"/>
                                      <w:tab w:leader="none" w:pos="5754" w:val="clear"/>
                                      <w:tab w:leader="none" w:pos="6713" w:val="clear"/>
                                      <w:tab w:leader="none" w:pos="7672" w:val="clear"/>
                                      <w:tab w:leader="none" w:pos="8631" w:val="clear"/>
                                      <w:tab w:leader="none" w:pos="9590" w:val="clear"/>
                                      <w:tab w:leader="underscore" w:pos="9639" w:val="left"/>
                                    </w:tabs>
                                    <w:ind w:firstLine="0" w:left="390"/>
                                  </w:pPr>
                                  <w:r>
                                    <w:rPr>
                                      <w:rFonts w:ascii="Times New Roman" w:hAnsi="Times New Roman"/>
                                    </w:rPr>
                                    <w:t xml:space="preserve">                           (Устава, Положения, Доверенности)</w:t>
                                  </w:r>
                                </w:p>
                                <w:p w14:paraId="67010000">
                                  <w:pPr>
                                    <w:pStyle w:val="Style_18"/>
                                    <w:tabs>
                                      <w:tab w:leader="none" w:pos="0" w:val="clear"/>
                                      <w:tab w:leader="none" w:pos="959" w:val="clear"/>
                                      <w:tab w:leader="none" w:pos="1918" w:val="clear"/>
                                      <w:tab w:leader="none" w:pos="2877" w:val="clear"/>
                                      <w:tab w:leader="none" w:pos="3836" w:val="clear"/>
                                      <w:tab w:leader="none" w:pos="4795" w:val="clear"/>
                                      <w:tab w:leader="none" w:pos="5754" w:val="clear"/>
                                      <w:tab w:leader="none" w:pos="6713" w:val="clear"/>
                                      <w:tab w:leader="none" w:pos="7672" w:val="clear"/>
                                      <w:tab w:leader="none" w:pos="8631" w:val="clear"/>
                                      <w:tab w:leader="none" w:pos="9590" w:val="clear"/>
                                      <w:tab w:leader="underscore" w:pos="9639" w:val="left"/>
                                    </w:tabs>
                                    <w:ind w:firstLine="0" w:left="390"/>
                                    <w:jc w:val="both"/>
                                    <w:rPr>
                                      <w:rFonts w:ascii="Times New Roman" w:hAnsi="Times New Roman"/>
                                    </w:rPr>
                                  </w:pPr>
                                  <w:r>
                                    <w:rPr>
                                      <w:rFonts w:ascii="Times New Roman" w:hAnsi="Times New Roman"/>
                                    </w:rPr>
                                    <w:t>поручает</w:t>
                                  </w:r>
                                </w:p>
                                <w:p w14:paraId="68010000">
                                  <w:pPr>
                                    <w:pStyle w:val="Style_18"/>
                                    <w:tabs>
                                      <w:tab w:leader="none" w:pos="0" w:val="clear"/>
                                      <w:tab w:leader="none" w:pos="959" w:val="clear"/>
                                      <w:tab w:leader="none" w:pos="1918" w:val="clear"/>
                                      <w:tab w:leader="none" w:pos="2877" w:val="clear"/>
                                      <w:tab w:leader="none" w:pos="3836" w:val="clear"/>
                                      <w:tab w:leader="none" w:pos="4795" w:val="clear"/>
                                      <w:tab w:leader="none" w:pos="5754" w:val="clear"/>
                                      <w:tab w:leader="none" w:pos="6713" w:val="clear"/>
                                      <w:tab w:leader="none" w:pos="7672" w:val="clear"/>
                                      <w:tab w:leader="none" w:pos="8631" w:val="clear"/>
                                      <w:tab w:leader="none" w:pos="9590" w:val="clear"/>
                                      <w:tab w:leader="underscore" w:pos="9639" w:val="left"/>
                                    </w:tabs>
                                    <w:ind w:firstLine="0" w:left="390"/>
                                    <w:rPr>
                                      <w:rFonts w:ascii="Times New Roman" w:hAnsi="Times New Roman"/>
                                    </w:rPr>
                                  </w:pPr>
                                </w:p>
                                <w:p w14:paraId="69010000">
                                  <w:pPr>
                                    <w:pStyle w:val="Style_18"/>
                                    <w:tabs>
                                      <w:tab w:leader="none" w:pos="0" w:val="clear"/>
                                      <w:tab w:leader="none" w:pos="959" w:val="clear"/>
                                      <w:tab w:leader="none" w:pos="1918" w:val="clear"/>
                                      <w:tab w:leader="none" w:pos="2877" w:val="clear"/>
                                      <w:tab w:leader="none" w:pos="3836" w:val="clear"/>
                                      <w:tab w:leader="none" w:pos="4795" w:val="clear"/>
                                      <w:tab w:leader="none" w:pos="5754" w:val="clear"/>
                                      <w:tab w:leader="none" w:pos="6713" w:val="clear"/>
                                      <w:tab w:leader="none" w:pos="7672" w:val="clear"/>
                                      <w:tab w:leader="none" w:pos="8631" w:val="clear"/>
                                      <w:tab w:leader="none" w:pos="9590" w:val="clear"/>
                                      <w:tab w:leader="underscore" w:pos="9639" w:val="left"/>
                                    </w:tabs>
                                    <w:ind/>
                                    <w:jc w:val="center"/>
                                    <w:rPr>
                                      <w:rFonts w:ascii="Times New Roman" w:hAnsi="Times New Roman"/>
                                    </w:rPr>
                                  </w:pPr>
                                  <w:r>
                                    <w:rPr>
                                      <w:rFonts w:ascii="Times New Roman" w:hAnsi="Times New Roman"/>
                                    </w:rPr>
                                    <w:t>(должность, ФИО представителя)</w:t>
                                  </w:r>
                                </w:p>
                                <w:p w14:paraId="6A010000">
                                  <w:pPr>
                                    <w:pStyle w:val="Style_18"/>
                                    <w:tabs>
                                      <w:tab w:leader="none" w:pos="0" w:val="clear"/>
                                      <w:tab w:leader="none" w:pos="959" w:val="clear"/>
                                      <w:tab w:leader="none" w:pos="1918" w:val="clear"/>
                                      <w:tab w:leader="none" w:pos="2877" w:val="clear"/>
                                      <w:tab w:leader="none" w:pos="3836" w:val="clear"/>
                                      <w:tab w:leader="none" w:pos="4795" w:val="clear"/>
                                      <w:tab w:leader="none" w:pos="5754" w:val="clear"/>
                                      <w:tab w:leader="none" w:pos="6713" w:val="clear"/>
                                      <w:tab w:leader="none" w:pos="7672" w:val="clear"/>
                                      <w:tab w:leader="none" w:pos="8631" w:val="clear"/>
                                      <w:tab w:leader="none" w:pos="9590" w:val="clear"/>
                                      <w:tab w:leader="underscore" w:pos="9639" w:val="left"/>
                                    </w:tabs>
                                    <w:ind w:firstLine="0" w:left="390"/>
                                    <w:rPr>
                                      <w:rFonts w:ascii="Times New Roman" w:hAnsi="Times New Roman"/>
                                    </w:rPr>
                                  </w:pPr>
                                </w:p>
                                <w:p w14:paraId="6B010000">
                                  <w:pPr>
                                    <w:pStyle w:val="Style_18"/>
                                    <w:tabs>
                                      <w:tab w:leader="none" w:pos="0" w:val="clear"/>
                                      <w:tab w:leader="none" w:pos="959" w:val="clear"/>
                                      <w:tab w:leader="none" w:pos="1918" w:val="clear"/>
                                      <w:tab w:leader="none" w:pos="2877" w:val="clear"/>
                                      <w:tab w:leader="underscore" w:pos="3402" w:val="left"/>
                                      <w:tab w:leader="none" w:pos="3836" w:val="clear"/>
                                      <w:tab w:leader="none" w:pos="4795" w:val="clear"/>
                                      <w:tab w:leader="none" w:pos="5754" w:val="clear"/>
                                      <w:tab w:leader="none" w:pos="6713" w:val="clear"/>
                                      <w:tab w:leader="none" w:pos="7672" w:val="clear"/>
                                      <w:tab w:leader="none" w:pos="8631" w:val="clear"/>
                                      <w:tab w:leader="none" w:pos="9590" w:val="clear"/>
                                      <w:tab w:leader="underscore" w:pos="9639" w:val="left"/>
                                    </w:tabs>
                                    <w:ind w:firstLine="0" w:left="390"/>
                                    <w:rPr>
                                      <w:rFonts w:ascii="Times New Roman" w:hAnsi="Times New Roman"/>
                                    </w:rPr>
                                  </w:pPr>
                                  <w:r>
                                    <w:rPr>
                                      <w:rFonts w:ascii="Times New Roman" w:hAnsi="Times New Roman"/>
                                    </w:rPr>
                                    <w:t xml:space="preserve">паспорт серия </w:t>
                                  </w:r>
                                  <w:r>
                                    <w:rPr>
                                      <w:rFonts w:ascii="Times New Roman" w:hAnsi="Times New Roman"/>
                                    </w:rPr>
                                    <w:tab/>
                                  </w:r>
                                  <w:r>
                                    <w:rPr>
                                      <w:rFonts w:ascii="Times New Roman" w:hAnsi="Times New Roman"/>
                                    </w:rPr>
                                    <w:t>номер</w:t>
                                  </w:r>
                                </w:p>
                                <w:p w14:paraId="6C010000">
                                  <w:pPr>
                                    <w:pStyle w:val="Style_18"/>
                                    <w:tabs>
                                      <w:tab w:leader="none" w:pos="0" w:val="clear"/>
                                      <w:tab w:leader="none" w:pos="959" w:val="clear"/>
                                      <w:tab w:leader="none" w:pos="1918" w:val="clear"/>
                                      <w:tab w:leader="none" w:pos="2877" w:val="clear"/>
                                      <w:tab w:leader="none" w:pos="3836" w:val="clear"/>
                                      <w:tab w:leader="none" w:pos="4795" w:val="clear"/>
                                      <w:tab w:leader="none" w:pos="5754" w:val="clear"/>
                                      <w:tab w:leader="none" w:pos="6713" w:val="clear"/>
                                      <w:tab w:leader="none" w:pos="7672" w:val="clear"/>
                                      <w:tab w:leader="none" w:pos="8631" w:val="clear"/>
                                      <w:tab w:leader="none" w:pos="9590" w:val="clear"/>
                                      <w:tab w:leader="underscore" w:pos="9639" w:val="left"/>
                                    </w:tabs>
                                    <w:ind w:firstLine="0" w:left="390"/>
                                    <w:rPr>
                                      <w:rFonts w:ascii="Times New Roman" w:hAnsi="Times New Roman"/>
                                    </w:rPr>
                                  </w:pPr>
                                  <w:r>
                                    <w:rPr>
                                      <w:rFonts w:ascii="Times New Roman" w:hAnsi="Times New Roman"/>
                                    </w:rPr>
                                    <w:t>кем выдан</w:t>
                                  </w:r>
                                </w:p>
                                <w:p w14:paraId="6D010000">
                                  <w:pPr>
                                    <w:pStyle w:val="Style_18"/>
                                    <w:tabs>
                                      <w:tab w:leader="none" w:pos="0" w:val="clear"/>
                                      <w:tab w:leader="none" w:pos="959" w:val="clear"/>
                                      <w:tab w:leader="none" w:pos="1918" w:val="clear"/>
                                      <w:tab w:leader="none" w:pos="2877" w:val="clear"/>
                                      <w:tab w:leader="none" w:pos="3836" w:val="clear"/>
                                      <w:tab w:leader="none" w:pos="4795" w:val="clear"/>
                                      <w:tab w:leader="none" w:pos="5754" w:val="clear"/>
                                      <w:tab w:leader="none" w:pos="6713" w:val="clear"/>
                                      <w:tab w:leader="none" w:pos="7672" w:val="clear"/>
                                      <w:tab w:leader="none" w:pos="8631" w:val="clear"/>
                                      <w:tab w:leader="none" w:pos="9590" w:val="clear"/>
                                      <w:tab w:leader="underscore" w:pos="9639" w:val="left"/>
                                    </w:tabs>
                                    <w:ind w:firstLine="0" w:left="390"/>
                                    <w:rPr>
                                      <w:rFonts w:ascii="Times New Roman" w:hAnsi="Times New Roman"/>
                                    </w:rPr>
                                  </w:pPr>
                                  <w:r>
                                    <w:rPr>
                                      <w:rFonts w:ascii="Times New Roman" w:hAnsi="Times New Roman"/>
                                    </w:rPr>
                                    <w:t>дата выдачи</w:t>
                                  </w:r>
                                  <w:r>
                                    <w:rPr>
                                      <w:rFonts w:ascii="Times New Roman" w:hAnsi="Times New Roman"/>
                                    </w:rPr>
                                    <w:t xml:space="preserve"> </w:t>
                                  </w:r>
                                  <w:r>
                                    <w:rPr>
                                      <w:rFonts w:ascii="Times New Roman" w:hAnsi="Times New Roman"/>
                                    </w:rPr>
                                    <w:t>«____» ___________________ ________ г.</w:t>
                                  </w:r>
                                </w:p>
                                <w:p w14:paraId="6E010000">
                                  <w:pPr>
                                    <w:pStyle w:val="Style_5"/>
                                    <w:spacing w:after="0"/>
                                    <w:ind w:firstLine="0" w:left="390"/>
                                    <w:rPr>
                                      <w:sz w:val="20"/>
                                    </w:rPr>
                                  </w:pPr>
                                </w:p>
                                <w:p w14:paraId="6F010000">
                                  <w:pPr>
                                    <w:pStyle w:val="Style_5"/>
                                    <w:spacing w:after="0"/>
                                    <w:ind w:firstLine="0" w:left="390"/>
                                    <w:rPr>
                                      <w:sz w:val="20"/>
                                    </w:rPr>
                                  </w:pPr>
                                  <w:r>
                                    <w:rPr>
                                      <w:sz w:val="20"/>
                                    </w:rPr>
                                    <w:t>осуществить следующие действия:</w:t>
                                  </w:r>
                                </w:p>
                                <w:p w14:paraId="70010000">
                                  <w:pPr>
                                    <w:pStyle w:val="Style_5"/>
                                    <w:numPr>
                                      <w:ilvl w:val="0"/>
                                      <w:numId w:val="2"/>
                                    </w:numPr>
                                    <w:tabs>
                                      <w:tab w:leader="none" w:pos="360" w:val="left"/>
                                      <w:tab w:leader="none" w:pos="720" w:val="clear"/>
                                    </w:tabs>
                                    <w:spacing w:after="0"/>
                                    <w:ind w:firstLine="709" w:left="390"/>
                                    <w:jc w:val="both"/>
                                    <w:rPr>
                                      <w:sz w:val="20"/>
                                    </w:rPr>
                                  </w:pPr>
                                  <w:r>
                                    <w:rPr>
                                      <w:sz w:val="20"/>
                                    </w:rPr>
                                    <w:t xml:space="preserve">Предоставить и получить в ГБУ РО «РЦИС» необходимые документы (оригиналы </w:t>
                                  </w:r>
                                  <w:r>
                                    <w:rPr>
                                      <w:sz w:val="20"/>
                                    </w:rPr>
                                    <w:t>Контракт</w:t>
                                  </w:r>
                                  <w:r>
                                    <w:rPr>
                                      <w:sz w:val="20"/>
                                    </w:rPr>
                                    <w:t xml:space="preserve">а и приложений к нему, акты приема-передачи прав, счета, счета-фактуры, товарные накладные и иные документы) для исполнения Доверителем обязательств по </w:t>
                                  </w:r>
                                  <w:r>
                                    <w:rPr>
                                      <w:sz w:val="20"/>
                                    </w:rPr>
                                    <w:t>Контракт</w:t>
                                  </w:r>
                                  <w:r>
                                    <w:rPr>
                                      <w:sz w:val="20"/>
                                    </w:rPr>
                                    <w:t>у № ___ от «__» _______ 202</w:t>
                                  </w:r>
                                  <w:r>
                                    <w:rPr>
                                      <w:sz w:val="20"/>
                                    </w:rPr>
                                    <w:t>6</w:t>
                                  </w:r>
                                  <w:r>
                                    <w:rPr>
                                      <w:sz w:val="20"/>
                                    </w:rPr>
                                    <w:t xml:space="preserve"> г.</w:t>
                                  </w:r>
                                </w:p>
                                <w:p w14:paraId="71010000">
                                  <w:pPr>
                                    <w:pStyle w:val="Style_5"/>
                                    <w:numPr>
                                      <w:ilvl w:val="0"/>
                                      <w:numId w:val="2"/>
                                    </w:numPr>
                                    <w:tabs>
                                      <w:tab w:leader="none" w:pos="360" w:val="left"/>
                                      <w:tab w:leader="none" w:pos="720" w:val="clear"/>
                                    </w:tabs>
                                    <w:spacing w:after="0"/>
                                    <w:ind w:firstLine="709" w:left="390"/>
                                    <w:jc w:val="both"/>
                                    <w:rPr>
                                      <w:sz w:val="20"/>
                                    </w:rPr>
                                  </w:pPr>
                                  <w:r>
                                    <w:rPr>
                                      <w:sz w:val="20"/>
                                    </w:rPr>
                                    <w:t xml:space="preserve">Получить в ГБУ РО «РЦИС» технические средства и документы согласно </w:t>
                                  </w:r>
                                  <w:r>
                                    <w:rPr>
                                      <w:sz w:val="20"/>
                                    </w:rPr>
                                    <w:t>спецификации</w:t>
                                  </w:r>
                                  <w:r>
                                    <w:rPr>
                                      <w:sz w:val="20"/>
                                    </w:rPr>
                                    <w:t xml:space="preserve"> указанной в приложении № 1 к </w:t>
                                  </w:r>
                                  <w:r>
                                    <w:rPr>
                                      <w:sz w:val="20"/>
                                    </w:rPr>
                                    <w:t>Контракт</w:t>
                                  </w:r>
                                  <w:r>
                                    <w:rPr>
                                      <w:sz w:val="20"/>
                                    </w:rPr>
                                    <w:t>у № ___ от «___» ____________202</w:t>
                                  </w:r>
                                  <w:r>
                                    <w:rPr>
                                      <w:sz w:val="20"/>
                                    </w:rPr>
                                    <w:t>6</w:t>
                                  </w:r>
                                  <w:r>
                                    <w:rPr>
                                      <w:sz w:val="20"/>
                                    </w:rPr>
                                    <w:t xml:space="preserve"> г.</w:t>
                                  </w:r>
                                </w:p>
                                <w:p w14:paraId="72010000">
                                  <w:pPr>
                                    <w:pStyle w:val="Style_19"/>
                                    <w:spacing w:after="0" w:line="240" w:lineRule="auto"/>
                                    <w:ind w:firstLine="709" w:left="390"/>
                                    <w:jc w:val="both"/>
                                  </w:pPr>
                                </w:p>
                                <w:p w14:paraId="73010000">
                                  <w:pPr>
                                    <w:pStyle w:val="Style_19"/>
                                    <w:spacing w:after="0" w:line="240" w:lineRule="auto"/>
                                    <w:ind w:firstLine="709" w:left="390"/>
                                    <w:jc w:val="both"/>
                                  </w:pPr>
                                  <w:r>
                                    <w:t>Представитель наделяется правом подписи актов приема-передачи прав, счетов, счетов-фактур, товарных накладных и иных документов для исполнения поручений, определенных настоящей Доверенностью.</w:t>
                                  </w:r>
                                </w:p>
                                <w:p w14:paraId="74010000">
                                  <w:pPr>
                                    <w:pStyle w:val="Style_20"/>
                                    <w:ind w:firstLine="709" w:left="390"/>
                                    <w:rPr>
                                      <w:rFonts w:ascii="Times New Roman" w:hAnsi="Times New Roman"/>
                                    </w:rPr>
                                  </w:pPr>
                                  <w:r>
                                    <w:rPr>
                                      <w:rFonts w:ascii="Times New Roman" w:hAnsi="Times New Roman"/>
                                    </w:rPr>
                                    <w:t>Доверенность выдана сроком на три месяца без права передоверия.</w:t>
                                  </w:r>
                                </w:p>
                                <w:p w14:paraId="75010000">
                                  <w:pPr>
                                    <w:pStyle w:val="Style_21"/>
                                    <w:ind w:firstLine="0" w:left="390"/>
                                    <w:rPr>
                                      <w:rFonts w:ascii="Times New Roman" w:hAnsi="Times New Roman"/>
                                    </w:rPr>
                                  </w:pPr>
                                </w:p>
                                <w:p w14:paraId="76010000">
                                  <w:pPr>
                                    <w:pStyle w:val="Style_19"/>
                                    <w:spacing w:after="0" w:line="240" w:lineRule="auto"/>
                                    <w:ind w:firstLine="0" w:left="390"/>
                                  </w:pPr>
                                  <w:r>
                                    <w:t>Подпись уполномоченного представителя ________________ /_________________/ подтверждаю.</w:t>
                                  </w:r>
                                </w:p>
                                <w:p w14:paraId="77010000">
                                  <w:pPr>
                                    <w:pStyle w:val="Style_19"/>
                                    <w:spacing w:after="0" w:line="240" w:lineRule="auto"/>
                                    <w:ind w:firstLine="0" w:left="390"/>
                                  </w:pPr>
                                  <w:r>
                                    <w:t>УДОСТОВЕРЯЮ:</w:t>
                                  </w:r>
                                </w:p>
                                <w:p w14:paraId="78010000">
                                  <w:pPr>
                                    <w:pStyle w:val="Style_19"/>
                                    <w:spacing w:after="0" w:line="240" w:lineRule="auto"/>
                                    <w:ind w:firstLine="0" w:left="390"/>
                                  </w:pPr>
                                </w:p>
                                <w:p w14:paraId="79010000">
                                  <w:pPr>
                                    <w:pStyle w:val="Style_19"/>
                                    <w:spacing w:after="0" w:line="240" w:lineRule="auto"/>
                                    <w:ind w:firstLine="0" w:left="390"/>
                                  </w:pPr>
                                  <w:r>
                                    <w:t>Руководитель _______________________________ / ____________/</w:t>
                                  </w:r>
                                </w:p>
                                <w:p w14:paraId="7A010000">
                                  <w:pPr>
                                    <w:pStyle w:val="Style_19"/>
                                    <w:spacing w:after="0" w:line="240" w:lineRule="auto"/>
                                    <w:ind w:firstLine="0" w:left="390"/>
                                  </w:pPr>
                                  <w:r>
                                    <w:t>Главный бухгалтер __________________________ / __________</w:t>
                                  </w:r>
                                  <w:r>
                                    <w:t>_  /</w:t>
                                  </w:r>
                                </w:p>
                                <w:p w14:paraId="7B010000">
                                  <w:pPr>
                                    <w:pStyle w:val="Style_17"/>
                                    <w:ind/>
                                    <w:jc w:val="center"/>
                                    <w:rPr>
                                      <w:sz w:val="20"/>
                                    </w:rPr>
                                  </w:pPr>
                                  <w:r>
                                    <w:rPr>
                                      <w:sz w:val="20"/>
                                    </w:rPr>
                                    <w:t>М.П.</w:t>
                                  </w:r>
                                </w:p>
                              </w:tc>
                              <w:tc>
                                <w:tcPr>
                                  <w:tcW w:type="dxa" w:w="20"/>
                                </w:tcPr>
                                <w:p/>
                              </w:tc>
                            </w:tr>
                            <w:tr>
                              <w:tc>
                                <w:tcPr>
                                  <w:tcW w:type="dxa" w:w="183"/>
                                  <w:tcMar>
                                    <w:left w:type="dxa" w:w="0"/>
                                    <w:right w:type="dxa" w:w="0"/>
                                  </w:tcMar>
                                </w:tcPr>
                                <w:p w14:paraId="7C010000">
                                  <w:pPr>
                                    <w:pStyle w:val="Style_17"/>
                                    <w:rPr>
                                      <w:b w:val="1"/>
                                      <w:sz w:val="20"/>
                                    </w:rPr>
                                  </w:pPr>
                                </w:p>
                              </w:tc>
                              <w:tc>
                                <w:tcPr>
                                  <w:tcW w:type="dxa" w:w="4926"/>
                                </w:tcPr>
                                <w:p w14:paraId="7D010000">
                                  <w:pPr>
                                    <w:pStyle w:val="Style_17"/>
                                    <w:ind/>
                                    <w:jc w:val="both"/>
                                    <w:rPr>
                                      <w:b w:val="1"/>
                                      <w:sz w:val="22"/>
                                    </w:rPr>
                                  </w:pPr>
                                  <w:r>
                                    <w:rPr>
                                      <w:b w:val="1"/>
                                      <w:sz w:val="22"/>
                                    </w:rPr>
                                    <w:t>ЗАКАЗЧИК</w:t>
                                  </w:r>
                                </w:p>
                              </w:tc>
                              <w:tc>
                                <w:tcPr>
                                  <w:tcW w:type="dxa" w:w="5381"/>
                                </w:tcPr>
                                <w:p w14:paraId="7E010000">
                                  <w:pPr>
                                    <w:pStyle w:val="Style_17"/>
                                    <w:ind/>
                                    <w:jc w:val="both"/>
                                    <w:rPr>
                                      <w:b w:val="1"/>
                                      <w:sz w:val="22"/>
                                    </w:rPr>
                                  </w:pPr>
                                  <w:r>
                                    <w:rPr>
                                      <w:b w:val="1"/>
                                      <w:sz w:val="22"/>
                                    </w:rPr>
                                    <w:t>ИСПОЛНИТЕЛЬ</w:t>
                                  </w:r>
                                </w:p>
                                <w:p w14:paraId="7F010000">
                                  <w:pPr>
                                    <w:pStyle w:val="Style_17"/>
                                    <w:ind/>
                                    <w:jc w:val="both"/>
                                    <w:rPr>
                                      <w:b w:val="1"/>
                                      <w:sz w:val="22"/>
                                    </w:rPr>
                                  </w:pPr>
                                </w:p>
                              </w:tc>
                              <w:tc>
                                <w:tcPr>
                                  <w:tcW w:type="dxa" w:w="20"/>
                                  <w:tcMar>
                                    <w:left w:type="dxa" w:w="0"/>
                                    <w:right w:type="dxa" w:w="0"/>
                                  </w:tcMar>
                                </w:tcPr>
                                <w:p w14:paraId="80010000">
                                  <w:pPr>
                                    <w:pStyle w:val="Style_17"/>
                                    <w:rPr>
                                      <w:b w:val="1"/>
                                    </w:rPr>
                                  </w:pPr>
                                </w:p>
                              </w:tc>
                            </w:tr>
                            <w:tr>
                              <w:trPr>
                                <w:trHeight w:hRule="atLeast" w:val="1208"/>
                              </w:trPr>
                              <w:tc>
                                <w:tcPr>
                                  <w:tcW w:type="dxa" w:w="183"/>
                                  <w:tcMar>
                                    <w:left w:type="dxa" w:w="0"/>
                                    <w:right w:type="dxa" w:w="0"/>
                                  </w:tcMar>
                                </w:tcPr>
                                <w:p w14:paraId="81010000">
                                  <w:pPr>
                                    <w:pStyle w:val="Style_22"/>
                                    <w:rPr>
                                      <w:b w:val="1"/>
                                    </w:rPr>
                                  </w:pPr>
                                </w:p>
                              </w:tc>
                              <w:tc>
                                <w:tcPr>
                                  <w:tcW w:type="dxa" w:w="4926"/>
                                </w:tcPr>
                                <w:p w14:paraId="82010000">
                                  <w:pPr>
                                    <w:spacing w:after="0"/>
                                    <w:ind/>
                                    <w:jc w:val="left"/>
                                    <w:rPr>
                                      <w:b w:val="1"/>
                                      <w:color w:val="000000"/>
                                      <w:sz w:val="20"/>
                                    </w:rPr>
                                  </w:pPr>
                                  <w:r>
                                    <w:rPr>
                                      <w:b w:val="1"/>
                                      <w:color w:val="000000"/>
                                      <w:sz w:val="20"/>
                                    </w:rPr>
                                    <w:t>И.о</w:t>
                                  </w:r>
                                  <w:r>
                                    <w:rPr>
                                      <w:b w:val="1"/>
                                      <w:color w:val="000000"/>
                                      <w:sz w:val="20"/>
                                    </w:rPr>
                                    <w:t xml:space="preserve">. ректора ФГБОУ ВО </w:t>
                                  </w:r>
                                  <w:r>
                                    <w:rPr>
                                      <w:b w:val="1"/>
                                      <w:color w:val="000000"/>
                                      <w:sz w:val="20"/>
                                    </w:rPr>
                                    <w:t>РостГМУ</w:t>
                                  </w:r>
                                  <w:r>
                                    <w:rPr>
                                      <w:b w:val="1"/>
                                      <w:color w:val="000000"/>
                                      <w:sz w:val="20"/>
                                    </w:rPr>
                                    <w:t xml:space="preserve"> </w:t>
                                  </w:r>
                                </w:p>
                                <w:p w14:paraId="83010000">
                                  <w:pPr>
                                    <w:spacing w:after="0"/>
                                    <w:ind/>
                                    <w:jc w:val="left"/>
                                    <w:rPr>
                                      <w:b w:val="1"/>
                                      <w:color w:val="000000"/>
                                      <w:sz w:val="20"/>
                                    </w:rPr>
                                  </w:pPr>
                                  <w:r>
                                    <w:rPr>
                                      <w:b w:val="1"/>
                                      <w:color w:val="000000"/>
                                      <w:sz w:val="20"/>
                                    </w:rPr>
                                    <w:t>Минздрава России</w:t>
                                  </w:r>
                                </w:p>
                                <w:p w14:paraId="84010000">
                                  <w:pPr>
                                    <w:spacing w:after="0"/>
                                    <w:ind/>
                                    <w:jc w:val="left"/>
                                    <w:rPr>
                                      <w:color w:val="000000"/>
                                      <w:sz w:val="20"/>
                                    </w:rPr>
                                  </w:pPr>
                                </w:p>
                                <w:p w14:paraId="85010000">
                                  <w:pPr>
                                    <w:spacing w:after="0"/>
                                    <w:ind/>
                                    <w:rPr>
                                      <w:color w:val="000000"/>
                                      <w:sz w:val="20"/>
                                    </w:rPr>
                                  </w:pPr>
                                  <w:r>
                                    <w:rPr>
                                      <w:color w:val="000000"/>
                                      <w:sz w:val="20"/>
                                    </w:rPr>
                                    <w:t>__________________</w:t>
                                  </w:r>
                                  <w:r>
                                    <w:rPr>
                                      <w:b w:val="1"/>
                                      <w:color w:val="000000"/>
                                      <w:sz w:val="20"/>
                                    </w:rPr>
                                    <w:t xml:space="preserve"> /</w:t>
                                  </w:r>
                                  <w:r>
                                    <w:rPr>
                                      <w:b w:val="1"/>
                                      <w:color w:val="000000"/>
                                      <w:sz w:val="20"/>
                                    </w:rPr>
                                    <w:t>М.А.Шишов/</w:t>
                                  </w:r>
                                </w:p>
                                <w:p w14:paraId="86010000">
                                  <w:r>
                                    <w:rPr>
                                      <w:b w:val="1"/>
                                      <w:color w:val="000000"/>
                                      <w:sz w:val="20"/>
                                    </w:rPr>
                                    <w:t>э.ц.п.</w:t>
                                  </w:r>
                                </w:p>
                              </w:tc>
                              <w:tc>
                                <w:tcPr>
                                  <w:tcW w:type="dxa" w:w="5381"/>
                                </w:tcPr>
                                <w:p/>
                              </w:tc>
                              <w:tc>
                                <w:tcPr>
                                  <w:tcW w:type="dxa" w:w="20"/>
                                  <w:tcMar>
                                    <w:left w:type="dxa" w:w="0"/>
                                    <w:right w:type="dxa" w:w="0"/>
                                  </w:tcMar>
                                </w:tcPr>
                                <w:p w14:paraId="87010000">
                                  <w:pPr>
                                    <w:pStyle w:val="Style_17"/>
                                  </w:pPr>
                                </w:p>
                              </w:tc>
                            </w:tr>
                          </w:tbl>
                          <w:p w14:paraId="88010000">
                            <w:pPr>
                              <w:pStyle w:val="Style_17"/>
                              <w:rPr>
                                <w:color w:val="000000"/>
                              </w:rPr>
                            </w:pPr>
                          </w:p>
                          <w:p w14:paraId="89010000">
                            <w:pPr>
                              <w:pStyle w:val="Style_17"/>
                              <w:rPr>
                                <w:color w:val="000000"/>
                              </w:rPr>
                            </w:pPr>
                          </w:p>
                        </w:txbxContent>
                      </wps:txbx>
                      <wps:bodyPr anchor="t" bIns="47160" lIns="92880" rIns="92880" tIns="47160">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distB="0" distL="3175" distR="3175" distT="0" layoutInCell="true" locked="false" relativeHeight="251658240" simplePos="false">
                <wp:simplePos x="0" y="0"/>
                <wp:positionH relativeFrom="column">
                  <wp:posOffset>-59690</wp:posOffset>
                </wp:positionH>
                <wp:positionV relativeFrom="paragraph">
                  <wp:posOffset>1021080</wp:posOffset>
                </wp:positionV>
                <wp:extent cx="635" cy="5574030"/>
                <wp:wrapNone/>
                <wp:docPr hidden="false" id="2" name="Picture 2"/>
                <a:graphic>
                  <a:graphicData uri="http://schemas.microsoft.com/office/word/2010/wordprocessingShape">
                    <wps:wsp>
                      <wps:cNvSpPr txBox="false"/>
                      <wps:spPr>
                        <a:xfrm flipH="false" flipV="false" rot="0">
                          <a:off x="0" y="0"/>
                          <a:ext cx="635" cy="5574030"/>
                        </a:xfrm>
                        <a:prstGeom prst="line">
                          <a:avLst/>
                        </a:prstGeom>
                        <a:ln w="6480">
                          <a:solidFill>
                            <a:srgbClr val="000000"/>
                          </a:solidFill>
                          <a:prstDash val="solid"/>
                        </a:ln>
                      </wps:spPr>
                      <wps:style>
                        <a:lnRef idx="0"/>
                        <a:fillRef idx="0">
                          <a:srgbClr val="000000"/>
                        </a:fillRef>
                        <a:effectRef idx="0"/>
                        <a:fontRef idx="none"/>
                      </wps:style>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w:drawing>
          <wp:inline>
            <wp:extent cx="6564630" cy="8238490"/>
            <wp:effectExtent b="0" l="0" r="0" t="0"/>
            <wp:docPr hidden="false" id="4" name="Picture 4"/>
            <a:graphic>
              <a:graphicData uri="http://schemas.openxmlformats.org/drawingml/2006/picture">
                <pic:pic>
                  <pic:nvPicPr>
                    <pic:cNvPr hidden="false" id="3" name="Picture 3"/>
                    <pic:cNvPicPr preferRelativeResize="true"/>
                  </pic:nvPicPr>
                  <pic:blipFill>
                    <a:blip r:embed="rId5"/>
                    <a:srcRect b="-21" l="-26" r="-26" t="-21"/>
                    <a:stretch/>
                  </pic:blipFill>
                  <pic:spPr>
                    <a:xfrm flipH="false" flipV="false" rot="0">
                      <a:ext cx="6564630" cy="8238490"/>
                    </a:xfrm>
                    <a:prstGeom prst="rect"/>
                  </pic:spPr>
                </pic:pic>
              </a:graphicData>
            </a:graphic>
          </wp:inline>
        </w:drawing>
      </w:r>
    </w:p>
    <w:p w14:paraId="8A010000">
      <w:pPr>
        <w:pStyle w:val="Style_10"/>
        <w:ind w:right="-5"/>
        <w:jc w:val="right"/>
        <w:rPr>
          <w:rFonts w:ascii="Times New Roman" w:hAnsi="Times New Roman"/>
          <w:sz w:val="22"/>
        </w:rPr>
      </w:pPr>
    </w:p>
    <w:sectPr>
      <w:headerReference r:id="rId3" w:type="default"/>
      <w:headerReference r:id="rId2" w:type="first"/>
      <w:footerReference r:id="rId4" w:type="default"/>
      <w:pgSz w:h="16838" w:orient="portrait" w:w="11906"/>
      <w:pgMar w:bottom="1134" w:footer="681" w:gutter="0" w:header="0" w:left="993" w:right="706" w:top="426"/>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2"/>
    </w:pPr>
  </w:p>
  <w:p w14:paraId="05000000">
    <w:pPr>
      <w:pStyle w:val="Style_2"/>
    </w:pPr>
  </w:p>
</w:ftr>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ind/>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PAGE </w:instrText>
    </w:r>
    <w:r>
      <w:rPr>
        <w:rFonts w:ascii="Times New Roman" w:hAnsi="Times New Roman"/>
        <w:sz w:val="22"/>
      </w:rPr>
      <w:fldChar w:fldCharType="separate"/>
    </w:r>
    <w:r>
      <w:rPr>
        <w:rFonts w:ascii="Times New Roman" w:hAnsi="Times New Roman"/>
        <w:sz w:val="22"/>
      </w:rPr>
      <w:t xml:space="preserve"> </w:t>
    </w:r>
    <w:r>
      <w:rPr>
        <w:rFonts w:ascii="Times New Roman" w:hAnsi="Times New Roman"/>
        <w:sz w:val="22"/>
      </w:rPr>
      <w:fldChar w:fldCharType="end"/>
    </w: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tabs>
          <w:tab w:leader="none" w:pos="360" w:val="left"/>
        </w:tabs>
        <w:ind w:hanging="360" w:left="360"/>
      </w:pPr>
      <w:rPr>
        <w:rFonts w:ascii="Verdana" w:hAnsi="Verdana"/>
        <w:b w:val="0"/>
        <w:sz w:val="28"/>
      </w:rPr>
    </w:lvl>
    <w:lvl w:ilvl="1">
      <w:start w:val="1"/>
      <w:numFmt w:val="decimal"/>
      <w:lvlText w:val="%2."/>
      <w:lvlJc w:val="left"/>
      <w:pPr>
        <w:tabs>
          <w:tab w:leader="none" w:pos="1080" w:val="left"/>
        </w:tabs>
        <w:ind w:hanging="360" w:left="1080"/>
      </w:pPr>
    </w:lvl>
    <w:lvl w:ilvl="2">
      <w:start w:val="1"/>
      <w:numFmt w:val="decimal"/>
      <w:lvlText w:val="%3."/>
      <w:lvlJc w:val="left"/>
      <w:pPr>
        <w:tabs>
          <w:tab w:leader="none" w:pos="1440" w:val="left"/>
        </w:tabs>
        <w:ind w:hanging="360" w:left="1440"/>
      </w:pPr>
    </w:lvl>
    <w:lvl w:ilvl="3">
      <w:start w:val="1"/>
      <w:numFmt w:val="decimal"/>
      <w:lvlText w:val="%4."/>
      <w:lvlJc w:val="left"/>
      <w:pPr>
        <w:tabs>
          <w:tab w:leader="none" w:pos="1800" w:val="left"/>
        </w:tabs>
        <w:ind w:hanging="360" w:left="1800"/>
      </w:pPr>
    </w:lvl>
    <w:lvl w:ilvl="4">
      <w:start w:val="1"/>
      <w:numFmt w:val="decimal"/>
      <w:lvlText w:val="%5."/>
      <w:lvlJc w:val="left"/>
      <w:pPr>
        <w:tabs>
          <w:tab w:leader="none" w:pos="2160" w:val="left"/>
        </w:tabs>
        <w:ind w:hanging="360" w:left="2160"/>
      </w:pPr>
    </w:lvl>
    <w:lvl w:ilvl="5">
      <w:start w:val="1"/>
      <w:numFmt w:val="decimal"/>
      <w:lvlText w:val="%6."/>
      <w:lvlJc w:val="left"/>
      <w:pPr>
        <w:tabs>
          <w:tab w:leader="none" w:pos="2520" w:val="left"/>
        </w:tabs>
        <w:ind w:hanging="360" w:left="2520"/>
      </w:pPr>
    </w:lvl>
    <w:lvl w:ilvl="6">
      <w:start w:val="1"/>
      <w:numFmt w:val="decimal"/>
      <w:lvlText w:val="%7."/>
      <w:lvlJc w:val="left"/>
      <w:pPr>
        <w:tabs>
          <w:tab w:leader="none" w:pos="2880" w:val="left"/>
        </w:tabs>
        <w:ind w:hanging="360" w:left="2880"/>
      </w:pPr>
    </w:lvl>
    <w:lvl w:ilvl="7">
      <w:start w:val="1"/>
      <w:numFmt w:val="decimal"/>
      <w:lvlText w:val="%8."/>
      <w:lvlJc w:val="left"/>
      <w:pPr>
        <w:tabs>
          <w:tab w:leader="none" w:pos="3240" w:val="left"/>
        </w:tabs>
        <w:ind w:hanging="360" w:left="3240"/>
      </w:pPr>
    </w:lvl>
    <w:lvl w:ilvl="8">
      <w:start w:val="1"/>
      <w:numFmt w:val="decimal"/>
      <w:lvlText w:val="%9."/>
      <w:lvlJc w:val="left"/>
      <w:pPr>
        <w:tabs>
          <w:tab w:leader="none" w:pos="3600" w:val="left"/>
        </w:tabs>
        <w:ind w:hanging="360" w:left="3600"/>
      </w:pPr>
    </w:lvl>
  </w:abstractNum>
  <w:abstractNum w:abstractNumId="1">
    <w:lvl w:ilvl="0">
      <w:start w:val="1"/>
      <w:numFmt w:val="decimal"/>
      <w:lvlText w:val="%1."/>
      <w:lvlJc w:val="left"/>
      <w:pPr>
        <w:tabs>
          <w:tab w:leader="none" w:pos="720" w:val="left"/>
        </w:tabs>
        <w:ind w:hanging="360" w:left="720"/>
      </w:pPr>
    </w:lvl>
    <w:lvl w:ilvl="1">
      <w:start w:val="1"/>
      <w:numFmt w:val="decimal"/>
      <w:lvlText w:val="%2."/>
      <w:lvlJc w:val="left"/>
      <w:pPr>
        <w:tabs>
          <w:tab w:leader="none" w:pos="1080" w:val="left"/>
        </w:tabs>
        <w:ind w:hanging="360" w:left="1080"/>
      </w:pPr>
    </w:lvl>
    <w:lvl w:ilvl="2">
      <w:start w:val="1"/>
      <w:numFmt w:val="decimal"/>
      <w:lvlText w:val="%3."/>
      <w:lvlJc w:val="left"/>
      <w:pPr>
        <w:tabs>
          <w:tab w:leader="none" w:pos="1440" w:val="left"/>
        </w:tabs>
        <w:ind w:hanging="360" w:left="1440"/>
      </w:pPr>
    </w:lvl>
    <w:lvl w:ilvl="3">
      <w:start w:val="1"/>
      <w:numFmt w:val="decimal"/>
      <w:lvlText w:val="%4."/>
      <w:lvlJc w:val="left"/>
      <w:pPr>
        <w:tabs>
          <w:tab w:leader="none" w:pos="1800" w:val="left"/>
        </w:tabs>
        <w:ind w:hanging="360" w:left="1800"/>
      </w:pPr>
    </w:lvl>
    <w:lvl w:ilvl="4">
      <w:start w:val="1"/>
      <w:numFmt w:val="decimal"/>
      <w:lvlText w:val="%5."/>
      <w:lvlJc w:val="left"/>
      <w:pPr>
        <w:tabs>
          <w:tab w:leader="none" w:pos="2160" w:val="left"/>
        </w:tabs>
        <w:ind w:hanging="360" w:left="2160"/>
      </w:pPr>
    </w:lvl>
    <w:lvl w:ilvl="5">
      <w:start w:val="1"/>
      <w:numFmt w:val="decimal"/>
      <w:lvlText w:val="%6."/>
      <w:lvlJc w:val="left"/>
      <w:pPr>
        <w:tabs>
          <w:tab w:leader="none" w:pos="2520" w:val="left"/>
        </w:tabs>
        <w:ind w:hanging="360" w:left="2520"/>
      </w:pPr>
    </w:lvl>
    <w:lvl w:ilvl="6">
      <w:start w:val="1"/>
      <w:numFmt w:val="decimal"/>
      <w:lvlText w:val="%7."/>
      <w:lvlJc w:val="left"/>
      <w:pPr>
        <w:tabs>
          <w:tab w:leader="none" w:pos="2880" w:val="left"/>
        </w:tabs>
        <w:ind w:hanging="360" w:left="2880"/>
      </w:pPr>
    </w:lvl>
    <w:lvl w:ilvl="7">
      <w:start w:val="1"/>
      <w:numFmt w:val="decimal"/>
      <w:lvlText w:val="%8."/>
      <w:lvlJc w:val="left"/>
      <w:pPr>
        <w:tabs>
          <w:tab w:leader="none" w:pos="3240" w:val="left"/>
        </w:tabs>
        <w:ind w:hanging="360" w:left="3240"/>
      </w:pPr>
    </w:lvl>
    <w:lvl w:ilvl="8">
      <w:start w:val="1"/>
      <w:numFmt w:val="decimal"/>
      <w:lvlText w:val="%9."/>
      <w:lvlJc w:val="left"/>
      <w:pPr>
        <w:tabs>
          <w:tab w:leader="none" w:pos="3600" w:val="left"/>
        </w:tabs>
        <w:ind w:hanging="360" w:left="3600"/>
      </w:pPr>
    </w:lvl>
  </w:abstractNum>
  <w:abstractNum w:abstractNumId="2">
    <w:lvl w:ilvl="0">
      <w:start w:val="1"/>
      <w:numFmt w:val="decimal"/>
      <w:lvlText w:val=""/>
      <w:lvlJc w:val="left"/>
      <w:pPr>
        <w:tabs>
          <w:tab w:leader="none" w:pos="0" w:val="left"/>
        </w:tabs>
        <w:ind w:firstLine="0" w:left="0"/>
      </w:pPr>
    </w:lvl>
    <w:lvl w:ilvl="1">
      <w:start w:val="1"/>
      <w:numFmt w:val="decimal"/>
      <w:lvlText w:val=""/>
      <w:lvlJc w:val="left"/>
      <w:pPr>
        <w:tabs>
          <w:tab w:leader="none" w:pos="0" w:val="left"/>
        </w:tabs>
        <w:ind w:firstLine="0" w:left="0"/>
      </w:pPr>
    </w:lvl>
    <w:lvl w:ilvl="2">
      <w:start w:val="1"/>
      <w:numFmt w:val="decimal"/>
      <w:pStyle w:val="Style_10"/>
      <w:lvlText w:val=""/>
      <w:lvlJc w:val="left"/>
      <w:pPr>
        <w:tabs>
          <w:tab w:leader="none" w:pos="0" w:val="left"/>
        </w:tabs>
        <w:ind w:firstLine="0" w:left="0"/>
      </w:pPr>
    </w:lvl>
    <w:lvl w:ilvl="3">
      <w:start w:val="1"/>
      <w:numFmt w:val="decimal"/>
      <w:pStyle w:val="Style_97"/>
      <w:lvlText w:val=""/>
      <w:lvlJc w:val="left"/>
      <w:pPr>
        <w:tabs>
          <w:tab w:leader="none" w:pos="0" w:val="left"/>
        </w:tabs>
        <w:ind w:firstLine="0" w:left="0"/>
      </w:pPr>
    </w:lvl>
    <w:lvl w:ilvl="4">
      <w:start w:val="1"/>
      <w:numFmt w:val="decimal"/>
      <w:lvlText w:val=""/>
      <w:lvlJc w:val="left"/>
      <w:pPr>
        <w:tabs>
          <w:tab w:leader="none" w:pos="0" w:val="left"/>
        </w:tabs>
        <w:ind w:firstLine="0" w:left="0"/>
      </w:pPr>
    </w:lvl>
    <w:lvl w:ilvl="5">
      <w:start w:val="1"/>
      <w:numFmt w:val="decimal"/>
      <w:lvlText w:val=""/>
      <w:lvlJc w:val="left"/>
      <w:pPr>
        <w:tabs>
          <w:tab w:leader="none" w:pos="0" w:val="left"/>
        </w:tabs>
        <w:ind w:firstLine="0" w:left="0"/>
      </w:pPr>
    </w:lvl>
    <w:lvl w:ilvl="6">
      <w:start w:val="1"/>
      <w:numFmt w:val="decimal"/>
      <w:lvlText w:val=""/>
      <w:lvlJc w:val="left"/>
      <w:pPr>
        <w:tabs>
          <w:tab w:leader="none" w:pos="0" w:val="left"/>
        </w:tabs>
        <w:ind w:firstLine="0" w:left="0"/>
      </w:pPr>
    </w:lvl>
    <w:lvl w:ilvl="7">
      <w:start w:val="1"/>
      <w:numFmt w:val="decimal"/>
      <w:lvlText w:val=""/>
      <w:lvlJc w:val="left"/>
      <w:pPr>
        <w:tabs>
          <w:tab w:leader="none" w:pos="0" w:val="left"/>
        </w:tabs>
        <w:ind w:firstLine="0" w:left="0"/>
      </w:pPr>
    </w:lvl>
    <w:lvl w:ilvl="8">
      <w:start w:val="1"/>
      <w:numFmt w:val="decimal"/>
      <w:lvlText w:val=""/>
      <w:lvlJc w:val="left"/>
      <w:pPr>
        <w:tabs>
          <w:tab w:leader="none" w:pos="0" w:val="left"/>
        </w:tabs>
        <w:ind w:firstLine="0" w:left="0"/>
      </w:pPr>
    </w:lvl>
  </w:abstractNum>
  <w:abstractNum w:abstractNumId="3">
    <w:lvl w:ilvl="0">
      <w:start w:val="1"/>
      <w:numFmt w:val="bullet"/>
      <w:pStyle w:val="Style_12"/>
      <w:lvlText w:val=""/>
      <w:lvlJc w:val="left"/>
      <w:pPr>
        <w:tabs>
          <w:tab w:leader="none" w:pos="1134" w:val="left"/>
        </w:tabs>
        <w:ind w:hanging="283" w:left="1134"/>
      </w:pPr>
      <w:rPr>
        <w:rFonts w:ascii="Symbol" w:hAnsi="Symbol"/>
      </w:rPr>
    </w:lvl>
    <w:lvl w:ilvl="1">
      <w:start w:val="1"/>
      <w:numFmt w:val="decimal"/>
      <w:lvlText w:val="%2."/>
      <w:lvlJc w:val="left"/>
      <w:pPr>
        <w:tabs>
          <w:tab w:leader="none" w:pos="1080" w:val="left"/>
        </w:tabs>
        <w:ind w:hanging="360" w:left="1080"/>
      </w:pPr>
    </w:lvl>
    <w:lvl w:ilvl="2">
      <w:start w:val="1"/>
      <w:numFmt w:val="decimal"/>
      <w:lvlText w:val="%3."/>
      <w:lvlJc w:val="left"/>
      <w:pPr>
        <w:tabs>
          <w:tab w:leader="none" w:pos="1440" w:val="left"/>
        </w:tabs>
        <w:ind w:hanging="360" w:left="1440"/>
      </w:pPr>
    </w:lvl>
    <w:lvl w:ilvl="3">
      <w:start w:val="1"/>
      <w:numFmt w:val="decimal"/>
      <w:lvlText w:val="%4."/>
      <w:lvlJc w:val="left"/>
      <w:pPr>
        <w:tabs>
          <w:tab w:leader="none" w:pos="1800" w:val="left"/>
        </w:tabs>
        <w:ind w:hanging="360" w:left="1800"/>
      </w:pPr>
    </w:lvl>
    <w:lvl w:ilvl="4">
      <w:start w:val="1"/>
      <w:numFmt w:val="decimal"/>
      <w:lvlText w:val="%5."/>
      <w:lvlJc w:val="left"/>
      <w:pPr>
        <w:tabs>
          <w:tab w:leader="none" w:pos="2160" w:val="left"/>
        </w:tabs>
        <w:ind w:hanging="360" w:left="2160"/>
      </w:pPr>
    </w:lvl>
    <w:lvl w:ilvl="5">
      <w:start w:val="1"/>
      <w:numFmt w:val="decimal"/>
      <w:lvlText w:val="%6."/>
      <w:lvlJc w:val="left"/>
      <w:pPr>
        <w:tabs>
          <w:tab w:leader="none" w:pos="2520" w:val="left"/>
        </w:tabs>
        <w:ind w:hanging="360" w:left="2520"/>
      </w:pPr>
    </w:lvl>
    <w:lvl w:ilvl="6">
      <w:start w:val="1"/>
      <w:numFmt w:val="decimal"/>
      <w:lvlText w:val="%7."/>
      <w:lvlJc w:val="left"/>
      <w:pPr>
        <w:tabs>
          <w:tab w:leader="none" w:pos="2880" w:val="left"/>
        </w:tabs>
        <w:ind w:hanging="360" w:left="2880"/>
      </w:pPr>
    </w:lvl>
    <w:lvl w:ilvl="7">
      <w:start w:val="1"/>
      <w:numFmt w:val="decimal"/>
      <w:lvlText w:val="%8."/>
      <w:lvlJc w:val="left"/>
      <w:pPr>
        <w:tabs>
          <w:tab w:leader="none" w:pos="3240" w:val="left"/>
        </w:tabs>
        <w:ind w:hanging="360" w:left="3240"/>
      </w:pPr>
    </w:lvl>
    <w:lvl w:ilvl="8">
      <w:start w:val="1"/>
      <w:numFmt w:val="decimal"/>
      <w:lvlText w:val="%9."/>
      <w:lvlJc w:val="left"/>
      <w:pPr>
        <w:tabs>
          <w:tab w:leader="none" w:pos="3600" w:val="left"/>
        </w:tabs>
        <w:ind w:hanging="360" w:left="3600"/>
      </w:pPr>
    </w:lvl>
  </w:abstractNum>
  <w:num w:numId="1">
    <w:abstractNumId w:val="0"/>
  </w:num>
  <w:num w:numId="2">
    <w:abstractNumId w:val="1"/>
  </w:num>
  <w:num w:numId="3">
    <w:abstractNumId w:val="2"/>
  </w:num>
  <w:num w:numId="4">
    <w:abstractNumId w:val="3"/>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6" w:type="paragraph">
    <w:name w:val="Normal"/>
    <w:link w:val="Style_16_ch"/>
    <w:uiPriority w:val="0"/>
    <w:qFormat/>
    <w:rPr>
      <w:rFonts w:ascii="Times New Roman" w:hAnsi="Times New Roman"/>
      <w:sz w:val="24"/>
    </w:rPr>
  </w:style>
  <w:style w:default="1" w:styleId="Style_16_ch" w:type="character">
    <w:name w:val="Normal"/>
    <w:link w:val="Style_16"/>
    <w:rPr>
      <w:rFonts w:ascii="Times New Roman" w:hAnsi="Times New Roman"/>
      <w:sz w:val="24"/>
    </w:rPr>
  </w:style>
  <w:style w:styleId="Style_23" w:type="paragraph">
    <w:name w:val="WW8Num1z1"/>
    <w:link w:val="Style_23_ch"/>
  </w:style>
  <w:style w:styleId="Style_23_ch" w:type="character">
    <w:name w:val="WW8Num1z1"/>
    <w:link w:val="Style_23"/>
  </w:style>
  <w:style w:styleId="Style_24" w:type="paragraph">
    <w:name w:val="Default Paragraph Font"/>
    <w:link w:val="Style_24_ch"/>
  </w:style>
  <w:style w:styleId="Style_24_ch" w:type="character">
    <w:name w:val="Default Paragraph Font"/>
    <w:link w:val="Style_24"/>
  </w:style>
  <w:style w:styleId="Style_25" w:type="paragraph">
    <w:name w:val="toc 2"/>
    <w:next w:val="Style_16"/>
    <w:link w:val="Style_25_ch"/>
    <w:uiPriority w:val="39"/>
    <w:pPr>
      <w:ind w:firstLine="0" w:left="200"/>
      <w:jc w:val="left"/>
    </w:pPr>
    <w:rPr>
      <w:rFonts w:ascii="XO Thames" w:hAnsi="XO Thames"/>
      <w:sz w:val="28"/>
    </w:rPr>
  </w:style>
  <w:style w:styleId="Style_25_ch" w:type="character">
    <w:name w:val="toc 2"/>
    <w:link w:val="Style_25"/>
    <w:rPr>
      <w:rFonts w:ascii="XO Thames" w:hAnsi="XO Thames"/>
      <w:sz w:val="28"/>
    </w:rPr>
  </w:style>
  <w:style w:styleId="Style_26" w:type="paragraph">
    <w:name w:val="WW8Num4z6"/>
    <w:link w:val="Style_26_ch"/>
  </w:style>
  <w:style w:styleId="Style_26_ch" w:type="character">
    <w:name w:val="WW8Num4z6"/>
    <w:link w:val="Style_26"/>
  </w:style>
  <w:style w:styleId="Style_27" w:type="paragraph">
    <w:name w:val="WW8Num4z5"/>
    <w:link w:val="Style_27_ch"/>
  </w:style>
  <w:style w:styleId="Style_27_ch" w:type="character">
    <w:name w:val="WW8Num4z5"/>
    <w:link w:val="Style_27"/>
  </w:style>
  <w:style w:styleId="Style_28" w:type="paragraph">
    <w:name w:val="Internet Link1"/>
    <w:link w:val="Style_28_ch"/>
    <w:rPr>
      <w:color w:val="000080"/>
      <w:u w:val="single"/>
    </w:rPr>
  </w:style>
  <w:style w:styleId="Style_28_ch" w:type="character">
    <w:name w:val="Internet Link1"/>
    <w:link w:val="Style_28"/>
    <w:rPr>
      <w:color w:val="000080"/>
      <w:u w:val="single"/>
    </w:rPr>
  </w:style>
  <w:style w:styleId="Style_29" w:type="paragraph">
    <w:name w:val="Основной текст1"/>
    <w:basedOn w:val="Style_16"/>
    <w:link w:val="Style_29_ch"/>
    <w:pPr>
      <w:widowControl w:val="0"/>
      <w:ind/>
    </w:pPr>
    <w:rPr>
      <w:sz w:val="28"/>
    </w:rPr>
  </w:style>
  <w:style w:styleId="Style_29_ch" w:type="character">
    <w:name w:val="Основной текст1"/>
    <w:basedOn w:val="Style_16_ch"/>
    <w:link w:val="Style_29"/>
    <w:rPr>
      <w:sz w:val="28"/>
    </w:rPr>
  </w:style>
  <w:style w:styleId="Style_30" w:type="paragraph">
    <w:name w:val="toc 4"/>
    <w:next w:val="Style_16"/>
    <w:link w:val="Style_30_ch"/>
    <w:uiPriority w:val="39"/>
    <w:pPr>
      <w:ind w:firstLine="0" w:left="600"/>
      <w:jc w:val="left"/>
    </w:pPr>
    <w:rPr>
      <w:rFonts w:ascii="XO Thames" w:hAnsi="XO Thames"/>
      <w:sz w:val="28"/>
    </w:rPr>
  </w:style>
  <w:style w:styleId="Style_30_ch" w:type="character">
    <w:name w:val="toc 4"/>
    <w:link w:val="Style_30"/>
    <w:rPr>
      <w:rFonts w:ascii="XO Thames" w:hAnsi="XO Thames"/>
      <w:sz w:val="28"/>
    </w:rPr>
  </w:style>
  <w:style w:styleId="Style_31" w:type="paragraph">
    <w:name w:val="toc 6"/>
    <w:next w:val="Style_16"/>
    <w:link w:val="Style_31_ch"/>
    <w:uiPriority w:val="39"/>
    <w:pPr>
      <w:ind w:firstLine="0" w:left="1000"/>
      <w:jc w:val="left"/>
    </w:pPr>
    <w:rPr>
      <w:rFonts w:ascii="XO Thames" w:hAnsi="XO Thames"/>
      <w:sz w:val="28"/>
    </w:rPr>
  </w:style>
  <w:style w:styleId="Style_31_ch" w:type="character">
    <w:name w:val="toc 6"/>
    <w:link w:val="Style_31"/>
    <w:rPr>
      <w:rFonts w:ascii="XO Thames" w:hAnsi="XO Thames"/>
      <w:sz w:val="28"/>
    </w:rPr>
  </w:style>
  <w:style w:styleId="Style_32" w:type="paragraph">
    <w:name w:val="toc 7"/>
    <w:next w:val="Style_16"/>
    <w:link w:val="Style_32_ch"/>
    <w:uiPriority w:val="39"/>
    <w:pPr>
      <w:ind w:firstLine="0" w:left="1200"/>
      <w:jc w:val="left"/>
    </w:pPr>
    <w:rPr>
      <w:rFonts w:ascii="XO Thames" w:hAnsi="XO Thames"/>
      <w:sz w:val="28"/>
    </w:rPr>
  </w:style>
  <w:style w:styleId="Style_32_ch" w:type="character">
    <w:name w:val="toc 7"/>
    <w:link w:val="Style_32"/>
    <w:rPr>
      <w:rFonts w:ascii="XO Thames" w:hAnsi="XO Thames"/>
      <w:sz w:val="28"/>
    </w:rPr>
  </w:style>
  <w:style w:styleId="Style_33" w:type="paragraph">
    <w:name w:val="WW8Num1z4"/>
    <w:link w:val="Style_33_ch"/>
  </w:style>
  <w:style w:styleId="Style_33_ch" w:type="character">
    <w:name w:val="WW8Num1z4"/>
    <w:link w:val="Style_33"/>
  </w:style>
  <w:style w:styleId="Style_14" w:type="paragraph">
    <w:name w:val="Обычный1"/>
    <w:link w:val="Style_14_ch"/>
    <w:rPr>
      <w:rFonts w:ascii="Times New Roman" w:hAnsi="Times New Roman"/>
      <w:sz w:val="20"/>
    </w:rPr>
  </w:style>
  <w:style w:styleId="Style_14_ch" w:type="character">
    <w:name w:val="Обычный1"/>
    <w:link w:val="Style_14"/>
    <w:rPr>
      <w:rFonts w:ascii="Times New Roman" w:hAnsi="Times New Roman"/>
      <w:sz w:val="20"/>
    </w:rPr>
  </w:style>
  <w:style w:styleId="Style_34" w:type="paragraph">
    <w:name w:val="Обычный (веб)1"/>
    <w:basedOn w:val="Style_16"/>
    <w:link w:val="Style_34_ch"/>
    <w:pPr>
      <w:spacing w:after="94"/>
      <w:ind/>
    </w:pPr>
  </w:style>
  <w:style w:styleId="Style_34_ch" w:type="character">
    <w:name w:val="Обычный (веб)1"/>
    <w:basedOn w:val="Style_16_ch"/>
    <w:link w:val="Style_34"/>
  </w:style>
  <w:style w:styleId="Style_35" w:type="paragraph">
    <w:name w:val="blk"/>
    <w:link w:val="Style_35_ch"/>
  </w:style>
  <w:style w:styleId="Style_35_ch" w:type="character">
    <w:name w:val="blk"/>
    <w:link w:val="Style_35"/>
  </w:style>
  <w:style w:styleId="Style_36" w:type="paragraph">
    <w:name w:val="WW8Num2z1"/>
    <w:link w:val="Style_36_ch"/>
  </w:style>
  <w:style w:styleId="Style_36_ch" w:type="character">
    <w:name w:val="WW8Num2z1"/>
    <w:link w:val="Style_36"/>
  </w:style>
  <w:style w:styleId="Style_37" w:type="paragraph">
    <w:name w:val="Маркеры списка"/>
    <w:link w:val="Style_37_ch"/>
    <w:rPr>
      <w:rFonts w:ascii="OpenSymbol" w:hAnsi="OpenSymbol"/>
    </w:rPr>
  </w:style>
  <w:style w:styleId="Style_37_ch" w:type="character">
    <w:name w:val="Маркеры списка"/>
    <w:link w:val="Style_37"/>
    <w:rPr>
      <w:rFonts w:ascii="OpenSymbol" w:hAnsi="OpenSymbol"/>
    </w:rPr>
  </w:style>
  <w:style w:styleId="Style_11" w:type="paragraph">
    <w:name w:val="ТЗ0 основной"/>
    <w:basedOn w:val="Style_16"/>
    <w:link w:val="Style_11_ch"/>
    <w:pPr>
      <w:spacing w:before="60"/>
      <w:ind/>
      <w:jc w:val="both"/>
    </w:pPr>
    <w:rPr>
      <w:rFonts w:ascii="Verdana" w:hAnsi="Verdana"/>
      <w:spacing w:val="-1"/>
    </w:rPr>
  </w:style>
  <w:style w:styleId="Style_11_ch" w:type="character">
    <w:name w:val="ТЗ0 основной"/>
    <w:basedOn w:val="Style_16_ch"/>
    <w:link w:val="Style_11"/>
    <w:rPr>
      <w:rFonts w:ascii="Verdana" w:hAnsi="Verdana"/>
      <w:spacing w:val="-1"/>
    </w:rPr>
  </w:style>
  <w:style w:styleId="Style_38" w:type="paragraph">
    <w:name w:val="Internet Link3"/>
    <w:link w:val="Style_38_ch"/>
    <w:rPr>
      <w:color w:val="000080"/>
      <w:u w:val="single"/>
    </w:rPr>
  </w:style>
  <w:style w:styleId="Style_38_ch" w:type="character">
    <w:name w:val="Internet Link3"/>
    <w:link w:val="Style_38"/>
    <w:rPr>
      <w:color w:val="000080"/>
      <w:u w:val="single"/>
    </w:rPr>
  </w:style>
  <w:style w:styleId="Style_39" w:type="paragraph">
    <w:name w:val="Endnote"/>
    <w:link w:val="Style_39_ch"/>
    <w:pPr>
      <w:ind w:firstLine="851" w:left="0"/>
      <w:jc w:val="both"/>
    </w:pPr>
    <w:rPr>
      <w:rFonts w:ascii="XO Thames" w:hAnsi="XO Thames"/>
      <w:sz w:val="22"/>
    </w:rPr>
  </w:style>
  <w:style w:styleId="Style_39_ch" w:type="character">
    <w:name w:val="Endnote"/>
    <w:link w:val="Style_39"/>
    <w:rPr>
      <w:rFonts w:ascii="XO Thames" w:hAnsi="XO Thames"/>
      <w:sz w:val="22"/>
    </w:rPr>
  </w:style>
  <w:style w:styleId="Style_10" w:type="paragraph">
    <w:name w:val="heading 3"/>
    <w:basedOn w:val="Style_16"/>
    <w:next w:val="Style_16"/>
    <w:link w:val="Style_10_ch"/>
    <w:uiPriority w:val="9"/>
    <w:qFormat/>
    <w:pPr>
      <w:keepNext w:val="1"/>
      <w:numPr>
        <w:ilvl w:val="2"/>
        <w:numId w:val="3"/>
      </w:numPr>
      <w:spacing w:after="60" w:before="240"/>
      <w:ind/>
      <w:outlineLvl w:val="2"/>
    </w:pPr>
    <w:rPr>
      <w:rFonts w:ascii="Arial" w:hAnsi="Arial"/>
      <w:b w:val="1"/>
      <w:sz w:val="26"/>
    </w:rPr>
  </w:style>
  <w:style w:styleId="Style_10_ch" w:type="character">
    <w:name w:val="heading 3"/>
    <w:basedOn w:val="Style_16_ch"/>
    <w:link w:val="Style_10"/>
    <w:rPr>
      <w:rFonts w:ascii="Arial" w:hAnsi="Arial"/>
      <w:b w:val="1"/>
      <w:sz w:val="26"/>
    </w:rPr>
  </w:style>
  <w:style w:styleId="Style_40" w:type="paragraph">
    <w:name w:val="Основной шрифт абзаца2"/>
    <w:link w:val="Style_40_ch"/>
  </w:style>
  <w:style w:styleId="Style_40_ch" w:type="character">
    <w:name w:val="Основной шрифт абзаца2"/>
    <w:link w:val="Style_40"/>
  </w:style>
  <w:style w:styleId="Style_41" w:type="paragraph">
    <w:name w:val="WW8Num2z8"/>
    <w:link w:val="Style_41_ch"/>
  </w:style>
  <w:style w:styleId="Style_41_ch" w:type="character">
    <w:name w:val="WW8Num2z8"/>
    <w:link w:val="Style_41"/>
  </w:style>
  <w:style w:styleId="Style_12" w:type="paragraph">
    <w:name w:val="ТЗ0 Марк б/н1"/>
    <w:basedOn w:val="Style_16"/>
    <w:link w:val="Style_12_ch"/>
    <w:pPr>
      <w:numPr>
        <w:numId w:val="4"/>
      </w:numPr>
      <w:spacing w:after="40" w:before="40"/>
      <w:ind/>
      <w:jc w:val="both"/>
    </w:pPr>
    <w:rPr>
      <w:rFonts w:ascii="Arial" w:hAnsi="Arial"/>
    </w:rPr>
  </w:style>
  <w:style w:styleId="Style_12_ch" w:type="character">
    <w:name w:val="ТЗ0 Марк б/н1"/>
    <w:basedOn w:val="Style_16_ch"/>
    <w:link w:val="Style_12"/>
    <w:rPr>
      <w:rFonts w:ascii="Arial" w:hAnsi="Arial"/>
    </w:rPr>
  </w:style>
  <w:style w:styleId="Style_42" w:type="paragraph">
    <w:name w:val="Internet Link2"/>
    <w:link w:val="Style_42_ch"/>
    <w:rPr>
      <w:color w:val="000080"/>
      <w:u w:val="single"/>
    </w:rPr>
  </w:style>
  <w:style w:styleId="Style_42_ch" w:type="character">
    <w:name w:val="Internet Link2"/>
    <w:link w:val="Style_42"/>
    <w:rPr>
      <w:color w:val="000080"/>
      <w:u w:val="single"/>
    </w:rPr>
  </w:style>
  <w:style w:styleId="Style_6" w:type="paragraph">
    <w:name w:val="Стиль3"/>
    <w:basedOn w:val="Style_43"/>
    <w:link w:val="Style_6_ch"/>
    <w:pPr>
      <w:widowControl w:val="0"/>
      <w:tabs>
        <w:tab w:leader="none" w:pos="1307" w:val="left"/>
      </w:tabs>
      <w:spacing w:after="0" w:line="240" w:lineRule="auto"/>
      <w:ind w:firstLine="0" w:left="1080"/>
      <w:jc w:val="both"/>
    </w:pPr>
  </w:style>
  <w:style w:styleId="Style_6_ch" w:type="character">
    <w:name w:val="Стиль3"/>
    <w:basedOn w:val="Style_43_ch"/>
    <w:link w:val="Style_6"/>
  </w:style>
  <w:style w:styleId="Style_44" w:type="paragraph">
    <w:name w:val="WW8Num2z4"/>
    <w:link w:val="Style_44_ch"/>
  </w:style>
  <w:style w:styleId="Style_44_ch" w:type="character">
    <w:name w:val="WW8Num2z4"/>
    <w:link w:val="Style_44"/>
  </w:style>
  <w:style w:styleId="Style_45" w:type="paragraph">
    <w:name w:val="Символ нумерации"/>
    <w:link w:val="Style_45_ch"/>
  </w:style>
  <w:style w:styleId="Style_45_ch" w:type="character">
    <w:name w:val="Символ нумерации"/>
    <w:link w:val="Style_45"/>
  </w:style>
  <w:style w:styleId="Style_46" w:type="paragraph">
    <w:name w:val="WW8Num2z7"/>
    <w:link w:val="Style_46_ch"/>
  </w:style>
  <w:style w:styleId="Style_46_ch" w:type="character">
    <w:name w:val="WW8Num2z7"/>
    <w:link w:val="Style_46"/>
  </w:style>
  <w:style w:styleId="Style_47" w:type="paragraph">
    <w:name w:val="heading 9"/>
    <w:basedOn w:val="Style_16"/>
    <w:next w:val="Style_16"/>
    <w:link w:val="Style_47_ch"/>
    <w:uiPriority w:val="9"/>
    <w:qFormat/>
    <w:pPr>
      <w:keepNext w:val="1"/>
      <w:keepLines w:val="1"/>
      <w:spacing w:before="200" w:line="276" w:lineRule="auto"/>
      <w:ind/>
      <w:outlineLvl w:val="8"/>
    </w:pPr>
    <w:rPr>
      <w:rFonts w:ascii="Cambria" w:hAnsi="Cambria"/>
      <w:i w:val="1"/>
      <w:color w:val="404040"/>
      <w:sz w:val="20"/>
    </w:rPr>
  </w:style>
  <w:style w:styleId="Style_47_ch" w:type="character">
    <w:name w:val="heading 9"/>
    <w:basedOn w:val="Style_16_ch"/>
    <w:link w:val="Style_47"/>
    <w:rPr>
      <w:rFonts w:ascii="Cambria" w:hAnsi="Cambria"/>
      <w:i w:val="1"/>
      <w:color w:val="404040"/>
      <w:sz w:val="20"/>
    </w:rPr>
  </w:style>
  <w:style w:styleId="Style_48" w:type="paragraph">
    <w:name w:val="Указатель2"/>
    <w:basedOn w:val="Style_16"/>
    <w:link w:val="Style_48_ch"/>
  </w:style>
  <w:style w:styleId="Style_48_ch" w:type="character">
    <w:name w:val="Указатель2"/>
    <w:basedOn w:val="Style_16_ch"/>
    <w:link w:val="Style_48"/>
  </w:style>
  <w:style w:styleId="Style_49" w:type="paragraph">
    <w:name w:val="WW8Num1z5"/>
    <w:link w:val="Style_49_ch"/>
  </w:style>
  <w:style w:styleId="Style_49_ch" w:type="character">
    <w:name w:val="WW8Num1z5"/>
    <w:link w:val="Style_49"/>
  </w:style>
  <w:style w:styleId="Style_50" w:type="paragraph">
    <w:name w:val="WW8Num4z1"/>
    <w:link w:val="Style_50_ch"/>
  </w:style>
  <w:style w:styleId="Style_50_ch" w:type="character">
    <w:name w:val="WW8Num4z1"/>
    <w:link w:val="Style_50"/>
  </w:style>
  <w:style w:styleId="Style_51" w:type="paragraph">
    <w:name w:val="WW8Num4z2"/>
    <w:link w:val="Style_51_ch"/>
  </w:style>
  <w:style w:styleId="Style_51_ch" w:type="character">
    <w:name w:val="WW8Num4z2"/>
    <w:link w:val="Style_51"/>
  </w:style>
  <w:style w:styleId="Style_5" w:type="paragraph">
    <w:name w:val="Body Text"/>
    <w:basedOn w:val="Style_16"/>
    <w:link w:val="Style_5_ch"/>
    <w:pPr>
      <w:spacing w:after="120"/>
      <w:ind/>
    </w:pPr>
  </w:style>
  <w:style w:styleId="Style_5_ch" w:type="character">
    <w:name w:val="Body Text"/>
    <w:basedOn w:val="Style_16_ch"/>
    <w:link w:val="Style_5"/>
  </w:style>
  <w:style w:styleId="Style_52" w:type="paragraph">
    <w:name w:val="Internet Link"/>
    <w:basedOn w:val="Style_24"/>
    <w:link w:val="Style_52_ch"/>
    <w:rPr>
      <w:color w:themeColor="hyperlink" w:val="0563C1"/>
      <w:u w:val="single"/>
    </w:rPr>
  </w:style>
  <w:style w:styleId="Style_52_ch" w:type="character">
    <w:name w:val="Internet Link"/>
    <w:basedOn w:val="Style_24_ch"/>
    <w:link w:val="Style_52"/>
    <w:rPr>
      <w:color w:themeColor="hyperlink" w:val="0563C1"/>
      <w:u w:val="single"/>
    </w:rPr>
  </w:style>
  <w:style w:styleId="Style_53" w:type="paragraph">
    <w:name w:val="WW8Num2z3"/>
    <w:link w:val="Style_53_ch"/>
  </w:style>
  <w:style w:styleId="Style_53_ch" w:type="character">
    <w:name w:val="WW8Num2z3"/>
    <w:link w:val="Style_53"/>
  </w:style>
  <w:style w:styleId="Style_15" w:type="paragraph">
    <w:name w:val="Main text"/>
    <w:link w:val="Style_15_ch"/>
    <w:pPr>
      <w:spacing w:before="120"/>
      <w:ind/>
      <w:jc w:val="both"/>
    </w:pPr>
    <w:rPr>
      <w:rFonts w:ascii="Verdana" w:hAnsi="Verdana"/>
      <w:sz w:val="18"/>
    </w:rPr>
  </w:style>
  <w:style w:styleId="Style_15_ch" w:type="character">
    <w:name w:val="Main text"/>
    <w:link w:val="Style_15"/>
    <w:rPr>
      <w:rFonts w:ascii="Verdana" w:hAnsi="Verdana"/>
      <w:sz w:val="18"/>
    </w:rPr>
  </w:style>
  <w:style w:styleId="Style_54" w:type="paragraph">
    <w:name w:val="WW8Num4z7"/>
    <w:link w:val="Style_54_ch"/>
  </w:style>
  <w:style w:styleId="Style_54_ch" w:type="character">
    <w:name w:val="WW8Num4z7"/>
    <w:link w:val="Style_54"/>
  </w:style>
  <w:style w:styleId="Style_55" w:type="paragraph">
    <w:name w:val="Указатель1"/>
    <w:basedOn w:val="Style_16"/>
    <w:link w:val="Style_55_ch"/>
  </w:style>
  <w:style w:styleId="Style_55_ch" w:type="character">
    <w:name w:val="Указатель1"/>
    <w:basedOn w:val="Style_16_ch"/>
    <w:link w:val="Style_55"/>
  </w:style>
  <w:style w:styleId="Style_56" w:type="paragraph">
    <w:name w:val="Balloon Text"/>
    <w:basedOn w:val="Style_16"/>
    <w:link w:val="Style_56_ch"/>
    <w:rPr>
      <w:rFonts w:ascii="Segoe UI" w:hAnsi="Segoe UI"/>
      <w:sz w:val="18"/>
    </w:rPr>
  </w:style>
  <w:style w:styleId="Style_56_ch" w:type="character">
    <w:name w:val="Balloon Text"/>
    <w:basedOn w:val="Style_16_ch"/>
    <w:link w:val="Style_56"/>
    <w:rPr>
      <w:rFonts w:ascii="Segoe UI" w:hAnsi="Segoe UI"/>
      <w:sz w:val="18"/>
    </w:rPr>
  </w:style>
  <w:style w:styleId="Style_57" w:type="paragraph">
    <w:name w:val="toc 3"/>
    <w:next w:val="Style_16"/>
    <w:link w:val="Style_57_ch"/>
    <w:uiPriority w:val="39"/>
    <w:pPr>
      <w:ind w:firstLine="0" w:left="400"/>
      <w:jc w:val="left"/>
    </w:pPr>
    <w:rPr>
      <w:rFonts w:ascii="XO Thames" w:hAnsi="XO Thames"/>
      <w:sz w:val="28"/>
    </w:rPr>
  </w:style>
  <w:style w:styleId="Style_57_ch" w:type="character">
    <w:name w:val="toc 3"/>
    <w:link w:val="Style_57"/>
    <w:rPr>
      <w:rFonts w:ascii="XO Thames" w:hAnsi="XO Thames"/>
      <w:sz w:val="28"/>
    </w:rPr>
  </w:style>
  <w:style w:styleId="Style_58" w:type="paragraph">
    <w:name w:val="WW8Num1z2"/>
    <w:link w:val="Style_58_ch"/>
  </w:style>
  <w:style w:styleId="Style_58_ch" w:type="character">
    <w:name w:val="WW8Num1z2"/>
    <w:link w:val="Style_58"/>
  </w:style>
  <w:style w:styleId="Style_21" w:type="paragraph">
    <w:name w:val="WW-Текст"/>
    <w:basedOn w:val="Style_16"/>
    <w:link w:val="Style_21_ch"/>
    <w:pPr>
      <w:ind/>
      <w:jc w:val="both"/>
    </w:pPr>
    <w:rPr>
      <w:rFonts w:ascii="Courier New" w:hAnsi="Courier New"/>
      <w:sz w:val="20"/>
    </w:rPr>
  </w:style>
  <w:style w:styleId="Style_21_ch" w:type="character">
    <w:name w:val="WW-Текст"/>
    <w:basedOn w:val="Style_16_ch"/>
    <w:link w:val="Style_21"/>
    <w:rPr>
      <w:rFonts w:ascii="Courier New" w:hAnsi="Courier New"/>
      <w:sz w:val="20"/>
    </w:rPr>
  </w:style>
  <w:style w:styleId="Style_7" w:type="paragraph">
    <w:name w:val="Plain Text"/>
    <w:basedOn w:val="Style_16"/>
    <w:link w:val="Style_7_ch"/>
    <w:rPr>
      <w:rFonts w:ascii="Courier New" w:hAnsi="Courier New"/>
      <w:sz w:val="20"/>
    </w:rPr>
  </w:style>
  <w:style w:styleId="Style_7_ch" w:type="character">
    <w:name w:val="Plain Text"/>
    <w:basedOn w:val="Style_16_ch"/>
    <w:link w:val="Style_7"/>
    <w:rPr>
      <w:rFonts w:ascii="Courier New" w:hAnsi="Courier New"/>
      <w:sz w:val="20"/>
    </w:rPr>
  </w:style>
  <w:style w:styleId="Style_59" w:type="paragraph">
    <w:name w:val="List Paragraph"/>
    <w:basedOn w:val="Style_16"/>
    <w:link w:val="Style_59_ch"/>
    <w:pPr>
      <w:ind w:firstLine="0" w:left="708"/>
    </w:pPr>
  </w:style>
  <w:style w:styleId="Style_59_ch" w:type="character">
    <w:name w:val="List Paragraph"/>
    <w:basedOn w:val="Style_16_ch"/>
    <w:link w:val="Style_59"/>
  </w:style>
  <w:style w:styleId="Style_60" w:type="paragraph">
    <w:name w:val="WW8Num4z4"/>
    <w:link w:val="Style_60_ch"/>
  </w:style>
  <w:style w:styleId="Style_60_ch" w:type="character">
    <w:name w:val="WW8Num4z4"/>
    <w:link w:val="Style_60"/>
  </w:style>
  <w:style w:styleId="Style_61" w:type="paragraph">
    <w:name w:val="WW8Num2z2"/>
    <w:link w:val="Style_61_ch"/>
  </w:style>
  <w:style w:styleId="Style_61_ch" w:type="character">
    <w:name w:val="WW8Num2z2"/>
    <w:link w:val="Style_61"/>
  </w:style>
  <w:style w:styleId="Style_62" w:type="paragraph">
    <w:name w:val="heading 5"/>
    <w:next w:val="Style_16"/>
    <w:link w:val="Style_62_ch"/>
    <w:uiPriority w:val="9"/>
    <w:qFormat/>
    <w:pPr>
      <w:spacing w:after="120" w:before="120"/>
      <w:ind/>
      <w:jc w:val="both"/>
      <w:outlineLvl w:val="4"/>
    </w:pPr>
    <w:rPr>
      <w:rFonts w:ascii="XO Thames" w:hAnsi="XO Thames"/>
      <w:b w:val="1"/>
      <w:sz w:val="22"/>
    </w:rPr>
  </w:style>
  <w:style w:styleId="Style_62_ch" w:type="character">
    <w:name w:val="heading 5"/>
    <w:link w:val="Style_62"/>
    <w:rPr>
      <w:rFonts w:ascii="XO Thames" w:hAnsi="XO Thames"/>
      <w:b w:val="1"/>
      <w:sz w:val="22"/>
    </w:rPr>
  </w:style>
  <w:style w:styleId="Style_63" w:type="paragraph">
    <w:name w:val="WW8Num7z0"/>
    <w:link w:val="Style_63_ch"/>
    <w:rPr>
      <w:rFonts w:ascii="Symbol" w:hAnsi="Symbol"/>
    </w:rPr>
  </w:style>
  <w:style w:styleId="Style_63_ch" w:type="character">
    <w:name w:val="WW8Num7z0"/>
    <w:link w:val="Style_63"/>
    <w:rPr>
      <w:rFonts w:ascii="Symbol" w:hAnsi="Symbol"/>
    </w:rPr>
  </w:style>
  <w:style w:styleId="Style_64" w:type="paragraph">
    <w:name w:val="WW8Num1z8"/>
    <w:link w:val="Style_64_ch"/>
  </w:style>
  <w:style w:styleId="Style_64_ch" w:type="character">
    <w:name w:val="WW8Num1z8"/>
    <w:link w:val="Style_64"/>
  </w:style>
  <w:style w:styleId="Style_4" w:type="paragraph">
    <w:name w:val="heading 1"/>
    <w:basedOn w:val="Style_16"/>
    <w:next w:val="Style_16"/>
    <w:link w:val="Style_4_ch"/>
    <w:uiPriority w:val="9"/>
    <w:qFormat/>
    <w:pPr>
      <w:keepNext w:val="1"/>
      <w:keepLines w:val="1"/>
      <w:ind/>
      <w:jc w:val="center"/>
      <w:outlineLvl w:val="0"/>
    </w:pPr>
    <w:rPr>
      <w:sz w:val="22"/>
    </w:rPr>
  </w:style>
  <w:style w:styleId="Style_4_ch" w:type="character">
    <w:name w:val="heading 1"/>
    <w:basedOn w:val="Style_16_ch"/>
    <w:link w:val="Style_4"/>
    <w:rPr>
      <w:sz w:val="22"/>
    </w:rPr>
  </w:style>
  <w:style w:styleId="Style_65" w:type="paragraph">
    <w:name w:val="WW8Num1z0"/>
    <w:link w:val="Style_65_ch"/>
  </w:style>
  <w:style w:styleId="Style_65_ch" w:type="character">
    <w:name w:val="WW8Num1z0"/>
    <w:link w:val="Style_65"/>
  </w:style>
  <w:style w:styleId="Style_66" w:type="paragraph">
    <w:name w:val="Абзац списка1"/>
    <w:basedOn w:val="Style_16"/>
    <w:link w:val="Style_66_ch"/>
    <w:pPr>
      <w:spacing w:after="200" w:line="276" w:lineRule="auto"/>
      <w:ind/>
    </w:pPr>
    <w:rPr>
      <w:rFonts w:ascii="Calibri" w:hAnsi="Calibri"/>
      <w:sz w:val="22"/>
    </w:rPr>
  </w:style>
  <w:style w:styleId="Style_66_ch" w:type="character">
    <w:name w:val="Абзац списка1"/>
    <w:basedOn w:val="Style_16_ch"/>
    <w:link w:val="Style_66"/>
    <w:rPr>
      <w:rFonts w:ascii="Calibri" w:hAnsi="Calibri"/>
      <w:sz w:val="22"/>
    </w:rPr>
  </w:style>
  <w:style w:styleId="Style_67" w:type="paragraph">
    <w:name w:val="Название1"/>
    <w:basedOn w:val="Style_16"/>
    <w:link w:val="Style_67_ch"/>
    <w:pPr>
      <w:spacing w:after="120" w:before="120"/>
      <w:ind/>
    </w:pPr>
    <w:rPr>
      <w:i w:val="1"/>
    </w:rPr>
  </w:style>
  <w:style w:styleId="Style_67_ch" w:type="character">
    <w:name w:val="Название1"/>
    <w:basedOn w:val="Style_16_ch"/>
    <w:link w:val="Style_67"/>
    <w:rPr>
      <w:i w:val="1"/>
    </w:rPr>
  </w:style>
  <w:style w:styleId="Style_43" w:type="paragraph">
    <w:name w:val="Body Text Indent 2"/>
    <w:basedOn w:val="Style_16"/>
    <w:link w:val="Style_43_ch"/>
    <w:pPr>
      <w:spacing w:after="120" w:line="480" w:lineRule="auto"/>
      <w:ind w:firstLine="0" w:left="283"/>
    </w:pPr>
  </w:style>
  <w:style w:styleId="Style_43_ch" w:type="character">
    <w:name w:val="Body Text Indent 2"/>
    <w:basedOn w:val="Style_16_ch"/>
    <w:link w:val="Style_43"/>
  </w:style>
  <w:style w:styleId="Style_13" w:type="paragraph">
    <w:name w:val="Hyperlink"/>
    <w:link w:val="Style_13_ch"/>
    <w:rPr>
      <w:color w:val="000080"/>
      <w:u w:val="single"/>
    </w:rPr>
  </w:style>
  <w:style w:styleId="Style_13_ch" w:type="character">
    <w:name w:val="Hyperlink"/>
    <w:link w:val="Style_13"/>
    <w:rPr>
      <w:color w:val="000080"/>
      <w:u w:val="single"/>
    </w:rPr>
  </w:style>
  <w:style w:styleId="Style_68" w:type="paragraph">
    <w:name w:val="Footnote"/>
    <w:link w:val="Style_68_ch"/>
    <w:pPr>
      <w:ind w:firstLine="851" w:left="0"/>
      <w:jc w:val="both"/>
    </w:pPr>
    <w:rPr>
      <w:rFonts w:ascii="XO Thames" w:hAnsi="XO Thames"/>
      <w:sz w:val="22"/>
    </w:rPr>
  </w:style>
  <w:style w:styleId="Style_68_ch" w:type="character">
    <w:name w:val="Footnote"/>
    <w:link w:val="Style_68"/>
    <w:rPr>
      <w:rFonts w:ascii="XO Thames" w:hAnsi="XO Thames"/>
      <w:sz w:val="22"/>
    </w:rPr>
  </w:style>
  <w:style w:styleId="Style_69" w:type="paragraph">
    <w:name w:val="Internet Link5"/>
    <w:link w:val="Style_69_ch"/>
    <w:rPr>
      <w:color w:val="000080"/>
      <w:u w:val="single"/>
    </w:rPr>
  </w:style>
  <w:style w:styleId="Style_69_ch" w:type="character">
    <w:name w:val="Internet Link5"/>
    <w:link w:val="Style_69"/>
    <w:rPr>
      <w:color w:val="000080"/>
      <w:u w:val="single"/>
    </w:rPr>
  </w:style>
  <w:style w:styleId="Style_70" w:type="paragraph">
    <w:name w:val="toc 1"/>
    <w:next w:val="Style_16"/>
    <w:link w:val="Style_70_ch"/>
    <w:uiPriority w:val="39"/>
    <w:pPr>
      <w:ind w:firstLine="0" w:left="0"/>
      <w:jc w:val="left"/>
    </w:pPr>
    <w:rPr>
      <w:rFonts w:ascii="XO Thames" w:hAnsi="XO Thames"/>
      <w:b w:val="1"/>
      <w:sz w:val="28"/>
    </w:rPr>
  </w:style>
  <w:style w:styleId="Style_70_ch" w:type="character">
    <w:name w:val="toc 1"/>
    <w:link w:val="Style_70"/>
    <w:rPr>
      <w:rFonts w:ascii="XO Thames" w:hAnsi="XO Thames"/>
      <w:b w:val="1"/>
      <w:sz w:val="28"/>
    </w:rPr>
  </w:style>
  <w:style w:styleId="Style_9" w:type="paragraph">
    <w:name w:val="Цитата1"/>
    <w:basedOn w:val="Style_16"/>
    <w:link w:val="Style_9_ch"/>
    <w:pPr>
      <w:ind w:firstLine="709" w:left="-567" w:right="-425"/>
      <w:jc w:val="both"/>
    </w:pPr>
  </w:style>
  <w:style w:styleId="Style_9_ch" w:type="character">
    <w:name w:val="Цитата1"/>
    <w:basedOn w:val="Style_16_ch"/>
    <w:link w:val="Style_9"/>
  </w:style>
  <w:style w:styleId="Style_71" w:type="paragraph">
    <w:name w:val="Header and Footer"/>
    <w:basedOn w:val="Style_16"/>
    <w:link w:val="Style_71_ch"/>
  </w:style>
  <w:style w:styleId="Style_71_ch" w:type="character">
    <w:name w:val="Header and Footer"/>
    <w:basedOn w:val="Style_16_ch"/>
    <w:link w:val="Style_71"/>
  </w:style>
  <w:style w:styleId="Style_72" w:type="paragraph">
    <w:name w:val="Название2"/>
    <w:basedOn w:val="Style_16"/>
    <w:link w:val="Style_72_ch"/>
    <w:pPr>
      <w:spacing w:after="120" w:before="120"/>
      <w:ind/>
    </w:pPr>
    <w:rPr>
      <w:i w:val="1"/>
    </w:rPr>
  </w:style>
  <w:style w:styleId="Style_72_ch" w:type="character">
    <w:name w:val="Название2"/>
    <w:basedOn w:val="Style_16_ch"/>
    <w:link w:val="Style_72"/>
    <w:rPr>
      <w:i w:val="1"/>
    </w:rPr>
  </w:style>
  <w:style w:styleId="Style_73" w:type="paragraph">
    <w:name w:val="WW8Num3z0"/>
    <w:link w:val="Style_73_ch"/>
    <w:rPr>
      <w:rFonts w:ascii="Symbol" w:hAnsi="Symbol"/>
      <w:sz w:val="28"/>
    </w:rPr>
  </w:style>
  <w:style w:styleId="Style_73_ch" w:type="character">
    <w:name w:val="WW8Num3z0"/>
    <w:link w:val="Style_73"/>
    <w:rPr>
      <w:rFonts w:ascii="Symbol" w:hAnsi="Symbol"/>
      <w:sz w:val="28"/>
    </w:rPr>
  </w:style>
  <w:style w:styleId="Style_74" w:type="paragraph">
    <w:name w:val="Условия контракта"/>
    <w:basedOn w:val="Style_16"/>
    <w:link w:val="Style_74_ch"/>
    <w:pPr>
      <w:spacing w:after="120" w:before="240"/>
      <w:ind w:hanging="360" w:left="1004"/>
      <w:jc w:val="both"/>
    </w:pPr>
    <w:rPr>
      <w:b w:val="1"/>
    </w:rPr>
  </w:style>
  <w:style w:styleId="Style_74_ch" w:type="character">
    <w:name w:val="Условия контракта"/>
    <w:basedOn w:val="Style_16_ch"/>
    <w:link w:val="Style_74"/>
    <w:rPr>
      <w:b w:val="1"/>
    </w:rPr>
  </w:style>
  <w:style w:styleId="Style_1" w:type="paragraph">
    <w:name w:val="header"/>
    <w:basedOn w:val="Style_16"/>
    <w:link w:val="Style_1_ch"/>
    <w:pPr>
      <w:widowControl w:val="0"/>
      <w:tabs>
        <w:tab w:leader="none" w:pos="4677" w:val="center"/>
        <w:tab w:leader="none" w:pos="9355" w:val="right"/>
      </w:tabs>
      <w:ind/>
    </w:pPr>
    <w:rPr>
      <w:rFonts w:ascii="Arial Unicode MS" w:hAnsi="Arial Unicode MS"/>
      <w:color w:val="000000"/>
    </w:rPr>
  </w:style>
  <w:style w:styleId="Style_1_ch" w:type="character">
    <w:name w:val="header"/>
    <w:basedOn w:val="Style_16_ch"/>
    <w:link w:val="Style_1"/>
    <w:rPr>
      <w:rFonts w:ascii="Arial Unicode MS" w:hAnsi="Arial Unicode MS"/>
      <w:color w:val="000000"/>
    </w:rPr>
  </w:style>
  <w:style w:styleId="Style_75" w:type="paragraph">
    <w:name w:val="caption"/>
    <w:basedOn w:val="Style_16"/>
    <w:link w:val="Style_75_ch"/>
    <w:pPr>
      <w:spacing w:after="120" w:before="120"/>
      <w:ind/>
    </w:pPr>
    <w:rPr>
      <w:i w:val="1"/>
    </w:rPr>
  </w:style>
  <w:style w:styleId="Style_75_ch" w:type="character">
    <w:name w:val="caption"/>
    <w:basedOn w:val="Style_16_ch"/>
    <w:link w:val="Style_75"/>
    <w:rPr>
      <w:i w:val="1"/>
    </w:rPr>
  </w:style>
  <w:style w:styleId="Style_76" w:type="paragraph">
    <w:name w:val="toc 9"/>
    <w:next w:val="Style_16"/>
    <w:link w:val="Style_76_ch"/>
    <w:uiPriority w:val="39"/>
    <w:pPr>
      <w:ind w:firstLine="0" w:left="1600"/>
      <w:jc w:val="left"/>
    </w:pPr>
    <w:rPr>
      <w:rFonts w:ascii="XO Thames" w:hAnsi="XO Thames"/>
      <w:sz w:val="28"/>
    </w:rPr>
  </w:style>
  <w:style w:styleId="Style_76_ch" w:type="character">
    <w:name w:val="toc 9"/>
    <w:link w:val="Style_76"/>
    <w:rPr>
      <w:rFonts w:ascii="XO Thames" w:hAnsi="XO Thames"/>
      <w:sz w:val="28"/>
    </w:rPr>
  </w:style>
  <w:style w:styleId="Style_22" w:type="paragraph">
    <w:name w:val="Содержимое таблицы"/>
    <w:basedOn w:val="Style_16"/>
    <w:link w:val="Style_22_ch"/>
  </w:style>
  <w:style w:styleId="Style_22_ch" w:type="character">
    <w:name w:val="Содержимое таблицы"/>
    <w:basedOn w:val="Style_16_ch"/>
    <w:link w:val="Style_22"/>
  </w:style>
  <w:style w:styleId="Style_20" w:type="paragraph">
    <w:name w:val="ASN"/>
    <w:basedOn w:val="Style_16"/>
    <w:link w:val="Style_20_ch"/>
    <w:pPr>
      <w:ind w:firstLine="720" w:left="0"/>
      <w:jc w:val="both"/>
    </w:pPr>
    <w:rPr>
      <w:rFonts w:ascii="Courier New" w:hAnsi="Courier New"/>
      <w:sz w:val="20"/>
    </w:rPr>
  </w:style>
  <w:style w:styleId="Style_20_ch" w:type="character">
    <w:name w:val="ASN"/>
    <w:basedOn w:val="Style_16_ch"/>
    <w:link w:val="Style_20"/>
    <w:rPr>
      <w:rFonts w:ascii="Courier New" w:hAnsi="Courier New"/>
      <w:sz w:val="20"/>
    </w:rPr>
  </w:style>
  <w:style w:styleId="Style_77" w:type="paragraph">
    <w:name w:val="toc 8"/>
    <w:next w:val="Style_16"/>
    <w:link w:val="Style_77_ch"/>
    <w:uiPriority w:val="39"/>
    <w:pPr>
      <w:ind w:firstLine="0" w:left="1400"/>
      <w:jc w:val="left"/>
    </w:pPr>
    <w:rPr>
      <w:rFonts w:ascii="XO Thames" w:hAnsi="XO Thames"/>
      <w:sz w:val="28"/>
    </w:rPr>
  </w:style>
  <w:style w:styleId="Style_77_ch" w:type="character">
    <w:name w:val="toc 8"/>
    <w:link w:val="Style_77"/>
    <w:rPr>
      <w:rFonts w:ascii="XO Thames" w:hAnsi="XO Thames"/>
      <w:sz w:val="28"/>
    </w:rPr>
  </w:style>
  <w:style w:styleId="Style_78" w:type="paragraph">
    <w:name w:val="List Paragraph Char"/>
    <w:link w:val="Style_78_ch"/>
    <w:rPr>
      <w:sz w:val="24"/>
    </w:rPr>
  </w:style>
  <w:style w:styleId="Style_78_ch" w:type="character">
    <w:name w:val="List Paragraph Char"/>
    <w:link w:val="Style_78"/>
    <w:rPr>
      <w:sz w:val="24"/>
    </w:rPr>
  </w:style>
  <w:style w:styleId="Style_79" w:type="paragraph">
    <w:name w:val="No Spacing"/>
    <w:link w:val="Style_79_ch"/>
    <w:pPr>
      <w:ind w:firstLine="284" w:left="0"/>
      <w:jc w:val="center"/>
    </w:pPr>
  </w:style>
  <w:style w:styleId="Style_79_ch" w:type="character">
    <w:name w:val="No Spacing"/>
    <w:link w:val="Style_79"/>
  </w:style>
  <w:style w:styleId="Style_80" w:type="paragraph">
    <w:name w:val="WW8Num1z7"/>
    <w:link w:val="Style_80_ch"/>
  </w:style>
  <w:style w:styleId="Style_80_ch" w:type="character">
    <w:name w:val="WW8Num1z7"/>
    <w:link w:val="Style_80"/>
  </w:style>
  <w:style w:styleId="Style_2" w:type="paragraph">
    <w:name w:val="footer"/>
    <w:basedOn w:val="Style_16"/>
    <w:link w:val="Style_2_ch"/>
    <w:pPr>
      <w:widowControl w:val="0"/>
      <w:tabs>
        <w:tab w:leader="none" w:pos="4677" w:val="center"/>
        <w:tab w:leader="none" w:pos="9355" w:val="right"/>
      </w:tabs>
      <w:ind/>
    </w:pPr>
    <w:rPr>
      <w:rFonts w:ascii="Arial Unicode MS" w:hAnsi="Arial Unicode MS"/>
      <w:color w:val="000000"/>
    </w:rPr>
  </w:style>
  <w:style w:styleId="Style_2_ch" w:type="character">
    <w:name w:val="footer"/>
    <w:basedOn w:val="Style_16_ch"/>
    <w:link w:val="Style_2"/>
    <w:rPr>
      <w:rFonts w:ascii="Arial Unicode MS" w:hAnsi="Arial Unicode MS"/>
      <w:color w:val="000000"/>
    </w:rPr>
  </w:style>
  <w:style w:styleId="Style_81" w:type="paragraph">
    <w:name w:val="WW8Num2z6"/>
    <w:link w:val="Style_81_ch"/>
  </w:style>
  <w:style w:styleId="Style_81_ch" w:type="character">
    <w:name w:val="WW8Num2z6"/>
    <w:link w:val="Style_81"/>
  </w:style>
  <w:style w:styleId="Style_19" w:type="paragraph">
    <w:name w:val="Body Text 2"/>
    <w:basedOn w:val="Style_16"/>
    <w:link w:val="Style_19_ch"/>
    <w:pPr>
      <w:spacing w:after="120" w:line="480" w:lineRule="auto"/>
      <w:ind/>
    </w:pPr>
    <w:rPr>
      <w:sz w:val="20"/>
    </w:rPr>
  </w:style>
  <w:style w:styleId="Style_19_ch" w:type="character">
    <w:name w:val="Body Text 2"/>
    <w:basedOn w:val="Style_16_ch"/>
    <w:link w:val="Style_19"/>
    <w:rPr>
      <w:sz w:val="20"/>
    </w:rPr>
  </w:style>
  <w:style w:styleId="Style_82" w:type="paragraph">
    <w:name w:val="toc 5"/>
    <w:next w:val="Style_16"/>
    <w:link w:val="Style_82_ch"/>
    <w:uiPriority w:val="39"/>
    <w:pPr>
      <w:ind w:firstLine="0" w:left="800"/>
      <w:jc w:val="left"/>
    </w:pPr>
    <w:rPr>
      <w:rFonts w:ascii="XO Thames" w:hAnsi="XO Thames"/>
      <w:sz w:val="28"/>
    </w:rPr>
  </w:style>
  <w:style w:styleId="Style_82_ch" w:type="character">
    <w:name w:val="toc 5"/>
    <w:link w:val="Style_82"/>
    <w:rPr>
      <w:rFonts w:ascii="XO Thames" w:hAnsi="XO Thames"/>
      <w:sz w:val="28"/>
    </w:rPr>
  </w:style>
  <w:style w:styleId="Style_83" w:type="paragraph">
    <w:name w:val="Основной текст (2)"/>
    <w:basedOn w:val="Style_16"/>
    <w:link w:val="Style_83_ch"/>
    <w:pPr>
      <w:widowControl w:val="0"/>
      <w:spacing w:after="1320" w:before="1500" w:line="278" w:lineRule="exact"/>
      <w:ind/>
    </w:pPr>
    <w:rPr>
      <w:rFonts w:ascii="Book Antiqua" w:hAnsi="Book Antiqua"/>
      <w:sz w:val="21"/>
    </w:rPr>
  </w:style>
  <w:style w:styleId="Style_83_ch" w:type="character">
    <w:name w:val="Основной текст (2)"/>
    <w:basedOn w:val="Style_16_ch"/>
    <w:link w:val="Style_83"/>
    <w:rPr>
      <w:rFonts w:ascii="Book Antiqua" w:hAnsi="Book Antiqua"/>
      <w:sz w:val="21"/>
    </w:rPr>
  </w:style>
  <w:style w:styleId="Style_84" w:type="paragraph">
    <w:name w:val="WW8Num2z5"/>
    <w:link w:val="Style_84_ch"/>
  </w:style>
  <w:style w:styleId="Style_84_ch" w:type="character">
    <w:name w:val="WW8Num2z5"/>
    <w:link w:val="Style_84"/>
  </w:style>
  <w:style w:styleId="Style_85" w:type="paragraph">
    <w:name w:val="Заголовок таблицы"/>
    <w:basedOn w:val="Style_22"/>
    <w:link w:val="Style_85_ch"/>
    <w:pPr>
      <w:ind/>
      <w:jc w:val="center"/>
    </w:pPr>
    <w:rPr>
      <w:b w:val="1"/>
    </w:rPr>
  </w:style>
  <w:style w:styleId="Style_85_ch" w:type="character">
    <w:name w:val="Заголовок таблицы"/>
    <w:basedOn w:val="Style_22_ch"/>
    <w:link w:val="Style_85"/>
    <w:rPr>
      <w:b w:val="1"/>
    </w:rPr>
  </w:style>
  <w:style w:styleId="Style_86" w:type="paragraph">
    <w:name w:val="WW8Num4z0"/>
    <w:link w:val="Style_86_ch"/>
  </w:style>
  <w:style w:styleId="Style_86_ch" w:type="character">
    <w:name w:val="WW8Num4z0"/>
    <w:link w:val="Style_86"/>
  </w:style>
  <w:style w:styleId="Style_87" w:type="paragraph">
    <w:name w:val="WW8Num1z3"/>
    <w:link w:val="Style_87_ch"/>
  </w:style>
  <w:style w:styleId="Style_87_ch" w:type="character">
    <w:name w:val="WW8Num1z3"/>
    <w:link w:val="Style_87"/>
  </w:style>
  <w:style w:styleId="Style_88" w:type="paragraph">
    <w:name w:val="WW8Num1z6"/>
    <w:link w:val="Style_88_ch"/>
  </w:style>
  <w:style w:styleId="Style_88_ch" w:type="character">
    <w:name w:val="WW8Num1z6"/>
    <w:link w:val="Style_88"/>
  </w:style>
  <w:style w:styleId="Style_89" w:type="paragraph">
    <w:name w:val="WW8Num2z0"/>
    <w:link w:val="Style_89_ch"/>
    <w:rPr>
      <w:rFonts w:ascii="Arial" w:hAnsi="Arial"/>
      <w:b w:val="0"/>
      <w:sz w:val="28"/>
    </w:rPr>
  </w:style>
  <w:style w:styleId="Style_89_ch" w:type="character">
    <w:name w:val="WW8Num2z0"/>
    <w:link w:val="Style_89"/>
    <w:rPr>
      <w:rFonts w:ascii="Arial" w:hAnsi="Arial"/>
      <w:b w:val="0"/>
      <w:sz w:val="28"/>
    </w:rPr>
  </w:style>
  <w:style w:styleId="Style_90" w:type="paragraph">
    <w:name w:val="WW8Num4z3"/>
    <w:link w:val="Style_90_ch"/>
  </w:style>
  <w:style w:styleId="Style_90_ch" w:type="character">
    <w:name w:val="WW8Num4z3"/>
    <w:link w:val="Style_90"/>
  </w:style>
  <w:style w:styleId="Style_91" w:type="paragraph">
    <w:name w:val="Subtitle"/>
    <w:next w:val="Style_16"/>
    <w:link w:val="Style_91_ch"/>
    <w:uiPriority w:val="11"/>
    <w:qFormat/>
    <w:pPr>
      <w:ind/>
      <w:jc w:val="both"/>
    </w:pPr>
    <w:rPr>
      <w:rFonts w:ascii="XO Thames" w:hAnsi="XO Thames"/>
      <w:i w:val="1"/>
      <w:sz w:val="24"/>
    </w:rPr>
  </w:style>
  <w:style w:styleId="Style_91_ch" w:type="character">
    <w:name w:val="Subtitle"/>
    <w:link w:val="Style_91"/>
    <w:rPr>
      <w:rFonts w:ascii="XO Thames" w:hAnsi="XO Thames"/>
      <w:i w:val="1"/>
      <w:sz w:val="24"/>
    </w:rPr>
  </w:style>
  <w:style w:styleId="Style_92" w:type="paragraph">
    <w:name w:val="List"/>
    <w:basedOn w:val="Style_5"/>
    <w:link w:val="Style_92_ch"/>
  </w:style>
  <w:style w:styleId="Style_92_ch" w:type="character">
    <w:name w:val="List"/>
    <w:basedOn w:val="Style_5_ch"/>
    <w:link w:val="Style_92"/>
  </w:style>
  <w:style w:styleId="Style_17" w:type="paragraph">
    <w:name w:val="Содержимое врезки"/>
    <w:basedOn w:val="Style_16"/>
    <w:link w:val="Style_17_ch"/>
  </w:style>
  <w:style w:styleId="Style_17_ch" w:type="character">
    <w:name w:val="Содержимое врезки"/>
    <w:basedOn w:val="Style_16_ch"/>
    <w:link w:val="Style_17"/>
  </w:style>
  <w:style w:styleId="Style_93" w:type="paragraph">
    <w:name w:val="Основной шрифт абзаца1"/>
    <w:link w:val="Style_93_ch"/>
  </w:style>
  <w:style w:styleId="Style_93_ch" w:type="character">
    <w:name w:val="Основной шрифт абзаца1"/>
    <w:link w:val="Style_93"/>
  </w:style>
  <w:style w:styleId="Style_94" w:type="paragraph">
    <w:name w:val="Internet Link4"/>
    <w:link w:val="Style_94_ch"/>
    <w:rPr>
      <w:color w:val="000080"/>
      <w:u w:val="single"/>
    </w:rPr>
  </w:style>
  <w:style w:styleId="Style_94_ch" w:type="character">
    <w:name w:val="Internet Link4"/>
    <w:link w:val="Style_94"/>
    <w:rPr>
      <w:color w:val="000080"/>
      <w:u w:val="single"/>
    </w:rPr>
  </w:style>
  <w:style w:styleId="Style_95" w:type="paragraph">
    <w:name w:val="index heading"/>
    <w:basedOn w:val="Style_16"/>
    <w:link w:val="Style_95_ch"/>
  </w:style>
  <w:style w:styleId="Style_95_ch" w:type="character">
    <w:name w:val="index heading"/>
    <w:basedOn w:val="Style_16_ch"/>
    <w:link w:val="Style_95"/>
  </w:style>
  <w:style w:styleId="Style_3" w:type="paragraph">
    <w:name w:val="ConsPlusNormal"/>
    <w:link w:val="Style_3_ch"/>
    <w:pPr>
      <w:widowControl w:val="0"/>
      <w:ind w:firstLine="720" w:left="0"/>
    </w:pPr>
    <w:rPr>
      <w:rFonts w:ascii="Arial" w:hAnsi="Arial"/>
      <w:sz w:val="20"/>
    </w:rPr>
  </w:style>
  <w:style w:styleId="Style_3_ch" w:type="character">
    <w:name w:val="ConsPlusNormal"/>
    <w:link w:val="Style_3"/>
    <w:rPr>
      <w:rFonts w:ascii="Arial" w:hAnsi="Arial"/>
      <w:sz w:val="20"/>
    </w:rPr>
  </w:style>
  <w:style w:styleId="Style_96" w:type="paragraph">
    <w:name w:val="Title"/>
    <w:basedOn w:val="Style_16"/>
    <w:next w:val="Style_5"/>
    <w:link w:val="Style_96_ch"/>
    <w:uiPriority w:val="10"/>
    <w:qFormat/>
    <w:pPr>
      <w:keepNext w:val="1"/>
      <w:spacing w:after="120" w:before="240"/>
      <w:ind/>
    </w:pPr>
    <w:rPr>
      <w:rFonts w:ascii="Arial" w:hAnsi="Arial"/>
      <w:sz w:val="28"/>
    </w:rPr>
  </w:style>
  <w:style w:styleId="Style_96_ch" w:type="character">
    <w:name w:val="Title"/>
    <w:basedOn w:val="Style_16_ch"/>
    <w:link w:val="Style_96"/>
    <w:rPr>
      <w:rFonts w:ascii="Arial" w:hAnsi="Arial"/>
      <w:sz w:val="28"/>
    </w:rPr>
  </w:style>
  <w:style w:styleId="Style_97" w:type="paragraph">
    <w:name w:val="heading 4"/>
    <w:basedOn w:val="Style_16"/>
    <w:next w:val="Style_16"/>
    <w:link w:val="Style_97_ch"/>
    <w:uiPriority w:val="9"/>
    <w:qFormat/>
    <w:pPr>
      <w:keepNext w:val="1"/>
      <w:numPr>
        <w:ilvl w:val="3"/>
        <w:numId w:val="3"/>
      </w:numPr>
      <w:spacing w:after="60" w:before="240"/>
      <w:ind/>
      <w:outlineLvl w:val="3"/>
    </w:pPr>
    <w:rPr>
      <w:rFonts w:ascii="Calibri" w:hAnsi="Calibri"/>
      <w:b w:val="1"/>
      <w:sz w:val="28"/>
    </w:rPr>
  </w:style>
  <w:style w:styleId="Style_97_ch" w:type="character">
    <w:name w:val="heading 4"/>
    <w:basedOn w:val="Style_16_ch"/>
    <w:link w:val="Style_97"/>
    <w:rPr>
      <w:rFonts w:ascii="Calibri" w:hAnsi="Calibri"/>
      <w:b w:val="1"/>
      <w:sz w:val="28"/>
    </w:rPr>
  </w:style>
  <w:style w:styleId="Style_98" w:type="paragraph">
    <w:name w:val="copyright-info"/>
    <w:basedOn w:val="Style_16"/>
    <w:link w:val="Style_98_ch"/>
    <w:pPr>
      <w:spacing w:afterAutospacing="on" w:beforeAutospacing="on"/>
      <w:ind/>
    </w:pPr>
  </w:style>
  <w:style w:styleId="Style_98_ch" w:type="character">
    <w:name w:val="copyright-info"/>
    <w:basedOn w:val="Style_16_ch"/>
    <w:link w:val="Style_98"/>
  </w:style>
  <w:style w:styleId="Style_18" w:type="paragraph">
    <w:name w:val="Preformatted"/>
    <w:basedOn w:val="Style_16"/>
    <w:link w:val="Style_18_ch"/>
    <w:pPr>
      <w:tabs>
        <w:tab w:leader="none" w:pos="0" w:val="left"/>
        <w:tab w:leader="none" w:pos="959" w:val="left"/>
        <w:tab w:leader="none" w:pos="1918" w:val="left"/>
        <w:tab w:leader="none" w:pos="2877" w:val="left"/>
        <w:tab w:leader="none" w:pos="3836" w:val="left"/>
        <w:tab w:leader="none" w:pos="4795" w:val="left"/>
        <w:tab w:leader="none" w:pos="5754" w:val="left"/>
        <w:tab w:leader="none" w:pos="6713" w:val="left"/>
        <w:tab w:leader="none" w:pos="7672" w:val="left"/>
        <w:tab w:leader="none" w:pos="8631" w:val="left"/>
        <w:tab w:leader="none" w:pos="9590" w:val="left"/>
      </w:tabs>
      <w:ind/>
    </w:pPr>
    <w:rPr>
      <w:rFonts w:ascii="Courier New" w:hAnsi="Courier New"/>
      <w:sz w:val="20"/>
    </w:rPr>
  </w:style>
  <w:style w:styleId="Style_18_ch" w:type="character">
    <w:name w:val="Preformatted"/>
    <w:basedOn w:val="Style_16_ch"/>
    <w:link w:val="Style_18"/>
    <w:rPr>
      <w:rFonts w:ascii="Courier New" w:hAnsi="Courier New"/>
      <w:sz w:val="20"/>
    </w:rPr>
  </w:style>
  <w:style w:styleId="Style_99" w:type="paragraph">
    <w:name w:val="heading 2"/>
    <w:next w:val="Style_16"/>
    <w:link w:val="Style_99_ch"/>
    <w:uiPriority w:val="9"/>
    <w:qFormat/>
    <w:pPr>
      <w:spacing w:after="120" w:before="120"/>
      <w:ind/>
      <w:jc w:val="both"/>
      <w:outlineLvl w:val="1"/>
    </w:pPr>
    <w:rPr>
      <w:rFonts w:ascii="XO Thames" w:hAnsi="XO Thames"/>
      <w:b w:val="1"/>
      <w:sz w:val="28"/>
    </w:rPr>
  </w:style>
  <w:style w:styleId="Style_99_ch" w:type="character">
    <w:name w:val="heading 2"/>
    <w:link w:val="Style_99"/>
    <w:rPr>
      <w:rFonts w:ascii="XO Thames" w:hAnsi="XO Thames"/>
      <w:b w:val="1"/>
      <w:sz w:val="28"/>
    </w:rPr>
  </w:style>
  <w:style w:styleId="Style_100" w:type="paragraph">
    <w:name w:val="WW8Num4z8"/>
    <w:link w:val="Style_100_ch"/>
  </w:style>
  <w:style w:styleId="Style_100_ch" w:type="character">
    <w:name w:val="WW8Num4z8"/>
    <w:link w:val="Style_100"/>
  </w:style>
  <w:style w:styleId="Style_101" w:type="table">
    <w:name w:val="Сетка таблицы1"/>
    <w:basedOn w:val="Style_8"/>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2" w:type="table">
    <w:name w:val="Table Grid"/>
    <w:basedOn w:val="Style_8"/>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3" w:type="table">
    <w:name w:val="Сетка таблицы2"/>
    <w:basedOn w:val="Style_8"/>
    <w:rPr>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8"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fontTable.xml" Type="http://schemas.openxmlformats.org/officeDocument/2006/relationships/fontTable"/>
  <Relationship Id="rId1" Target="header1.xml" Type="http://schemas.openxmlformats.org/officeDocument/2006/relationships/header"/>
  <Relationship Id="rId12" Target="numbering.xml" Type="http://schemas.openxmlformats.org/officeDocument/2006/relationships/numbering"/>
  <Relationship Id="rId10" Target="webSettings.xml" Type="http://schemas.openxmlformats.org/officeDocument/2006/relationships/webSettings"/>
  <Relationship Id="rId2" Target="header2.xml" Type="http://schemas.openxmlformats.org/officeDocument/2006/relationships/header"/>
  <Relationship Id="rId3" Target="header3.xml" Type="http://schemas.openxmlformats.org/officeDocument/2006/relationships/header"/>
  <Relationship Id="rId8" Target="styles.xml" Type="http://schemas.openxmlformats.org/officeDocument/2006/relationships/styles"/>
  <Relationship Id="rId4" Target="footer4.xml" Type="http://schemas.openxmlformats.org/officeDocument/2006/relationships/footer"/>
  <Relationship Id="rId11" Target="theme/theme1.xml" Type="http://schemas.openxmlformats.org/officeDocument/2006/relationships/theme"/>
  <Relationship Id="rId9" Target="stylesWithEffects.xml" Type="http://schemas.microsoft.com/office/2007/relationships/stylesWithEffects"/>
  <Relationship Id="rId7" Target="settings.xml" Type="http://schemas.openxmlformats.org/officeDocument/2006/relationships/settings"/>
  <Relationship Id="rId5" Target="media/1.pn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gradFill>
        <a:gradFill>
          <a:gsLst>
            <a:gs pos="0">
              <a:schemeClr val="phClr">
                <a:lumMod val="102000"/>
                <a:tint val="94000"/>
              </a:schemeClr>
            </a:gs>
            <a:gs pos="50000">
              <a:schemeClr val="phClr">
                <a:lumMod val="100000"/>
                <a:shade val="100000"/>
              </a:schemeClr>
            </a:gs>
            <a:gs pos="100000">
              <a:schemeClr val="phClr">
                <a:lumMod val="99000"/>
                <a:shade val="78000"/>
              </a:schemeClr>
            </a:gs>
          </a:gsLst>
        </a:gradFill>
      </a:fillStyleLst>
      <a:lnStyleLst>
        <a:ln w="6350">
          <a:prstDash val="solid"/>
        </a:ln>
        <a:ln w="12700">
          <a:prstDash val="solid"/>
        </a:ln>
        <a:ln w="190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2026-10-28T06:41:29Z</dcterms:modified>
</cp:coreProperties>
</file>