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687" w:rsidRDefault="00C51687"/>
    <w:p w:rsidR="002B459B" w:rsidRDefault="002B459B"/>
    <w:p w:rsidR="002B459B" w:rsidRDefault="002B459B"/>
    <w:tbl>
      <w:tblPr>
        <w:tblpPr w:leftFromText="180" w:rightFromText="180" w:vertAnchor="text" w:tblpX="-861" w:tblpY="1"/>
        <w:tblOverlap w:val="never"/>
        <w:tblW w:w="15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2593"/>
        <w:gridCol w:w="1200"/>
        <w:gridCol w:w="1610"/>
        <w:gridCol w:w="4186"/>
        <w:gridCol w:w="2091"/>
        <w:gridCol w:w="1841"/>
        <w:gridCol w:w="1841"/>
      </w:tblGrid>
      <w:tr w:rsidR="002B459B" w:rsidRPr="00EC76A2" w:rsidTr="002B459B">
        <w:trPr>
          <w:trHeight w:val="20"/>
        </w:trPr>
        <w:tc>
          <w:tcPr>
            <w:tcW w:w="471" w:type="dxa"/>
            <w:shd w:val="clear" w:color="auto" w:fill="F2F2F2" w:themeFill="background1" w:themeFillShade="F2"/>
            <w:vAlign w:val="center"/>
          </w:tcPr>
          <w:p w:rsidR="002B459B" w:rsidRPr="0066043A" w:rsidRDefault="002B459B" w:rsidP="002B459B">
            <w:pPr>
              <w:spacing w:after="0" w:line="0" w:lineRule="atLeast"/>
              <w:ind w:left="-120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43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593" w:type="dxa"/>
            <w:shd w:val="clear" w:color="auto" w:fill="F2F2F2" w:themeFill="background1" w:themeFillShade="F2"/>
            <w:vAlign w:val="center"/>
          </w:tcPr>
          <w:p w:rsidR="002B459B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43A">
              <w:rPr>
                <w:rFonts w:ascii="Times New Roman" w:hAnsi="Times New Roman" w:cs="Times New Roman"/>
                <w:sz w:val="20"/>
                <w:szCs w:val="20"/>
              </w:rPr>
              <w:t>Наименование то</w:t>
            </w:r>
            <w:bookmarkStart w:id="0" w:name="_GoBack"/>
            <w:bookmarkEnd w:id="0"/>
            <w:r w:rsidRPr="0066043A">
              <w:rPr>
                <w:rFonts w:ascii="Times New Roman" w:hAnsi="Times New Roman" w:cs="Times New Roman"/>
                <w:sz w:val="20"/>
                <w:szCs w:val="20"/>
              </w:rPr>
              <w:t>вара</w:t>
            </w:r>
          </w:p>
        </w:tc>
        <w:tc>
          <w:tcPr>
            <w:tcW w:w="1200" w:type="dxa"/>
            <w:shd w:val="clear" w:color="auto" w:fill="F2F2F2" w:themeFill="background1" w:themeFillShade="F2"/>
            <w:vAlign w:val="center"/>
          </w:tcPr>
          <w:p w:rsidR="002B459B" w:rsidRPr="0066043A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610" w:type="dxa"/>
            <w:shd w:val="clear" w:color="auto" w:fill="F2F2F2" w:themeFill="background1" w:themeFillShade="F2"/>
            <w:vAlign w:val="center"/>
          </w:tcPr>
          <w:p w:rsidR="002B459B" w:rsidRPr="0066043A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знак</w:t>
            </w:r>
          </w:p>
        </w:tc>
        <w:tc>
          <w:tcPr>
            <w:tcW w:w="4186" w:type="dxa"/>
            <w:shd w:val="clear" w:color="auto" w:fill="F2F2F2" w:themeFill="background1" w:themeFillShade="F2"/>
            <w:vAlign w:val="center"/>
          </w:tcPr>
          <w:p w:rsidR="002B459B" w:rsidRPr="0066043A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43A">
              <w:rPr>
                <w:rFonts w:ascii="Times New Roman" w:hAnsi="Times New Roman" w:cs="Times New Roman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091" w:type="dxa"/>
            <w:shd w:val="clear" w:color="auto" w:fill="F2F2F2" w:themeFill="background1" w:themeFillShade="F2"/>
            <w:vAlign w:val="center"/>
          </w:tcPr>
          <w:p w:rsidR="002B459B" w:rsidRPr="0066043A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43A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841" w:type="dxa"/>
            <w:shd w:val="clear" w:color="auto" w:fill="F2F2F2" w:themeFill="background1" w:themeFillShade="F2"/>
            <w:vAlign w:val="center"/>
          </w:tcPr>
          <w:p w:rsidR="002B459B" w:rsidRPr="0066043A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43A">
              <w:rPr>
                <w:rFonts w:ascii="Times New Roman" w:hAnsi="Times New Roman" w:cs="Times New Roman"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1841" w:type="dxa"/>
            <w:shd w:val="clear" w:color="auto" w:fill="F2F2F2" w:themeFill="background1" w:themeFillShade="F2"/>
          </w:tcPr>
          <w:p w:rsidR="002B459B" w:rsidRPr="0066043A" w:rsidRDefault="002B459B" w:rsidP="002B459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л.</w:t>
            </w: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 w:val="restart"/>
            <w:vAlign w:val="center"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93" w:type="dxa"/>
            <w:vMerge w:val="restart"/>
            <w:vAlign w:val="center"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КЛИНДЕЗИН, Средство дезинфицирующее "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Клиндезин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 ИЗО", (флакон/1л)</w:t>
            </w:r>
          </w:p>
        </w:tc>
        <w:tc>
          <w:tcPr>
            <w:tcW w:w="1200" w:type="dxa"/>
            <w:vMerge w:val="restart"/>
            <w:vAlign w:val="center"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10" w:type="dxa"/>
            <w:vMerge w:val="restart"/>
            <w:vAlign w:val="center"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B4796">
              <w:rPr>
                <w:rFonts w:ascii="Times New Roman" w:hAnsi="Times New Roman" w:cs="Times New Roman"/>
                <w:sz w:val="20"/>
                <w:szCs w:val="20"/>
              </w:rPr>
              <w:t>КЛИНДЕЗИН</w:t>
            </w: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Форма выпуска 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Жидкость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</w:tcPr>
          <w:p w:rsidR="002B459B" w:rsidRP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b/>
                <w:sz w:val="32"/>
                <w:szCs w:val="20"/>
              </w:rPr>
            </w:pPr>
          </w:p>
          <w:p w:rsidR="002B459B" w:rsidRP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b/>
                <w:sz w:val="32"/>
                <w:szCs w:val="20"/>
              </w:rPr>
            </w:pPr>
          </w:p>
          <w:p w:rsidR="002B459B" w:rsidRP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b/>
                <w:sz w:val="32"/>
                <w:szCs w:val="20"/>
              </w:rPr>
            </w:pPr>
          </w:p>
          <w:p w:rsidR="002B459B" w:rsidRP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b/>
                <w:sz w:val="32"/>
                <w:szCs w:val="20"/>
              </w:rPr>
            </w:pPr>
            <w:r w:rsidRPr="002B459B">
              <w:rPr>
                <w:rFonts w:ascii="Times New Roman" w:hAnsi="Times New Roman" w:cs="Times New Roman"/>
                <w:b/>
                <w:sz w:val="32"/>
                <w:szCs w:val="20"/>
              </w:rPr>
              <w:t>50 литров</w:t>
            </w: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Описание: готовое к применению дезинфицирующее средство, не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сгеленное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, для медицинских организаций любого профиля, отвечающее требованиям Фармакопейной статьи «Микробиологическая чистота» для 2 категории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Назначение средства дезинфицирующего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Для дезинфекции инструментов</w:t>
            </w:r>
          </w:p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Для дезинфекции поверхностей из различных материалов</w:t>
            </w:r>
          </w:p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Для дезинфекции изделий медицинского назначения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Применяется для просушивания оптических и стеклянных поверхностей жестких эндоскопов, для полного вытеснения влаги из каналов гибких эндоскопов и полых инструментов к ним, после ручной обработки ДВУ, а также в МДМ (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моюще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-дезинфицирующих машинах)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Общее количество действующих веществ в средстве 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Изопропиловый спирт (масс) 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Микробиологическая чистота изопропилового спирта 2 категории, указана в Инструкции по применению средства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рН средства 5,5-8,5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Средство не применяется для обработки кожных покровов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В средстве не содержатся другие ингредиенты, в т.ч. ПАВ, перекись водорода, ЧАС,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хлоргексидин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, глицерин (в т.ч.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глицерол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триклозан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, производные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гуанидинов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алкиламинов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, кислоты, щелочи, фенола (в т.ч.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феноксиэтанол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), другие виды спиртов, функциональные добавки 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Антимикробная активность: бактерицидная (в т.ч. ИСМП),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туберкулоцидная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 (тест на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М.terrae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вирулицидная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 (в т.ч. вирусы полиомиелит, аденовирус),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фунгицидная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 (грибы родов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Candida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Trichophton</w:t>
            </w:r>
            <w:proofErr w:type="spellEnd"/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EC76A2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По параметрам острой токсичности при введении в желудок и нанесении на кожу 4 класс</w:t>
            </w:r>
          </w:p>
        </w:tc>
        <w:tc>
          <w:tcPr>
            <w:tcW w:w="209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C76A2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EC76A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652F82" w:rsidTr="002B459B">
        <w:trPr>
          <w:trHeight w:val="20"/>
        </w:trPr>
        <w:tc>
          <w:tcPr>
            <w:tcW w:w="471" w:type="dxa"/>
            <w:vMerge/>
          </w:tcPr>
          <w:p w:rsid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52F8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652F8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52F82">
              <w:rPr>
                <w:rFonts w:ascii="Times New Roman" w:hAnsi="Times New Roman" w:cs="Times New Roman"/>
                <w:sz w:val="20"/>
                <w:szCs w:val="20"/>
              </w:rPr>
              <w:t>Средство используется многократно при дезинфекции предварительно отмытых от загрязнений изделий</w:t>
            </w:r>
          </w:p>
        </w:tc>
        <w:tc>
          <w:tcPr>
            <w:tcW w:w="2091" w:type="dxa"/>
            <w:shd w:val="clear" w:color="auto" w:fill="auto"/>
          </w:tcPr>
          <w:p w:rsidR="002B459B" w:rsidRPr="00652F8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52F8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1" w:type="dxa"/>
            <w:shd w:val="clear" w:color="auto" w:fill="auto"/>
          </w:tcPr>
          <w:p w:rsidR="002B459B" w:rsidRPr="00652F8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52F82">
              <w:rPr>
                <w:rFonts w:ascii="Times New Roman" w:hAnsi="Times New Roman" w:cs="Times New Roman"/>
                <w:sz w:val="20"/>
                <w:szCs w:val="20"/>
              </w:rPr>
              <w:t>Сутки</w:t>
            </w:r>
          </w:p>
        </w:tc>
        <w:tc>
          <w:tcPr>
            <w:tcW w:w="1841" w:type="dxa"/>
            <w:vMerge/>
          </w:tcPr>
          <w:p w:rsidR="002B459B" w:rsidRPr="00652F82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Время обеззараживания поверхностей при бактериальных видах инфекций (кроме туберкулеза)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Секунда</w:t>
            </w: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 xml:space="preserve">Время обеззараживания поверхностей при вирусных инфекциях и туберкулезе 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Минута</w:t>
            </w: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 xml:space="preserve">Время обеззараживания изделий медицинского назначения при бактериальной инфекции (кроме туберкулеза) 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Минута</w:t>
            </w: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Время обеззараживания изделий медицинского назначения при вирусных инфекциях и туберкулезе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Минута</w:t>
            </w: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 xml:space="preserve">Расход средства при просушивании оптических и стеклянных поверхностей жестких эндоскопов, для полного вытеснения влаги из каналов гибких эндоскопов и полых </w:t>
            </w:r>
            <w:r w:rsidRPr="00160C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инструментов к ним, после ручной обработки ДВУ 30-80 мл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Срок годности средства в невскрытой упаковке производителя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Объем тары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Литр; ^кубический дециметр</w:t>
            </w: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Паспорт качества и Протокол испытаний микробиологической чистоты на каждую партию товара (предоставляется по требованию Заказчика)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59B" w:rsidRPr="00160C97" w:rsidTr="002B459B">
        <w:trPr>
          <w:trHeight w:val="20"/>
        </w:trPr>
        <w:tc>
          <w:tcPr>
            <w:tcW w:w="471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3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2B459B" w:rsidRPr="0066043A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В наличии Свидетельство о государственной регистрации, декларация соответствия ГОСТ РФ, инструкция по применению</w:t>
            </w:r>
          </w:p>
        </w:tc>
        <w:tc>
          <w:tcPr>
            <w:tcW w:w="209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0C97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1841" w:type="dxa"/>
            <w:shd w:val="clear" w:color="auto" w:fill="auto"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2B459B" w:rsidRPr="00160C97" w:rsidRDefault="002B459B" w:rsidP="003D1A8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459B" w:rsidRDefault="002B459B"/>
    <w:sectPr w:rsidR="002B459B" w:rsidSect="002B45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59B"/>
    <w:rsid w:val="002B459B"/>
    <w:rsid w:val="00340750"/>
    <w:rsid w:val="006629E4"/>
    <w:rsid w:val="006C21EF"/>
    <w:rsid w:val="007E382A"/>
    <w:rsid w:val="00863687"/>
    <w:rsid w:val="00966AA3"/>
    <w:rsid w:val="00A33829"/>
    <w:rsid w:val="00C51687"/>
    <w:rsid w:val="00D4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751E-EBC8-46B1-8A15-2C890AA8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45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Наталья Николаевна</dc:creator>
  <cp:keywords/>
  <dc:description/>
  <cp:lastModifiedBy>Галанин Андрей Владимирович</cp:lastModifiedBy>
  <cp:revision>2</cp:revision>
  <dcterms:created xsi:type="dcterms:W3CDTF">2026-10-15T08:11:00Z</dcterms:created>
  <dcterms:modified xsi:type="dcterms:W3CDTF">2026-10-15T08:11:00Z</dcterms:modified>
</cp:coreProperties>
</file>