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36"/>
        <w:keepNext w:val="false"/>
        <w:widowControl w:val="false"/>
        <w:pBdr/>
        <w:spacing/>
        <w:ind w:right="42"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ДОГОВОР ПОСТАВКИ № ______/26-Б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widowControl w:val="false"/>
        <w:pBdr/>
        <w:spacing/>
        <w:ind w:right="42" w:firstLine="56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p>
      <w:pPr>
        <w:widowControl w:val="false"/>
        <w:pBdr/>
        <w:spacing/>
        <w:ind w:right="42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г. Ростов-на-Дону                                                                                                                     </w:t>
      </w:r>
      <w:r>
        <w:rPr>
          <w:sz w:val="22"/>
          <w:szCs w:val="22"/>
        </w:rPr>
        <w:t xml:space="preserve">   «</w:t>
      </w:r>
      <w:r>
        <w:rPr>
          <w:sz w:val="22"/>
          <w:szCs w:val="22"/>
        </w:rPr>
        <w:t xml:space="preserve">___» ____ 2026 г.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widowControl w:val="false"/>
        <w:pBdr/>
        <w:spacing/>
        <w:ind w:right="42"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firstLine="567"/>
        <w:jc w:val="both"/>
        <w:rPr>
          <w:color w:val="000000"/>
          <w:sz w:val="24"/>
          <w:szCs w:val="24"/>
        </w:rPr>
      </w:pPr>
      <w:r>
        <w:rPr>
          <w:rFonts w:eastAsia="Calibri"/>
          <w:color w:val="00000a"/>
          <w:sz w:val="24"/>
          <w:szCs w:val="24"/>
          <w:lang w:eastAsia="ru-RU"/>
        </w:rPr>
        <w:t xml:space="preserve">Федеральное казённое учреждение здравоохранения «Ростовский-на-Дону ордена Трудового Красного Знамени научно-исследовательский противочумный институт» Федеральной службы по надзору в сфере защит</w:t>
      </w:r>
      <w:r>
        <w:rPr>
          <w:rFonts w:eastAsia="Calibri"/>
          <w:color w:val="00000a"/>
          <w:sz w:val="24"/>
          <w:szCs w:val="24"/>
          <w:lang w:eastAsia="ru-RU"/>
        </w:rPr>
        <w:t xml:space="preserve">ы прав потребителей и благополучия человека (ФКУЗ Ростовский-на-Дону противочумный институт Роспотребнадзора), выступающее от имени Российской Федерации, именуемое в дальнейшем «Заказчик», в лице Директора Гаевской Натальи Евгеньевны, действующего на основ</w:t>
      </w:r>
      <w:r>
        <w:rPr>
          <w:rFonts w:eastAsia="Calibri"/>
          <w:color w:val="00000a"/>
          <w:sz w:val="24"/>
          <w:szCs w:val="24"/>
          <w:lang w:eastAsia="ru-RU"/>
        </w:rPr>
        <w:t xml:space="preserve">ании Устава, с одной стороны, и ________________________________________ (_______________________), именуемое в дальнейшем «Поставщик», в лице _____________________________, действующего на основании _____________________, далее вместе именуемые «Стороны»,</w:t>
      </w:r>
      <w:r>
        <w:rPr>
          <w:color w:val="000000"/>
          <w:sz w:val="24"/>
          <w:szCs w:val="24"/>
          <w:lang w:eastAsia="ru-RU"/>
        </w:rPr>
        <w:t xml:space="preserve"> в соответствии с п. 4 ч. 1 ст. 93 Федерального закона от 05.04.2013 № 44-ФЗ "О контрактной системе в сфере закупок товаров, работ, услуг для обеспечения государственных и муниципальных нужд", заключили настоящий Договор о нижеследующем: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widowControl w:val="false"/>
        <w:pBdr/>
        <w:spacing/>
        <w:ind w:right="42"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1. ПРЕДМЕТ ДОГОВОРА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widowControl w:val="false"/>
        <w:pBdr/>
        <w:spacing/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</w:rPr>
        <w:t xml:space="preserve">1.1. По настоящему Договору Поставщик обязуется поставить Заказ</w:t>
      </w:r>
      <w:r>
        <w:rPr>
          <w:sz w:val="24"/>
          <w:szCs w:val="24"/>
          <w:highlight w:val="white"/>
        </w:rPr>
        <w:t xml:space="preserve">чику</w:t>
      </w:r>
      <w:r>
        <w:t xml:space="preserve"> </w:t>
      </w:r>
      <w:r>
        <w:rPr>
          <w:sz w:val="24"/>
          <w:szCs w:val="24"/>
        </w:rPr>
        <w:t xml:space="preserve">огнетушители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highlight w:val="white"/>
        </w:rPr>
        <w:t xml:space="preserve">(далее по тексту – Товар) для ФКУЗ Ростовский-на-Дону противочумный институт Роспотребнадзора, в количестве, ассортименте и по ценам, согласно Спецификации</w:t>
      </w:r>
      <w:r>
        <w:rPr>
          <w:sz w:val="24"/>
          <w:szCs w:val="24"/>
          <w:highlight w:val="white"/>
          <w:lang w:eastAsia="zh-CN"/>
        </w:rPr>
        <w:t xml:space="preserve"> </w:t>
      </w:r>
      <w:r>
        <w:rPr>
          <w:sz w:val="24"/>
          <w:szCs w:val="24"/>
          <w:highlight w:val="white"/>
        </w:rPr>
        <w:t xml:space="preserve">(Приложение №1) к настоящему Договору, а Заказчик обязуется принять и оплатить только принятый в установленном Договором порядке Товар по цене, предусмотренной Договором.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widowControl w:val="false"/>
        <w:pBdr/>
        <w:spacing/>
        <w:ind w:right="21" w:firstLine="567"/>
        <w:jc w:val="both"/>
        <w:rPr>
          <w:color w:val="000000"/>
          <w:sz w:val="24"/>
          <w:szCs w:val="24"/>
        </w:rPr>
      </w:pPr>
      <w:r>
        <w:rPr>
          <w:color w:val="00000a"/>
          <w:sz w:val="24"/>
          <w:szCs w:val="24"/>
          <w:highlight w:val="white"/>
          <w:lang w:eastAsia="ru-RU"/>
        </w:rPr>
        <w:t xml:space="preserve">1.2. </w:t>
      </w:r>
      <w:r>
        <w:rPr>
          <w:color w:val="000000"/>
          <w:sz w:val="24"/>
          <w:szCs w:val="24"/>
          <w:highlight w:val="white"/>
          <w:lang w:eastAsia="ru-RU"/>
        </w:rPr>
        <w:t xml:space="preserve">Поставка Товара осуществляется силами и за счет Поставщика, транспортом Поставщика непосредственно по адресу, указанному в пункте 4.2 настоящего договора</w:t>
      </w:r>
      <w:r>
        <w:rPr>
          <w:color w:val="000000"/>
          <w:sz w:val="24"/>
          <w:szCs w:val="24"/>
          <w:lang w:eastAsia="ru-RU"/>
        </w:rPr>
        <w:t xml:space="preserve">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widowControl w:val="false"/>
        <w:pBdr/>
        <w:shd w:val="clear" w:color="auto" w:fill="ffffff"/>
        <w:spacing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eastAsia="ru-RU"/>
        </w:rPr>
        <w:t xml:space="preserve">1.3. Право собственности на поставленный Товар переходит от Поставщика к Заказчику в момент фактической передачи Заказчику Товара и подписания накладной.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widowControl w:val="false"/>
        <w:pBdr/>
        <w:spacing/>
        <w:ind w:right="21"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2. КАЧЕСТВО ПОСТАВЛЯЕМОГО ТОВАРА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widowControl w:val="false"/>
        <w:pBdr/>
        <w:spacing/>
        <w:ind w:right="4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Качество Товара должно соответствовать, техническим регламентам, государственным стандартам,</w:t>
      </w:r>
      <w:r>
        <w:rPr>
          <w:sz w:val="24"/>
          <w:szCs w:val="24"/>
        </w:rPr>
        <w:t xml:space="preserve"> санитарно-эпидемиологическим правилам и иным нормативам, являющимися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 на дату поставки и приемки товара.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4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Упаковка Товара должна соответствовать требованиям нормативно-технической документации и обеспечивать сохранность Товара при транспортировке и хранении. Товар поставляется в упаковке, соответствующей ее характеру и способу транспор</w:t>
      </w:r>
      <w:r>
        <w:rPr>
          <w:sz w:val="24"/>
          <w:szCs w:val="24"/>
        </w:rPr>
        <w:t xml:space="preserve">тировки. Упаковка должна предохранять Товар от всякого рода повреждений, утраты товарного вида при его перевозке с учетом возможных перегрузок в пути и длительного хранения. Отгрузка, доставка и разгрузка Товара осуществляется силами и за счет Поставщика.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4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Маркировка Товара должна содержать: наименование Товара, наименование фирмы-изготовителя, юридический адрес изготовителя, дату выпуска и срок годности. Маркировка упаковки должна строго соответствовать маркировке Товара.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4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Поставщик гарантирует качество Товара в течение всего срока годности, при условии соблюдения Заказчиком действующих правил и нормативов, регламентирующих транспортировку и хранение товара на складе (температурный режим, упаковка и т.п.).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3. ЦЕНА ДОГОВОРА И ПОРЯДОК РАСЧЕТОВ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widowControl w:val="false"/>
        <w:pBdr/>
        <w:spacing/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</w:rPr>
        <w:t xml:space="preserve">3.1. Цена Договора составл</w:t>
      </w:r>
      <w:r>
        <w:rPr>
          <w:sz w:val="24"/>
          <w:szCs w:val="24"/>
          <w:highlight w:val="white"/>
        </w:rPr>
        <w:t xml:space="preserve">яет ____________________ (__________________) рублей ___ копеек.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widowControl w:val="false"/>
        <w:pBdr/>
        <w:spacing/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НДС: ___ %, - ____________________</w:t>
      </w:r>
      <w:r>
        <w:rPr>
          <w:sz w:val="24"/>
          <w:szCs w:val="24"/>
          <w:highlight w:val="white"/>
        </w:rPr>
        <w:t xml:space="preserve">_  (</w:t>
      </w:r>
      <w:r>
        <w:rPr>
          <w:sz w:val="24"/>
          <w:szCs w:val="24"/>
          <w:highlight w:val="white"/>
        </w:rPr>
        <w:t xml:space="preserve">_________________) рублей  ___  копеек </w:t>
      </w:r>
      <w:r>
        <w:rPr>
          <w:sz w:val="22"/>
          <w:szCs w:val="22"/>
        </w:rPr>
        <w:t xml:space="preserve">(если облагается)</w:t>
      </w:r>
      <w:r>
        <w:rPr>
          <w:sz w:val="24"/>
          <w:szCs w:val="24"/>
          <w:highlight w:val="white"/>
        </w:rPr>
        <w:t xml:space="preserve">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 w14:paraId="4CE24913">
      <w:pPr>
        <w:widowControl w:val="false"/>
        <w:pBdr/>
        <w:spacing/>
        <w:ind w:firstLine="567"/>
        <w:jc w:val="both"/>
        <w:rPr>
          <w:sz w:val="24"/>
          <w:szCs w:val="24"/>
          <w14:ligatures w14:val="none"/>
        </w:rPr>
      </w:pPr>
      <w:r>
        <w:rPr>
          <w:sz w:val="24"/>
          <w:szCs w:val="24"/>
        </w:rPr>
        <w:t xml:space="preserve">КБК: 141 0907 01 4 03 90059 244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</w:p>
    <w:p>
      <w:pPr>
        <w:widowControl w:val="false"/>
        <w:pBdr/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Цена Договора включает в себ</w:t>
      </w:r>
      <w:r>
        <w:rPr>
          <w:sz w:val="24"/>
          <w:szCs w:val="24"/>
        </w:rPr>
        <w:t xml:space="preserve">я стоимость Товара, тары, упаковки и маркировки, расходы на перевозку, доставку, разгрузку, а также все затраты на страхование, уплату налогов (в т.ч. НДС), таможенных пошлин, сборов и других обязательных платежей, связанных с исполнением условий 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Цена Договора является твердой, определяется на весь срок его исполнения и не подлежит изменению, за исключением случаев, установленных Федеральным законом о Контрактной системе и иным действующим законодательством Российской Федерации.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3.4. Цена Договора может быть снижена по соглашению сторон без изменения предусмотренных Договором количества Товара и иных условий 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3.5. Оплата по Договору осуществляется путем безналичного расчета за счет средств федерального бюджета, в валюте РФ – рубли.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3.6. В случае изменения своего расчетного счета Поставщик обязан в течение 3 ра</w:t>
      </w:r>
      <w:r>
        <w:rPr>
          <w:sz w:val="24"/>
          <w:szCs w:val="24"/>
        </w:rPr>
        <w:t xml:space="preserve">бочих дней в письменной форме сообщить об этом Заказчику с указанием новых реквизитов расчетного счета. В противном случае все риски, связанные с перечислением Заказчиком денежных средств на указанный в настоящем Договоре счет Поставщика, несет Поставщик.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3.7. Обязательства Заказчика по оплате считаются исполненными с момента списания денежных средств в размере, составляющем Цену Договора, с банковского счета Заказчика, указанного в части 14 настоящего 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3.8. Расчет за поставленный Товар производится Заказчиком по факту поставки, в </w:t>
      </w:r>
      <w:r>
        <w:rPr>
          <w:sz w:val="24"/>
          <w:szCs w:val="24"/>
        </w:rPr>
        <w:t xml:space="preserve">течение 10 (Десяти) рабочих дней с даты исполнения Поставщиком в полном объеме принятых на себя обязательств в соответствии с пунктом 1.1. - 1.3. настоящего Договора и подписания сторонами документа о приемке, на основании выставленного Поставщиком счёта.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eastAsia="zh-CN" w:bidi="en-US"/>
        </w:rPr>
        <w:t xml:space="preserve">4. СРОКИ И УСЛОВИЯ ПОСТАВКИ ТОВАРА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widowControl w:val="false"/>
        <w:pBdr/>
        <w:spacing/>
        <w:ind w:firstLine="567"/>
        <w:contextualSpacing w:val="true"/>
        <w:jc w:val="both"/>
        <w:rPr>
          <w:bCs/>
          <w:sz w:val="24"/>
          <w:szCs w:val="24"/>
        </w:rPr>
      </w:pPr>
      <w:r>
        <w:rPr>
          <w:sz w:val="24"/>
          <w:szCs w:val="24"/>
          <w:lang w:eastAsia="en-US" w:bidi="en-US"/>
        </w:rPr>
        <w:t xml:space="preserve">4.1. Поставка Товара осуществляется силами Поставщика и за его счет в соответствующее помещение по указанию Заказчика, </w:t>
      </w:r>
      <w:r>
        <w:rPr>
          <w:spacing w:val="-8"/>
          <w:sz w:val="24"/>
          <w:szCs w:val="24"/>
          <w:lang w:eastAsia="en-US" w:bidi="en-US"/>
        </w:rPr>
        <w:t xml:space="preserve">согласно спецификации на Товар (Приложение №1). </w:t>
      </w:r>
      <w:r>
        <w:rPr>
          <w:sz w:val="24"/>
          <w:szCs w:val="24"/>
          <w:lang w:eastAsia="en-US" w:bidi="en-US"/>
        </w:rPr>
        <w:t xml:space="preserve">Срок поставки Товара: 15 (Пятнадцать) рабочих дней </w:t>
      </w:r>
      <w:r>
        <w:rPr>
          <w:sz w:val="24"/>
          <w:szCs w:val="24"/>
          <w:lang w:eastAsia="ru-RU"/>
        </w:rPr>
        <w:t xml:space="preserve">с даты заключения контракта</w:t>
      </w:r>
      <w:r>
        <w:rPr>
          <w:bCs/>
          <w:sz w:val="24"/>
          <w:szCs w:val="24"/>
          <w:highlight w:val="white"/>
          <w:lang w:eastAsia="en-US" w:bidi="en-US"/>
        </w:rPr>
        <w:t xml:space="preserve">.</w:t>
      </w:r>
      <w:r>
        <w:rPr>
          <w:bCs/>
          <w:sz w:val="24"/>
          <w:szCs w:val="24"/>
          <w:lang w:eastAsia="en-US" w:bidi="en-US"/>
        </w:rPr>
        <w:t xml:space="preserve"> Товар поставляется в рабочие дни с 09.00 до 16.00 по московскому времени. </w:t>
      </w:r>
      <w:r>
        <w:rPr>
          <w:sz w:val="24"/>
          <w:szCs w:val="24"/>
          <w:lang w:eastAsia="ru-RU"/>
        </w:rPr>
        <w:t xml:space="preserve">Дата и время доставки Товара должно быть сообщено Поставщиком Заказчику предварительно не менее чем за три дня. 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widowControl w:val="false"/>
        <w:pBdr/>
        <w:spacing/>
        <w:ind w:firstLine="567"/>
        <w:jc w:val="both"/>
        <w:rPr>
          <w:spacing w:val="-8"/>
          <w:sz w:val="24"/>
          <w:szCs w:val="24"/>
        </w:rPr>
      </w:pPr>
      <w:r>
        <w:rPr>
          <w:sz w:val="24"/>
          <w:szCs w:val="24"/>
          <w:lang w:eastAsia="ru-RU"/>
        </w:rPr>
        <w:t xml:space="preserve">4.2. Поставка Товара по настоящему Договору осуществляется </w:t>
      </w:r>
      <w:r>
        <w:rPr>
          <w:sz w:val="24"/>
          <w:szCs w:val="24"/>
          <w:lang w:eastAsia="zh-CN"/>
        </w:rPr>
        <w:t xml:space="preserve">по адресу: </w:t>
      </w:r>
      <w:r>
        <w:rPr>
          <w:sz w:val="24"/>
          <w:szCs w:val="24"/>
          <w:lang w:eastAsia="ru-RU"/>
        </w:rPr>
        <w:t xml:space="preserve">г. Ростов-на-Дону, ул. Горького 117/40, ФКУЗ Ростовский-на-Дону противочумный институт Роспотребнадзора, транспортом Поставщика. </w:t>
      </w:r>
      <w:r>
        <w:rPr>
          <w:sz w:val="24"/>
          <w:szCs w:val="24"/>
          <w:lang w:eastAsia="zh-CN"/>
        </w:rPr>
        <w:t xml:space="preserve">Моментом поставки является доставка и разгрузка Товара Заказчику по месту назначения и в указанном Заказчиком месте.</w:t>
      </w:r>
      <w:r>
        <w:rPr>
          <w:spacing w:val="-8"/>
          <w:sz w:val="24"/>
          <w:szCs w:val="24"/>
        </w:rPr>
      </w:r>
      <w:r>
        <w:rPr>
          <w:spacing w:val="-8"/>
          <w:sz w:val="24"/>
          <w:szCs w:val="24"/>
        </w:rPr>
      </w:r>
    </w:p>
    <w:p>
      <w:pPr>
        <w:widowControl w:val="false"/>
        <w:pBdr/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  <w:lang w:eastAsia="ru-RU" w:bidi="en-US"/>
        </w:rPr>
        <w:t xml:space="preserve">4.3. Датой поставки Товара считается дата подписания Сторонами (или их представителями) всех необходимых документов (счет, Товарная/транспортная накладная, счет-фактура (при наличии), акт приема-сдачи Товара и т.д.).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tabs>
          <w:tab w:val="left" w:leader="none" w:pos="567"/>
        </w:tabs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  <w:lang w:eastAsia="ru-RU" w:bidi="en-US"/>
        </w:rPr>
        <w:t xml:space="preserve">4.4. Поставщик должен незамедлительно в письменной форме сообщать Заказчику о задержке поставки, ее предположительной длительности и причинах.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tabs>
          <w:tab w:val="left" w:leader="none" w:pos="0"/>
          <w:tab w:val="left" w:leader="none" w:pos="2099"/>
          <w:tab w:val="left" w:leader="none" w:pos="2810"/>
          <w:tab w:val="center" w:leader="none" w:pos="5669"/>
        </w:tabs>
        <w:spacing/>
        <w:ind w:firstLine="567"/>
        <w:rPr>
          <w:b/>
          <w:sz w:val="24"/>
          <w:szCs w:val="24"/>
        </w:rPr>
      </w:pPr>
      <w:r>
        <w:rPr>
          <w:sz w:val="24"/>
          <w:szCs w:val="24"/>
          <w:lang w:eastAsia="ru-RU" w:bidi="en-US"/>
        </w:rPr>
        <w:t xml:space="preserve">4.5. Некачественный (некомплектный) Товар считается не поставленным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widowControl w:val="false"/>
        <w:pBdr/>
        <w:spacing/>
        <w:ind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5.</w:t>
      </w:r>
      <w:r>
        <w:rPr>
          <w:b/>
          <w:bCs/>
          <w:sz w:val="24"/>
          <w:szCs w:val="24"/>
          <w:lang w:eastAsia="zh-CN" w:bidi="en-US"/>
        </w:rPr>
        <w:t xml:space="preserve"> ПОРЯДОК ПРИЕМКИ ТОВАРА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widowControl w:val="false"/>
        <w:pBdr/>
        <w:spacing/>
        <w:ind w:firstLine="550"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 xml:space="preserve">5.1. Поставщик передаёт Заказчику вместе с Товаром следующую документацию: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firstLine="550"/>
        <w:jc w:val="both"/>
        <w:rPr>
          <w:sz w:val="24"/>
          <w:szCs w:val="24"/>
        </w:rPr>
      </w:pPr>
      <w:r>
        <w:rPr>
          <w:sz w:val="24"/>
          <w:szCs w:val="24"/>
          <w:lang w:eastAsia="en-US" w:bidi="en-US"/>
        </w:rPr>
        <w:t xml:space="preserve">а) К</w:t>
      </w:r>
      <w:r>
        <w:rPr>
          <w:sz w:val="24"/>
          <w:szCs w:val="24"/>
          <w:lang w:eastAsia="zh-CN" w:bidi="en-US"/>
        </w:rPr>
        <w:t xml:space="preserve">опию па</w:t>
      </w:r>
      <w:r>
        <w:rPr>
          <w:sz w:val="24"/>
          <w:szCs w:val="24"/>
          <w:lang w:eastAsia="zh-CN" w:bidi="en-US"/>
        </w:rPr>
        <w:t xml:space="preserve">спорта производителя на каждую серию (при наличии), копию сертификата соответствия или копию другого документа, подтверждающего соответствие качества Товара; сертификаты анализа (при наличии), сведения о регистрации декларации о соответствии (при наличии);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firstLine="550"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 xml:space="preserve">б) Счет, счет-фактуру (при наличии), выставленные Заказчику;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firstLine="550"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 xml:space="preserve">в) Товарную/транспортную накладную в 2-х экз. (акт приема-передачи Товара).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tabs>
          <w:tab w:val="left" w:leader="none" w:pos="567"/>
        </w:tabs>
        <w:spacing/>
        <w:ind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ab/>
        <w:t xml:space="preserve">Д</w:t>
      </w:r>
      <w:r>
        <w:rPr>
          <w:sz w:val="24"/>
          <w:szCs w:val="24"/>
          <w:lang w:eastAsia="zh-CN" w:bidi="en-US"/>
        </w:rPr>
        <w:t xml:space="preserve">окументы, предоставляемые в копиях, должны быть заверены подписью должностного лица Поставщика или уполномоченного им лица с приложением доверенности, с указанием Ф.И.О., должности, даты заверения документа. Подпись должна быть заверена печатью Поставщика.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tabs>
          <w:tab w:val="left" w:leader="none" w:pos="567"/>
        </w:tabs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 xml:space="preserve">5.2. Приемка Товара по количеству, комплектности и качеству осуществляется уполномоченным представителем Заказчика или приемочной комиссией Заказчика. Предста</w:t>
      </w:r>
      <w:r>
        <w:rPr>
          <w:sz w:val="24"/>
          <w:szCs w:val="24"/>
          <w:lang w:eastAsia="zh-CN" w:bidi="en-US"/>
        </w:rPr>
        <w:t xml:space="preserve">витель Заказчика или приемочная комиссия Заказчика пересчитывает Товар; производит осмотр Товара, упаковки и маркировки на соответствие условиям Договора; осматривает на предмет недостатков. Приемка Товара осуществляется в течение 10 (Десяти) рабочих дней.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tabs>
          <w:tab w:val="left" w:leader="none" w:pos="567"/>
        </w:tabs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 xml:space="preserve">5.3. Приемка Товара по качеству, комплектности и объему требований, установленным настоящим Договором, производится в точном соответствии со Спецификацией к настоящему Договору и иными условиями настоящего Договора, а также по сопроводительным документам.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firstLine="550"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 xml:space="preserve">5.4. Основаниями для составления мотивированного отказа являются отсутствие сопроводительных документов или н</w:t>
      </w:r>
      <w:r>
        <w:rPr>
          <w:sz w:val="24"/>
          <w:szCs w:val="24"/>
          <w:lang w:eastAsia="zh-CN" w:bidi="en-US"/>
        </w:rPr>
        <w:t xml:space="preserve">екоторых из них; несоответствие Товара, маркировки поступившего Товара, тары или упаковки условиям настоящего Договора; недостатки Товара. При этом Заказчик может отказаться от приемки Товара и потребовать заменить его в течение 20 (Двадцати) рабочих дней.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firstLine="550"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 xml:space="preserve">5.5.</w:t>
      </w:r>
      <w:r>
        <w:rPr>
          <w:rFonts w:ascii="Calibri" w:hAnsi="Calibri"/>
          <w:sz w:val="24"/>
          <w:szCs w:val="24"/>
          <w:lang w:eastAsia="en-US" w:bidi="en-US"/>
        </w:rPr>
        <w:t xml:space="preserve"> </w:t>
      </w:r>
      <w:r>
        <w:rPr>
          <w:sz w:val="24"/>
          <w:szCs w:val="24"/>
          <w:lang w:eastAsia="zh-CN" w:bidi="en-US"/>
        </w:rPr>
        <w:t xml:space="preserve">В случае получения мотивированного отказа от подписания документа о приемке Поставщик вправе ус</w:t>
      </w:r>
      <w:r>
        <w:rPr>
          <w:sz w:val="24"/>
          <w:szCs w:val="24"/>
          <w:lang w:eastAsia="zh-CN" w:bidi="en-US"/>
        </w:rPr>
        <w:t xml:space="preserve">транить причины, указанные в таком мотивированном отказе, и направить Заказчику документ о приемке в порядке, предусмотренном настоящим разделом. По факту их устранения приемка производится Заказчиком повторно в порядке, предусмотренным настоящим разделом.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firstLine="550"/>
        <w:jc w:val="both"/>
        <w:rPr>
          <w:sz w:val="24"/>
          <w:szCs w:val="24"/>
        </w:rPr>
      </w:pPr>
      <w:r>
        <w:rPr>
          <w:sz w:val="24"/>
          <w:szCs w:val="24"/>
          <w:lang w:eastAsia="zh-CN" w:bidi="en-US"/>
        </w:rPr>
        <w:t xml:space="preserve">5.6. По итогам приемки То</w:t>
      </w:r>
      <w:r>
        <w:rPr>
          <w:sz w:val="24"/>
          <w:szCs w:val="24"/>
          <w:lang w:eastAsia="zh-CN" w:bidi="en-US"/>
        </w:rPr>
        <w:t xml:space="preserve">вара при наличии документов, указанных в п. 5.1 настоящего Договора, и при отсутствии претензий относительно качества, количества, ассортимента, комплектности и других характеристик Товара, Заказчик подписывает Товарную/транспортную накладную (акт приемки-</w:t>
      </w:r>
      <w:r>
        <w:rPr>
          <w:sz w:val="24"/>
          <w:szCs w:val="24"/>
          <w:lang w:eastAsia="zh-CN" w:bidi="en-US"/>
        </w:rPr>
        <w:t xml:space="preserve">передачи Товара) в 2 (Двух) экземплярах и передает один экземпляр Поставщику.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hd w:val="clear" w:color="auto" w:fill="ffffff"/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  <w:lang w:eastAsia="en-US" w:bidi="en-US"/>
        </w:rPr>
        <w:t xml:space="preserve">5.7. Для проверки постав</w:t>
      </w:r>
      <w:r>
        <w:rPr>
          <w:sz w:val="24"/>
          <w:szCs w:val="24"/>
          <w:lang w:eastAsia="en-US" w:bidi="en-US"/>
        </w:rPr>
        <w:t xml:space="preserve">ленного Товара в части его соответствия условиям Договора, Заказчик вправе провести экспертизу. Экспертиза может проводиться Заказчиком своими силами или к ее проведению могут привлекаться эксперты, экспертные организации на основании Договоров/Контрактов.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6. ПРАВА И ОБЯЗАННОСТИ СТОРОН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widowControl w:val="false"/>
        <w:pBdr/>
        <w:spacing/>
        <w:ind w:right="21"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6.1. </w:t>
      </w:r>
      <w:r>
        <w:rPr>
          <w:b/>
          <w:sz w:val="24"/>
          <w:szCs w:val="24"/>
        </w:rPr>
        <w:t xml:space="preserve">Поставщик обязан: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widowControl w:val="false"/>
        <w:pBdr/>
        <w:spacing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6.1.1. Своевременно и надлежащим образом произвести поставку Товара на условиях настоящего Договора;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6.1.2. Обеспечить соответствие поставки Товара действующим стандартам Российской Федерации, регламентирующим его выпуск и транспортировку, и требованиям по номенклатуре, ценам, объемам и качеству, на условиях, предусмотренных настоящим Договором;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6.1.3. Предоставить Заказчику декларацию о наименовании страны происхождения Товар</w:t>
      </w:r>
      <w:r>
        <w:rPr>
          <w:sz w:val="24"/>
          <w:szCs w:val="24"/>
        </w:rPr>
        <w:t xml:space="preserve">а и/или документы, подтверждающие, что Товар произведен на территории Российской Федерации, если наличие такого документа предусмотрено действующим законодательством и/или такое требование установлено Договором. Такие документы передаются вместе с Товаром;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6.1.4. Незамедлительно информировать Заказчика в случае невозможности исполнения обязательств по настоящему Договору, в том числе о сложностях, возникающих при исполнении Договора;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6.1.5. Представить Заказчику сведения об изменении своего фактического </w:t>
      </w:r>
      <w:r>
        <w:rPr>
          <w:sz w:val="24"/>
          <w:szCs w:val="24"/>
        </w:rPr>
        <w:t xml:space="preserve">местонахождения в срок не позднее 3 рабочих дней со дня соответствующего изменения. В случае непредставления в установленный срок уведомления об изменении адреса фактическим местонахождением Поставщика будет считаться адрес, указанный в настоящем Договоре.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</w:t>
      </w:r>
      <w:r>
        <w:rPr>
          <w:b/>
          <w:sz w:val="24"/>
          <w:szCs w:val="24"/>
        </w:rPr>
        <w:t xml:space="preserve">Заказчик обязан: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6.2.1. Передавать Поставщику по его запросу необходимую для исполнения Договора информацию;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6.2.2. Оплатить Товар по факту поставки в течение 10 (Десяти) рабочих дней. Заказчик оплачивает Товар по реквизитам, указанным в Договоре.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21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6.3. Поставщик вправе: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widowControl w:val="false"/>
        <w:pBdr/>
        <w:spacing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6.3.1. Требовать подписания Заказчиком документа о приемке Товара по настоящему Договору;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6.3.2. Требовать своевременной оплаты за поставленный Товар;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6.3.3. Запрашивать у Заказчика предоставления разъяснений и уточнений по вопросам поставки Товара.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21"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6.4. Заказчик вправе: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widowControl w:val="false"/>
        <w:pBdr/>
        <w:spacing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6.4.1. Требовать от Поставщика надлежащего исполнения обязательств в соответствии с условиями Договора;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6.4.2. Требовать от Поставщика представления надлежащим образом оформленных документов, подтверждающих исполнение обязательств в соответствии с условиями Договора;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6.4.3. Запрашивать у Поставщика информацию о ходе и состоянии исполнения обязательств Поставщика по настоящему Договору;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6.4.4. Осуществлять контроль порядка и сроков поставки Товара;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2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6.4.5. Привлекать независимых экспертов, выбор которых осуществляется в порядке, предусмотренном Федеральным законом, для проверки соответствия качества поставляемого Товара.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tabs>
          <w:tab w:val="left" w:leader="none" w:pos="2324"/>
          <w:tab w:val="left" w:leader="none" w:pos="3060"/>
        </w:tabs>
        <w:spacing/>
        <w:ind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7. ГАРАНТИИ И ТРЕБОВАНИЯ К КАЧЕСТВУ ТОВАРА.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widowControl w:val="false"/>
        <w:pBdr/>
        <w:tabs>
          <w:tab w:val="left" w:leader="none" w:pos="2324"/>
          <w:tab w:val="left" w:leader="none" w:pos="3060"/>
        </w:tabs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7.1. Товар, поставляемый по настоящему Договору, должен быть пригоден для его использования по назначению. Товар не должен иметь внутренних и внешних повреждений и дефектов, в том числе не влияющих на возможность использования Товара по назначению.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tabs>
          <w:tab w:val="left" w:leader="none" w:pos="2324"/>
          <w:tab w:val="left" w:leader="none" w:pos="3060"/>
        </w:tabs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7.2. Товар должен иметь сертификаты соответствия (при наличии), декларации о соответствии (при наличии), регистрационное удостоверение (при наличии), инструкции на р</w:t>
      </w:r>
      <w:r>
        <w:rPr>
          <w:sz w:val="24"/>
          <w:szCs w:val="24"/>
        </w:rPr>
        <w:t xml:space="preserve">усском языке, которые передаются заказчику с поставкой товара, или иные документы, требуемые для товара данного вида, в соответствии с законодательными и подзаконными актами, действующими на территории Российской Федерации на дату поставки и приемки товара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tabs>
          <w:tab w:val="left" w:leader="none" w:pos="2324"/>
          <w:tab w:val="left" w:leader="none" w:pos="3060"/>
        </w:tabs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7.3. Поставщик гарантирует соответствие качества и безопасности поставленного по Договору Товара требованиям настоящего Договора. Поставщик отвечает за любые недостатки Товара, обнаруженные в течение гарантийного</w:t>
      </w:r>
      <w:r>
        <w:rPr>
          <w:sz w:val="24"/>
          <w:szCs w:val="24"/>
        </w:rPr>
        <w:t xml:space="preserve"> срока хранения, за исключением случаев, если недостатки Товара возникли после его принятия Заказчиком вследствие нарушения Заказчиком правил пользования Товаром или его хранения. При выявлении в течение гарантийного срока недостатков поставленного Товара </w:t>
      </w:r>
      <w:r>
        <w:rPr>
          <w:sz w:val="24"/>
          <w:szCs w:val="24"/>
        </w:rPr>
        <w:t xml:space="preserve">Поставщик по требованию Заказчика обязан в срок не более 20 рабочих дней безвозмездно устранить недостатки такого Товара или заменить Товар ненадлежащего качества Товаром, соответствующим условиям настоящего 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tabs>
          <w:tab w:val="left" w:leader="none" w:pos="2324"/>
          <w:tab w:val="left" w:leader="none" w:pos="3060"/>
        </w:tabs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7.4. Остаточный срок годности товара на момент поставки должен составлять не менее 90% от гарантированного производителем срока годности относительно каждой единицы товара.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tabs>
          <w:tab w:val="left" w:leader="none" w:pos="2324"/>
          <w:tab w:val="left" w:leader="none" w:pos="3060"/>
        </w:tabs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7.5. В случае неоднократного выяв</w:t>
      </w:r>
      <w:r>
        <w:rPr>
          <w:sz w:val="24"/>
          <w:szCs w:val="24"/>
        </w:rPr>
        <w:t xml:space="preserve">ления недостатков поставленного Товара в течение гарантийного срока Поставщик по требованию Заказчика обязан за свой счет в срок не более 10 (Десяти) рабочих дней заменить Товар ненадлежащего качества Товаром, соответствующим условиям настоящего Договора.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8. ОТВЕТСТВЕННОСТЬ СТОРОН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widowControl w:val="false"/>
        <w:pBdr/>
        <w:tabs>
          <w:tab w:val="left" w:leader="none" w:pos="993"/>
        </w:tabs>
        <w:spacing/>
        <w:ind w:firstLine="567"/>
        <w:jc w:val="both"/>
        <w:rPr>
          <w:bCs/>
          <w:color w:val="00000a"/>
          <w:sz w:val="24"/>
          <w:szCs w:val="24"/>
        </w:rPr>
      </w:pPr>
      <w:r>
        <w:rPr>
          <w:bCs/>
          <w:color w:val="00000a"/>
          <w:sz w:val="24"/>
          <w:szCs w:val="24"/>
          <w:lang w:eastAsia="ru-RU"/>
        </w:rPr>
        <w:t xml:space="preserve">8.1. В случае неисполнения или ненадлежащего исполнения обязательств по Договору Стороны несут ответственность в соответствии с действующим законодательством РФ и условиями настоящего Договора.</w:t>
      </w:r>
      <w:r>
        <w:rPr>
          <w:bCs/>
          <w:color w:val="00000a"/>
          <w:sz w:val="24"/>
          <w:szCs w:val="24"/>
        </w:rPr>
      </w:r>
      <w:r>
        <w:rPr>
          <w:bCs/>
          <w:color w:val="00000a"/>
          <w:sz w:val="24"/>
          <w:szCs w:val="24"/>
        </w:rPr>
      </w:r>
    </w:p>
    <w:p>
      <w:pPr>
        <w:widowControl w:val="false"/>
        <w:pBdr/>
        <w:spacing/>
        <w:ind w:firstLine="567"/>
        <w:jc w:val="both"/>
        <w:rPr>
          <w:color w:val="00000a"/>
          <w:sz w:val="24"/>
          <w:szCs w:val="24"/>
        </w:rPr>
      </w:pPr>
      <w:r>
        <w:rPr>
          <w:bCs/>
          <w:color w:val="00000a"/>
          <w:sz w:val="24"/>
          <w:szCs w:val="24"/>
          <w:lang w:eastAsia="ru-RU"/>
        </w:rPr>
        <w:t xml:space="preserve">8.2. Размер штрафа, начисляемого в случае ненадлежащего исполнения Заказчиком,  Поставщиком </w:t>
      </w:r>
      <w:r>
        <w:rPr>
          <w:color w:val="00000a"/>
          <w:sz w:val="24"/>
          <w:szCs w:val="24"/>
          <w:lang w:eastAsia="ru-RU"/>
        </w:rPr>
        <w:t xml:space="preserve">обязательств, предусмотренных Договором (за исключением просрочки исполнения обязательств Заказчиком, Поставщиком), определяется в соответствии с </w:t>
      </w:r>
      <w:r>
        <w:rPr>
          <w:color w:val="00000a"/>
          <w:sz w:val="24"/>
          <w:szCs w:val="24"/>
          <w:shd w:val="clear" w:color="auto" w:fill="ffffff"/>
          <w:lang w:eastAsia="ru-RU"/>
        </w:rPr>
        <w:t xml:space="preserve">Правилами определения размера штрафа, начисляемого в случае нена</w:t>
      </w:r>
      <w:r>
        <w:rPr>
          <w:color w:val="00000a"/>
          <w:sz w:val="24"/>
          <w:szCs w:val="24"/>
          <w:shd w:val="clear" w:color="auto" w:fill="ffffff"/>
          <w:lang w:eastAsia="ru-RU"/>
        </w:rPr>
        <w:t xml:space="preserve">длежащего исполнения Заказчиком, неисполнения или ненадлежащего исполнения поставщиком (подрядчиком, исполнителем) обязательств, предусмотренных договором (за исключением просрочки исполнения обязательств заказчиком, поставщиком (подрядчиком, исполнителем)</w:t>
      </w:r>
      <w:r>
        <w:rPr>
          <w:color w:val="000000"/>
          <w:sz w:val="24"/>
          <w:szCs w:val="24"/>
          <w:lang w:eastAsia="ru-RU"/>
        </w:rPr>
        <w:t xml:space="preserve">, утвержденными постановлением</w:t>
      </w:r>
      <w:r>
        <w:rPr>
          <w:color w:val="00000a"/>
          <w:sz w:val="24"/>
          <w:szCs w:val="24"/>
          <w:lang w:eastAsia="ru-RU"/>
        </w:rPr>
        <w:t xml:space="preserve"> Правительства РФ от 30.08.2017 г. № 1042 (далее - Правила).</w:t>
      </w:r>
      <w:r>
        <w:rPr>
          <w:color w:val="00000a"/>
          <w:sz w:val="24"/>
          <w:szCs w:val="24"/>
        </w:rPr>
      </w:r>
      <w:r>
        <w:rPr>
          <w:color w:val="00000a"/>
          <w:sz w:val="24"/>
          <w:szCs w:val="24"/>
        </w:rPr>
      </w:r>
    </w:p>
    <w:p>
      <w:pPr>
        <w:widowControl w:val="false"/>
        <w:pBdr/>
        <w:spacing/>
        <w:ind w:firstLine="567"/>
        <w:jc w:val="both"/>
        <w:rPr>
          <w:color w:val="00000a"/>
          <w:sz w:val="24"/>
          <w:szCs w:val="24"/>
          <w:highlight w:val="white"/>
          <w:shd w:val="clear" w:color="auto" w:fill="ffffff"/>
        </w:rPr>
      </w:pPr>
      <w:r>
        <w:rPr>
          <w:bCs/>
          <w:color w:val="00000a"/>
          <w:sz w:val="24"/>
          <w:szCs w:val="24"/>
          <w:lang w:eastAsia="ru-RU"/>
        </w:rPr>
        <w:t xml:space="preserve">8.3.</w:t>
      </w:r>
      <w:r>
        <w:rPr>
          <w:color w:val="00000a"/>
          <w:sz w:val="24"/>
          <w:szCs w:val="24"/>
          <w:shd w:val="clear" w:color="auto" w:fill="ffffff"/>
          <w:lang w:eastAsia="ru-RU"/>
        </w:rPr>
        <w:t xml:space="preserve"> За каждый факт неисполнения или ненадлежащего исполнения Поставщиком обязательств, предусмотренных Договором, за исключением просрочки исполнения обязательств (в том числе </w:t>
      </w:r>
      <w:r>
        <w:rPr>
          <w:color w:val="00000a"/>
          <w:sz w:val="24"/>
          <w:szCs w:val="24"/>
          <w:highlight w:val="white"/>
          <w:shd w:val="clear" w:color="auto" w:fill="ffffff"/>
          <w:lang w:eastAsia="ru-RU"/>
        </w:rPr>
        <w:t xml:space="preserve">гарантийного обязательства), предусмотренных Договором, размер штрафа устанавливается в следующем порядке:</w:t>
      </w:r>
      <w:r>
        <w:rPr>
          <w:color w:val="00000a"/>
          <w:sz w:val="24"/>
          <w:szCs w:val="24"/>
          <w:highlight w:val="white"/>
          <w:shd w:val="clear" w:color="auto" w:fill="ffffff"/>
        </w:rPr>
      </w:r>
      <w:r>
        <w:rPr>
          <w:color w:val="00000a"/>
          <w:sz w:val="24"/>
          <w:szCs w:val="24"/>
          <w:highlight w:val="white"/>
          <w:shd w:val="clear" w:color="auto" w:fill="ffffff"/>
        </w:rPr>
      </w:r>
    </w:p>
    <w:p>
      <w:pPr>
        <w:widowControl w:val="false"/>
        <w:pBdr/>
        <w:spacing/>
        <w:ind w:firstLine="567"/>
        <w:jc w:val="both"/>
        <w:rPr>
          <w:color w:val="00000a"/>
          <w:sz w:val="24"/>
          <w:szCs w:val="24"/>
          <w:highlight w:val="white"/>
          <w:shd w:val="clear" w:color="auto" w:fill="ffffff"/>
        </w:rPr>
      </w:pPr>
      <w:r>
        <w:rPr>
          <w:color w:val="00000a"/>
          <w:sz w:val="24"/>
          <w:szCs w:val="24"/>
          <w:highlight w:val="white"/>
          <w:lang w:eastAsia="ru-RU"/>
        </w:rPr>
        <w:t xml:space="preserve">а) 10 процентов цены Договора (этапа) в случае, если цена Договора (этапа) не превышает 3 млн. рублей и составляет _____________________</w:t>
      </w:r>
      <w:r>
        <w:rPr>
          <w:color w:val="00000a"/>
          <w:sz w:val="24"/>
          <w:szCs w:val="24"/>
          <w:highlight w:val="white"/>
          <w:shd w:val="clear" w:color="auto" w:fill="ffffff"/>
          <w:lang w:eastAsia="ru-RU"/>
        </w:rPr>
        <w:t xml:space="preserve"> (________________________) рублей ___ копеек.</w:t>
      </w:r>
      <w:r>
        <w:rPr>
          <w:color w:val="00000a"/>
          <w:sz w:val="24"/>
          <w:szCs w:val="24"/>
          <w:highlight w:val="white"/>
          <w:shd w:val="clear" w:color="auto" w:fill="ffffff"/>
        </w:rPr>
      </w:r>
      <w:r>
        <w:rPr>
          <w:color w:val="00000a"/>
          <w:sz w:val="24"/>
          <w:szCs w:val="24"/>
          <w:highlight w:val="white"/>
          <w:shd w:val="clear" w:color="auto" w:fill="ffffff"/>
        </w:rPr>
      </w:r>
    </w:p>
    <w:p>
      <w:pPr>
        <w:widowControl w:val="false"/>
        <w:pBdr/>
        <w:shd w:val="clear" w:color="auto" w:fill="ffffff"/>
        <w:spacing/>
        <w:ind w:firstLine="567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 xml:space="preserve">8.4. За каждый факт неис</w:t>
      </w:r>
      <w:r>
        <w:rPr>
          <w:color w:val="00000a"/>
          <w:sz w:val="24"/>
          <w:szCs w:val="24"/>
          <w:lang w:eastAsia="ru-RU"/>
        </w:rPr>
        <w:t xml:space="preserve">полнения или ненадлежащего исполнения поставщиком (подрядчиком, исполнителем) обязательства, предусмотренного договором, которое не имеет стоимостного выражения, размер штрафа устанавливается (при наличии в договоре таких обязательств) в следующем порядке:</w:t>
      </w:r>
      <w:r>
        <w:rPr>
          <w:color w:val="00000a"/>
          <w:sz w:val="24"/>
          <w:szCs w:val="24"/>
        </w:rPr>
      </w:r>
      <w:r>
        <w:rPr>
          <w:color w:val="00000a"/>
          <w:sz w:val="24"/>
          <w:szCs w:val="24"/>
        </w:rPr>
      </w:r>
    </w:p>
    <w:p>
      <w:pPr>
        <w:widowControl w:val="false"/>
        <w:pBdr/>
        <w:shd w:val="clear" w:color="auto" w:fill="ffffff"/>
        <w:spacing/>
        <w:ind w:firstLine="567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 xml:space="preserve">а) 1000 рублей, если цена договора не превышает 3 млн. рублей;</w:t>
      </w:r>
      <w:r>
        <w:rPr>
          <w:color w:val="00000a"/>
          <w:sz w:val="24"/>
          <w:szCs w:val="24"/>
        </w:rPr>
      </w:r>
      <w:r>
        <w:rPr>
          <w:color w:val="00000a"/>
          <w:sz w:val="24"/>
          <w:szCs w:val="24"/>
        </w:rPr>
      </w:r>
    </w:p>
    <w:p>
      <w:pPr>
        <w:widowControl w:val="false"/>
        <w:pBdr/>
        <w:tabs>
          <w:tab w:val="left" w:leader="none" w:pos="567"/>
        </w:tabs>
        <w:spacing/>
        <w:ind w:firstLine="567"/>
        <w:jc w:val="both"/>
        <w:rPr>
          <w:color w:val="00000a"/>
          <w:sz w:val="24"/>
          <w:szCs w:val="24"/>
        </w:rPr>
      </w:pPr>
      <w:r>
        <w:rPr>
          <w:bCs/>
          <w:color w:val="00000a"/>
          <w:sz w:val="24"/>
          <w:szCs w:val="24"/>
          <w:lang w:eastAsia="ru-RU"/>
        </w:rPr>
        <w:t xml:space="preserve">8.5. </w:t>
      </w:r>
      <w:r>
        <w:rPr>
          <w:color w:val="00000a"/>
          <w:sz w:val="24"/>
          <w:szCs w:val="24"/>
          <w:lang w:eastAsia="ru-RU"/>
        </w:rPr>
        <w:t xml:space="preserve">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размер штрафа устанавливается в следующем порядке:</w:t>
      </w:r>
      <w:r>
        <w:rPr>
          <w:color w:val="00000a"/>
          <w:sz w:val="24"/>
          <w:szCs w:val="24"/>
        </w:rPr>
      </w:r>
      <w:r>
        <w:rPr>
          <w:color w:val="00000a"/>
          <w:sz w:val="24"/>
          <w:szCs w:val="24"/>
        </w:rPr>
      </w:r>
    </w:p>
    <w:p>
      <w:pPr>
        <w:widowControl w:val="false"/>
        <w:pBdr/>
        <w:spacing/>
        <w:ind w:firstLine="567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 xml:space="preserve">а) 1000 рублей, если цена договора не превышает 3 млн. рублей (включительно);</w:t>
      </w:r>
      <w:r>
        <w:rPr>
          <w:color w:val="00000a"/>
          <w:sz w:val="24"/>
          <w:szCs w:val="24"/>
        </w:rPr>
      </w:r>
      <w:r>
        <w:rPr>
          <w:color w:val="00000a"/>
          <w:sz w:val="24"/>
          <w:szCs w:val="24"/>
        </w:rPr>
      </w:r>
    </w:p>
    <w:p>
      <w:pPr>
        <w:widowControl w:val="false"/>
        <w:pBdr/>
        <w:spacing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8.6. В случ</w:t>
      </w:r>
      <w:r>
        <w:rPr>
          <w:bCs/>
          <w:sz w:val="24"/>
          <w:szCs w:val="24"/>
          <w:lang w:eastAsia="ru-RU"/>
        </w:rPr>
        <w:t xml:space="preserve">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Подрядчик вправе потребовать уплаты неустоек (штрафов, пеней). 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widowControl w:val="false"/>
        <w:pBdr/>
        <w:shd w:val="clear" w:color="auto" w:fill="ffffff"/>
        <w:spacing/>
        <w:ind w:firstLine="567"/>
        <w:jc w:val="both"/>
        <w:rPr>
          <w:bCs/>
          <w:color w:val="00000a"/>
          <w:sz w:val="24"/>
          <w:szCs w:val="24"/>
        </w:rPr>
      </w:pPr>
      <w:r>
        <w:rPr>
          <w:bCs/>
          <w:color w:val="00000a"/>
          <w:sz w:val="24"/>
          <w:szCs w:val="24"/>
          <w:lang w:eastAsia="ru-RU"/>
        </w:rPr>
        <w:t xml:space="preserve">Пеня начисляется за каждый день просрочки исполнения обязательства, предусмотренного договором, начиная со дня, следующего пос</w:t>
      </w:r>
      <w:r>
        <w:rPr>
          <w:bCs/>
          <w:color w:val="00000a"/>
          <w:sz w:val="24"/>
          <w:szCs w:val="24"/>
          <w:lang w:eastAsia="ru-RU"/>
        </w:rPr>
        <w:t xml:space="preserve">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  <w:r>
        <w:rPr>
          <w:bCs/>
          <w:color w:val="00000a"/>
          <w:sz w:val="24"/>
          <w:szCs w:val="24"/>
        </w:rPr>
      </w:r>
      <w:r>
        <w:rPr>
          <w:bCs/>
          <w:color w:val="00000a"/>
          <w:sz w:val="24"/>
          <w:szCs w:val="24"/>
        </w:rPr>
      </w:r>
    </w:p>
    <w:p>
      <w:pPr>
        <w:widowControl w:val="false"/>
        <w:pBdr/>
        <w:spacing/>
        <w:ind w:firstLine="567"/>
        <w:jc w:val="both"/>
        <w:rPr>
          <w:color w:val="00000a"/>
          <w:sz w:val="24"/>
          <w:szCs w:val="24"/>
        </w:rPr>
      </w:pPr>
      <w:r>
        <w:rPr>
          <w:bCs/>
          <w:color w:val="00000a"/>
          <w:sz w:val="24"/>
          <w:szCs w:val="24"/>
          <w:lang w:eastAsia="ru-RU"/>
        </w:rPr>
        <w:t xml:space="preserve">8.7. </w:t>
      </w:r>
      <w:r>
        <w:rPr>
          <w:color w:val="222222"/>
          <w:sz w:val="24"/>
          <w:szCs w:val="24"/>
          <w:shd w:val="clear" w:color="auto" w:fill="ffffff"/>
          <w:lang w:eastAsia="ru-RU"/>
        </w:rPr>
        <w:t xml:space="preserve">В случае просрочки исполнения Поставщиком обязательств (в том чис</w:t>
      </w:r>
      <w:r>
        <w:rPr>
          <w:color w:val="222222"/>
          <w:sz w:val="24"/>
          <w:szCs w:val="24"/>
          <w:shd w:val="clear" w:color="auto" w:fill="ffffff"/>
          <w:lang w:eastAsia="ru-RU"/>
        </w:rPr>
        <w:t xml:space="preserve">ле гарантийного обязательства), предусмотренных Договором, а также в иных случаях неисполнения или ненадлежащего исполнения Поставщиком обязательств, предусмотренных Договором, Заказчик направляет Поставщику требование об уплате неустоек (штрафов, пеней). </w:t>
      </w:r>
      <w:r>
        <w:rPr>
          <w:color w:val="00000a"/>
          <w:sz w:val="24"/>
          <w:szCs w:val="24"/>
          <w:lang w:eastAsia="ru-RU"/>
        </w:rPr>
        <w:t xml:space="preserve">Пеня начисляется за каждый день просрочки исполнения Поставщиком обязательства, предусмотренного Договором, в размере одной трехсотой действующей на дату уплаты пени ключевой </w:t>
      </w:r>
      <w:hyperlink r:id="rId9" w:tooltip="http://base.garant.ru/10180094/" w:history="1">
        <w:r>
          <w:rPr>
            <w:color w:val="00000a"/>
            <w:sz w:val="24"/>
            <w:szCs w:val="24"/>
            <w:lang w:eastAsia="ru-RU"/>
          </w:rPr>
          <w:t xml:space="preserve">ставки </w:t>
        </w:r>
      </w:hyperlink>
      <w:r>
        <w:rPr>
          <w:color w:val="00000a"/>
          <w:sz w:val="24"/>
          <w:szCs w:val="24"/>
          <w:lang w:eastAsia="ru-RU"/>
        </w:rPr>
        <w:t xml:space="preserve">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Поставщиком.</w:t>
      </w:r>
      <w:r>
        <w:rPr>
          <w:color w:val="00000a"/>
          <w:sz w:val="24"/>
          <w:szCs w:val="24"/>
        </w:rPr>
      </w:r>
      <w:r>
        <w:rPr>
          <w:color w:val="00000a"/>
          <w:sz w:val="24"/>
          <w:szCs w:val="24"/>
        </w:rPr>
      </w:r>
    </w:p>
    <w:p>
      <w:pPr>
        <w:widowControl w:val="false"/>
        <w:pBdr/>
        <w:spacing/>
        <w:ind w:firstLine="567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 xml:space="preserve">Размер пени = (цена договора – объем выполненных обязательств) / 300×ключевая ставка × количество дней просрочки</w:t>
      </w:r>
      <w:r>
        <w:rPr>
          <w:color w:val="00000a"/>
          <w:sz w:val="24"/>
          <w:szCs w:val="24"/>
        </w:rPr>
      </w:r>
      <w:r>
        <w:rPr>
          <w:color w:val="00000a"/>
          <w:sz w:val="24"/>
          <w:szCs w:val="24"/>
        </w:rPr>
      </w:r>
    </w:p>
    <w:p>
      <w:pPr>
        <w:widowControl w:val="false"/>
        <w:pBdr/>
        <w:shd w:val="clear" w:color="auto" w:fill="ffffff"/>
        <w:spacing/>
        <w:ind w:firstLine="567"/>
        <w:jc w:val="both"/>
        <w:rPr>
          <w:color w:val="00000a"/>
          <w:sz w:val="24"/>
          <w:szCs w:val="24"/>
        </w:rPr>
      </w:pPr>
      <w:r>
        <w:rPr>
          <w:bCs/>
          <w:color w:val="00000a"/>
          <w:sz w:val="24"/>
          <w:szCs w:val="24"/>
          <w:lang w:eastAsia="ru-RU"/>
        </w:rPr>
        <w:t xml:space="preserve">8.8. Общая сумма начисленных штрафов за неисполнение или ненадлежащее исполнение Поставщиком обязательств, предусмотренных Договором, не может превышать цену Договора.</w:t>
      </w:r>
      <w:r>
        <w:rPr>
          <w:color w:val="00000a"/>
          <w:sz w:val="24"/>
          <w:szCs w:val="24"/>
        </w:rPr>
      </w:r>
      <w:r>
        <w:rPr>
          <w:color w:val="00000a"/>
          <w:sz w:val="24"/>
          <w:szCs w:val="24"/>
        </w:rPr>
      </w:r>
    </w:p>
    <w:p>
      <w:pPr>
        <w:widowControl w:val="false"/>
        <w:pBdr/>
        <w:tabs>
          <w:tab w:val="left" w:leader="none" w:pos="993"/>
        </w:tabs>
        <w:spacing/>
        <w:ind w:firstLine="567"/>
        <w:jc w:val="both"/>
        <w:rPr>
          <w:bCs/>
          <w:color w:val="00000a"/>
          <w:sz w:val="24"/>
          <w:szCs w:val="24"/>
        </w:rPr>
      </w:pPr>
      <w:r>
        <w:rPr>
          <w:bCs/>
          <w:color w:val="00000a"/>
          <w:sz w:val="24"/>
          <w:szCs w:val="24"/>
          <w:lang w:eastAsia="ru-RU"/>
        </w:rPr>
        <w:t xml:space="preserve">8.9. 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  <w:r>
        <w:rPr>
          <w:bCs/>
          <w:color w:val="00000a"/>
          <w:sz w:val="24"/>
          <w:szCs w:val="24"/>
        </w:rPr>
      </w:r>
      <w:r>
        <w:rPr>
          <w:bCs/>
          <w:color w:val="00000a"/>
          <w:sz w:val="24"/>
          <w:szCs w:val="24"/>
        </w:rPr>
      </w:r>
    </w:p>
    <w:p>
      <w:pPr>
        <w:widowControl w:val="false"/>
        <w:pBdr/>
        <w:tabs>
          <w:tab w:val="left" w:leader="none" w:pos="993"/>
        </w:tabs>
        <w:spacing/>
        <w:ind w:firstLine="567"/>
        <w:jc w:val="both"/>
        <w:rPr>
          <w:bCs/>
          <w:color w:val="00000a"/>
          <w:sz w:val="24"/>
          <w:szCs w:val="24"/>
        </w:rPr>
      </w:pPr>
      <w:r>
        <w:rPr>
          <w:bCs/>
          <w:color w:val="00000a"/>
          <w:sz w:val="24"/>
          <w:szCs w:val="24"/>
          <w:lang w:eastAsia="ru-RU"/>
        </w:rPr>
        <w:t xml:space="preserve">8.10. </w:t>
      </w:r>
      <w:r>
        <w:rPr>
          <w:color w:val="00000a"/>
          <w:sz w:val="24"/>
          <w:szCs w:val="24"/>
          <w:lang w:eastAsia="ru-RU"/>
        </w:rPr>
        <w:t xml:space="preserve">Сторона настоящего Договора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  <w:r>
        <w:rPr>
          <w:bCs/>
          <w:color w:val="00000a"/>
          <w:sz w:val="24"/>
          <w:szCs w:val="24"/>
        </w:rPr>
      </w:r>
      <w:r>
        <w:rPr>
          <w:bCs/>
          <w:color w:val="00000a"/>
          <w:sz w:val="24"/>
          <w:szCs w:val="24"/>
        </w:rPr>
      </w:r>
    </w:p>
    <w:p>
      <w:pPr>
        <w:widowControl w:val="false"/>
        <w:pBdr/>
        <w:spacing/>
        <w:ind w:firstLine="567"/>
        <w:jc w:val="both"/>
        <w:rPr>
          <w:color w:val="00000a"/>
          <w:sz w:val="24"/>
          <w:szCs w:val="24"/>
        </w:rPr>
      </w:pPr>
      <w:r>
        <w:rPr>
          <w:color w:val="00000a"/>
          <w:sz w:val="24"/>
          <w:szCs w:val="24"/>
          <w:lang w:eastAsia="ru-RU"/>
        </w:rPr>
        <w:t xml:space="preserve">8.11. Уплата неустойки, пени, штрафов не освобождает стороны от исполнения обязательств, принятых на себя по Договору</w:t>
      </w:r>
      <w:r>
        <w:rPr>
          <w:color w:val="00000a"/>
          <w:sz w:val="24"/>
          <w:szCs w:val="24"/>
        </w:rPr>
      </w:r>
      <w:r>
        <w:rPr>
          <w:color w:val="00000a"/>
          <w:sz w:val="24"/>
          <w:szCs w:val="24"/>
        </w:rPr>
      </w:r>
    </w:p>
    <w:p>
      <w:pPr>
        <w:widowControl w:val="false"/>
        <w:pBdr/>
        <w:tabs>
          <w:tab w:val="left" w:leader="none" w:pos="709"/>
        </w:tabs>
        <w:spacing/>
        <w:ind w:firstLine="567"/>
        <w:jc w:val="both"/>
        <w:rPr>
          <w:rFonts w:eastAsia="Calibri"/>
          <w:color w:val="00000a"/>
          <w:sz w:val="24"/>
          <w:szCs w:val="24"/>
        </w:rPr>
      </w:pPr>
      <w:r>
        <w:rPr>
          <w:rFonts w:eastAsia="Calibri"/>
          <w:color w:val="00000a"/>
          <w:sz w:val="24"/>
          <w:szCs w:val="24"/>
          <w:lang w:eastAsia="en-US"/>
        </w:rPr>
        <w:t xml:space="preserve">8.12. При нарушении сроков поставки более чем на 20 (Двадцать) дней, Заказчик вправе расторгнуть Договор в одностороннем порядке. </w:t>
      </w:r>
      <w:r>
        <w:rPr>
          <w:rFonts w:eastAsia="Calibri"/>
          <w:color w:val="00000a"/>
          <w:sz w:val="24"/>
          <w:szCs w:val="24"/>
        </w:rPr>
      </w:r>
      <w:r>
        <w:rPr>
          <w:rFonts w:eastAsia="Calibri"/>
          <w:color w:val="00000a"/>
          <w:sz w:val="24"/>
          <w:szCs w:val="24"/>
        </w:rPr>
      </w:r>
    </w:p>
    <w:p>
      <w:pPr>
        <w:widowControl w:val="false"/>
        <w:pBdr/>
        <w:tabs>
          <w:tab w:val="left" w:leader="none" w:pos="2108"/>
          <w:tab w:val="center" w:leader="none" w:pos="5648"/>
        </w:tabs>
        <w:spacing/>
        <w:ind w:right="42"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9. ФОРС-МАЖОР (ДЕЙСТВИЯ НЕПРЕОДОЛИМОЙ СИЛЫ)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widowControl w:val="false"/>
        <w:pBdr/>
        <w:spacing/>
        <w:ind w:right="42"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9.1</w:t>
      </w:r>
      <w:r>
        <w:rPr>
          <w:sz w:val="24"/>
          <w:szCs w:val="24"/>
        </w:rPr>
        <w:t xml:space="preserve">. Ни одна из сторон не несёт ответственности перед другой стороной за невыполнение обязательств, обусловленное</w:t>
      </w:r>
      <w:r>
        <w:rPr>
          <w:sz w:val="24"/>
          <w:szCs w:val="24"/>
        </w:rPr>
        <w:t xml:space="preserve">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42"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9.2. </w:t>
      </w:r>
      <w:r>
        <w:rPr>
          <w:sz w:val="24"/>
          <w:szCs w:val="24"/>
        </w:rPr>
        <w:t xml:space="preserve">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42" w:firstLine="567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9.3. </w:t>
      </w:r>
      <w:r>
        <w:rPr>
          <w:sz w:val="24"/>
          <w:szCs w:val="24"/>
        </w:rPr>
        <w:t xml:space="preserve">Сторона, которая не исполняет своего обязательства вследствие непреодолимой силы, должна известить другую сторону о препятствии и его влиянии на исполнение обязательств по Договору в течение трёх дней.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firstLine="567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  <w:lang w:eastAsia="en-US"/>
        </w:rPr>
        <w:t xml:space="preserve">10. АНТИКОРРУПЦИОННАЯ ОГОВОРКА</w:t>
      </w: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</w:p>
    <w:p>
      <w:pPr>
        <w:widowControl w:val="false"/>
        <w:pBdr/>
        <w:spacing/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10.1.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</w:t>
      </w:r>
      <w:r>
        <w:rPr>
          <w:rFonts w:eastAsia="Calibri"/>
          <w:sz w:val="24"/>
          <w:szCs w:val="24"/>
          <w:lang w:eastAsia="en-US"/>
        </w:rPr>
        <w:t xml:space="preserve">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цели, не осуществляют действия, квалифицируемые применимым для целей</w:t>
      </w:r>
      <w:r>
        <w:rPr>
          <w:rFonts w:eastAsia="Calibri"/>
          <w:sz w:val="24"/>
          <w:szCs w:val="24"/>
          <w:lang w:eastAsia="en-US"/>
        </w:rPr>
        <w:t xml:space="preserve"> настоящего Договора законодательством, как дача/получение взятки, коммерческий подкуп а также действия, нарушающие требования применимого законодательства и международных актов о противодействии легализации отмыванию) доходов, полученных преступным путем.</w:t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widowControl w:val="false"/>
        <w:pBdr/>
        <w:tabs>
          <w:tab w:val="left" w:leader="none" w:pos="993"/>
          <w:tab w:val="left" w:leader="none" w:pos="2487"/>
        </w:tabs>
        <w:spacing/>
        <w:ind w:firstLine="567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10.2. В случае нарушения одной Стороной обязательств воздерживаться от запрещенных в предыдущем пункте действий, другая Сторона имеет право расторгнуть Договор в одностороннем порядке полностью ил</w:t>
      </w:r>
      <w:r>
        <w:rPr>
          <w:rFonts w:eastAsia="Calibri"/>
          <w:sz w:val="24"/>
          <w:szCs w:val="24"/>
          <w:lang w:eastAsia="en-US"/>
        </w:rPr>
        <w:t xml:space="preserve">и в части, направив письменное уведомление о расторжении. Сторона, по чьей инициативе был расторгнут настоящий Договор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  <w:r>
        <w:rPr>
          <w:rFonts w:eastAsia="Calibri"/>
          <w:sz w:val="24"/>
          <w:szCs w:val="24"/>
        </w:rPr>
      </w:r>
      <w:r>
        <w:rPr>
          <w:rFonts w:eastAsia="Calibri"/>
          <w:sz w:val="24"/>
          <w:szCs w:val="24"/>
        </w:rPr>
      </w:r>
    </w:p>
    <w:p>
      <w:pPr>
        <w:widowControl w:val="false"/>
        <w:pBdr/>
        <w:spacing/>
        <w:ind w:right="42"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11. РАЗРЕШЕНИЕ СПОРОВ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widowControl w:val="false"/>
        <w:pBdr/>
        <w:tabs>
          <w:tab w:val="left" w:leader="none" w:pos="0"/>
          <w:tab w:val="left" w:leader="none" w:pos="567"/>
        </w:tabs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11.1. Все споры и разногласия, возникающие в связи с выполнением Договора, должны решаться в претензионном порядке. Для реализации этого порядка заинтересованная сторона в </w:t>
      </w:r>
      <w:r>
        <w:rPr>
          <w:sz w:val="24"/>
          <w:szCs w:val="24"/>
        </w:rPr>
        <w:t xml:space="preserve">случае нарушения ее прав должна обратиться с письменной претензией к другой стороне. Сторона, получившая претензию, должна направить другой стороне мотивированный ответ на претензию в письменной форме в течение 10 (Десяти) рабочих дней от дня ее получения.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tabs>
          <w:tab w:val="left" w:leader="none" w:pos="0"/>
          <w:tab w:val="left" w:leader="none" w:pos="567"/>
        </w:tabs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11.2. Все споры и разногласия, не урегулированные путем претензионного порядка, подлежат рассмотрению в Арбитражном суде Ростовской области.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42"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12. СРОК ДЕЙСТВИЯ ДОГОВОРА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widowControl w:val="false"/>
        <w:pBdr/>
        <w:tabs>
          <w:tab w:val="left" w:leader="none" w:pos="0"/>
          <w:tab w:val="left" w:leader="none" w:pos="567"/>
        </w:tabs>
        <w:spacing/>
        <w:ind w:firstLine="567"/>
        <w:jc w:val="both"/>
        <w:rPr>
          <w:sz w:val="24"/>
          <w:szCs w:val="24"/>
          <w:highlight w:val="white"/>
        </w:rPr>
      </w:pPr>
      <w:r>
        <w:rPr>
          <w:sz w:val="24"/>
          <w:szCs w:val="24"/>
        </w:rPr>
        <w:t xml:space="preserve">12.1. Настоящий Договор вступает в действие со дня его подписания Сторонами и действует до полного исполнения сторонами принятых на себя обязательств, но не позднее</w:t>
      </w:r>
      <w:r>
        <w:rPr>
          <w:b/>
          <w:bCs/>
          <w:sz w:val="24"/>
          <w:szCs w:val="24"/>
          <w:highlight w:val="white"/>
        </w:rPr>
        <w:t xml:space="preserve"> 10 декабря </w:t>
      </w:r>
      <w:r>
        <w:rPr>
          <w:b/>
          <w:sz w:val="24"/>
          <w:szCs w:val="24"/>
          <w:highlight w:val="white"/>
        </w:rPr>
        <w:t xml:space="preserve">2026 г</w:t>
      </w:r>
      <w:r>
        <w:rPr>
          <w:sz w:val="24"/>
          <w:szCs w:val="24"/>
          <w:highlight w:val="white"/>
        </w:rPr>
        <w:t xml:space="preserve">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widowControl w:val="false"/>
        <w:pBdr/>
        <w:spacing/>
        <w:ind w:right="42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12.2. Истечение срока действия Договора не освобождает стороны от исполнения денежных обязательств по погашению задолженности, образовавшейся при исполнении настоящего договора, а также от ответственности за нарушение условий настоящего 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42" w:firstLine="567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13.  ЗАКЛЮЧИТЕЛЬНЫЕ ПОЛОЖЕНИЯ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widowControl w:val="false"/>
        <w:pBdr/>
        <w:tabs>
          <w:tab w:val="left" w:leader="none" w:pos="0"/>
          <w:tab w:val="left" w:leader="none" w:pos="567"/>
        </w:tabs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13.1. Ни одна из сторон не вправе передавать свои права и обязанности или их часть по настоящему Договору третьему лицу без предварительного письменного согласия другой стороны.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tabs>
          <w:tab w:val="left" w:leader="none" w:pos="0"/>
          <w:tab w:val="left" w:leader="none" w:pos="567"/>
        </w:tabs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13.2. Все уведомления Сторон, связанные с исполнением настоящего Договора, </w:t>
      </w:r>
      <w:r>
        <w:rPr>
          <w:sz w:val="24"/>
          <w:szCs w:val="24"/>
        </w:rPr>
        <w:t xml:space="preserve">направляются в письменной форме по почте заказным письмом по фактическому адресу Стороны или по электронной почте, указанным в части 14 настоящего Договора, или с использованием факсимильной связи, электронной почты с последующим представлением оригинала.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tabs>
          <w:tab w:val="left" w:leader="none" w:pos="0"/>
          <w:tab w:val="left" w:leader="none" w:pos="567"/>
        </w:tabs>
        <w:spacing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tabs>
          <w:tab w:val="left" w:leader="none" w:pos="0"/>
          <w:tab w:val="left" w:leader="none" w:pos="567"/>
        </w:tabs>
        <w:spacing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случае отправления уведомлений посредством факсимильной связи уведомления считаются полученными Стороной в день их отправки.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tabs>
          <w:tab w:val="left" w:leader="none" w:pos="0"/>
          <w:tab w:val="left" w:leader="none" w:pos="567"/>
        </w:tabs>
        <w:spacing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При отправке доку</w:t>
      </w:r>
      <w:r>
        <w:rPr>
          <w:sz w:val="24"/>
          <w:szCs w:val="24"/>
        </w:rPr>
        <w:t xml:space="preserve">ментов с использованием электронной почты, датой получения будет являться уведомление почтовой программы передающей Стороны о доставке электронного письма на почтовый сервер получающей Стороны. Сообщения направляются по следующим адресам электронной почты: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tabs>
          <w:tab w:val="left" w:leader="none" w:pos="0"/>
          <w:tab w:val="left" w:leader="none" w:pos="567"/>
        </w:tabs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Заказчик: ks.plague@mail.ru – отдел закупок, popova_av@antiplague.ru - бухгалтерия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tabs>
          <w:tab w:val="left" w:leader="none" w:pos="0"/>
          <w:tab w:val="left" w:leader="none" w:pos="567"/>
        </w:tabs>
        <w:spacing/>
        <w:ind w:firstLine="567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- Поставщик:</w:t>
      </w:r>
      <w:r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</w:r>
      <w:r>
        <w:rPr>
          <w:color w:val="000000" w:themeColor="text1"/>
          <w:sz w:val="24"/>
          <w:szCs w:val="24"/>
        </w:rPr>
      </w:r>
    </w:p>
    <w:p>
      <w:pPr>
        <w:widowControl w:val="false"/>
        <w:pBdr/>
        <w:tabs>
          <w:tab w:val="left" w:leader="none" w:pos="0"/>
          <w:tab w:val="left" w:leader="none" w:pos="567"/>
        </w:tabs>
        <w:spacing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Любые документы, связанные с исполнением настоящего Договора, отправленные сторонами друг другу по вышеуказанным адресам электронной почты, признаются официальной перепиской сторон в</w:t>
      </w:r>
      <w:r>
        <w:rPr>
          <w:sz w:val="24"/>
          <w:szCs w:val="24"/>
        </w:rPr>
        <w:t xml:space="preserve"> рамках настоящего Договора. Документы, направленные с других электронных адресов, или на другие электронные адреса, не имеют юридической силы. Настоящий Договор подписан в двух экземплярах, имеющих равную юридическую силу, по одному для каждой из сторон.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tabs>
          <w:tab w:val="left" w:leader="none" w:pos="0"/>
          <w:tab w:val="left" w:leader="none" w:pos="567"/>
        </w:tabs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13.3. Изменение настоящего Договора в случаях, предусмотренных законодательством, возможно по соглашению Сторон. Все изменения оформляются в письменном виде путем подписания Сторонами дополнительных соглашений к Договору.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tabs>
          <w:tab w:val="left" w:leader="none" w:pos="0"/>
          <w:tab w:val="left" w:leader="none" w:pos="567"/>
        </w:tabs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13.4. Неотъемлемой частью Договора является: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tabs>
          <w:tab w:val="left" w:leader="none" w:pos="0"/>
          <w:tab w:val="left" w:leader="none" w:pos="567"/>
        </w:tabs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1- «Спецификация»;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tabs>
          <w:tab w:val="left" w:leader="none" w:pos="0"/>
          <w:tab w:val="left" w:leader="none" w:pos="567"/>
        </w:tabs>
        <w:spacing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2 – «Акт приема-передачи товара».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tabs>
          <w:tab w:val="left" w:leader="none" w:pos="0"/>
          <w:tab w:val="left" w:leader="none" w:pos="567"/>
        </w:tabs>
        <w:spacing/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tabs>
          <w:tab w:val="left" w:leader="none" w:pos="0"/>
          <w:tab w:val="left" w:leader="none" w:pos="567"/>
        </w:tabs>
        <w:spacing/>
        <w:ind w:firstLine="567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14. АДРЕСА СТОРОН И ИХ БАНКОВСКИЕ РЕКВИЗИТЫ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</w:r>
    </w:p>
    <w:tbl>
      <w:tblPr>
        <w:tblW w:w="4951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554"/>
      </w:tblGrid>
      <w:tr>
        <w:trPr>
          <w:trHeight w:val="5141"/>
        </w:trPr>
        <w:tc>
          <w:tcPr>
            <w:tcBorders/>
            <w:tcW w:w="5210" w:type="dxa"/>
          </w:tcPr>
          <w:p>
            <w:pPr>
              <w:widowControl w:val="false"/>
              <w:pBdr/>
              <w:spacing/>
              <w:ind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Заказчик: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ФКУЗ Ростовский-на-Дону противочумный институт Роспотребнадзора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6164101841    КПП 616401001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344002, Ростовская область, г. Ростов-на-Дону,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М. Горького, 117/40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Тел/факс: (863) 267-02-23; (863) 242-50-11 - отдел закупок, (863) 244-08-32 - бухгалтерия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почта: plague@aaanet.ru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03211643000000013230 УФК по Нижегородской области (ФКУЗ Ростовский-на-Дону противочумный институт Роспотребнадзора, л/с 05581131810) ОКЦ № 1 ВВГУ Банка России // УФК по Нижегородской области, г. Нижний Новгород,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К/с 40102810745370000024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012202102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rPr>
                <w:rFonts w:eastAsia="SimSun"/>
                <w:spacing w:val="-2"/>
                <w:sz w:val="22"/>
                <w:szCs w:val="22"/>
              </w:rPr>
            </w:pPr>
            <w:r>
              <w:rPr>
                <w:rFonts w:eastAsia="SimSun"/>
                <w:spacing w:val="-2"/>
                <w:sz w:val="22"/>
                <w:szCs w:val="22"/>
              </w:rPr>
              <w:t xml:space="preserve">Директор </w:t>
            </w:r>
            <w:r>
              <w:rPr>
                <w:rFonts w:eastAsia="SimSun"/>
                <w:spacing w:val="-2"/>
                <w:sz w:val="22"/>
                <w:szCs w:val="22"/>
              </w:rPr>
            </w:r>
            <w:r>
              <w:rPr>
                <w:rFonts w:eastAsia="SimSun"/>
                <w:spacing w:val="-2"/>
                <w:sz w:val="22"/>
                <w:szCs w:val="22"/>
              </w:rPr>
            </w:r>
          </w:p>
          <w:p>
            <w:pPr>
              <w:widowControl w:val="false"/>
              <w:pBdr/>
              <w:tabs>
                <w:tab w:val="left" w:leader="none" w:pos="0"/>
                <w:tab w:val="left" w:leader="none" w:pos="2324"/>
              </w:tabs>
              <w:spacing/>
              <w:ind w:right="21"/>
              <w:jc w:val="both"/>
              <w:rPr>
                <w:rFonts w:eastAsia="SimSun"/>
                <w:spacing w:val="-2"/>
                <w:sz w:val="22"/>
                <w:szCs w:val="22"/>
              </w:rPr>
            </w:pPr>
            <w:r>
              <w:rPr>
                <w:rFonts w:eastAsia="SimSun"/>
                <w:spacing w:val="-2"/>
                <w:sz w:val="22"/>
                <w:szCs w:val="22"/>
              </w:rPr>
              <w:t xml:space="preserve">____________________/ Н.Е. Гаевская /</w:t>
            </w:r>
            <w:r>
              <w:rPr>
                <w:rFonts w:eastAsia="SimSun"/>
                <w:spacing w:val="-2"/>
                <w:sz w:val="22"/>
                <w:szCs w:val="22"/>
              </w:rPr>
            </w:r>
            <w:r>
              <w:rPr>
                <w:rFonts w:eastAsia="SimSun"/>
                <w:spacing w:val="-2"/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Э.П.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5670" w:type="dxa"/>
          </w:tcPr>
          <w:p>
            <w:pPr>
              <w:widowControl w:val="false"/>
              <w:pBdr/>
              <w:spacing/>
              <w:ind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Поставщик: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color w:val="000000"/>
                <w:sz w:val="22"/>
                <w:szCs w:val="22"/>
                <w:lang w:eastAsia="en-US" w:bidi="en-US"/>
              </w:rPr>
            </w:pPr>
            <w:r>
              <w:rPr>
                <w:color w:val="000000"/>
                <w:sz w:val="22"/>
                <w:szCs w:val="22"/>
                <w:lang w:eastAsia="en-US" w:bidi="en-US"/>
              </w:rPr>
              <w:t xml:space="preserve">_____________________/</w:t>
            </w:r>
            <w:r>
              <w:rPr>
                <w:color w:val="000000"/>
                <w:sz w:val="22"/>
                <w:szCs w:val="22"/>
              </w:rPr>
              <w:t xml:space="preserve"> _____________ </w:t>
            </w:r>
            <w:r>
              <w:rPr>
                <w:color w:val="000000"/>
                <w:sz w:val="22"/>
                <w:szCs w:val="22"/>
                <w:lang w:eastAsia="en-US" w:bidi="en-US"/>
              </w:rPr>
              <w:t xml:space="preserve">/</w:t>
            </w:r>
            <w:r>
              <w:rPr>
                <w:color w:val="000000"/>
                <w:sz w:val="22"/>
                <w:szCs w:val="22"/>
                <w:lang w:eastAsia="en-US" w:bidi="en-US"/>
              </w:rPr>
            </w:r>
            <w:r>
              <w:rPr>
                <w:color w:val="000000"/>
                <w:sz w:val="22"/>
                <w:szCs w:val="22"/>
                <w:lang w:eastAsia="en-US" w:bidi="en-US"/>
              </w:rPr>
            </w:r>
          </w:p>
          <w:p>
            <w:pPr>
              <w:widowControl w:val="false"/>
              <w:pBdr/>
              <w:spacing/>
              <w:ind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Э.П.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pStyle w:val="980"/>
        <w:widowControl w:val="false"/>
        <w:pBdr/>
        <w:spacing w:after="0"/>
        <w:ind/>
        <w:rPr>
          <w:sz w:val="22"/>
          <w:szCs w:val="22"/>
        </w:rPr>
        <w:sectPr>
          <w:footnotePr/>
          <w:endnotePr/>
          <w:type w:val="continuous"/>
          <w:pgSz w:h="16838" w:orient="portrait" w:w="11906"/>
          <w:pgMar w:top="567" w:right="567" w:bottom="567" w:left="567" w:header="284" w:footer="284" w:gutter="0"/>
          <w:cols w:num="1" w:sep="0" w:space="720" w:equalWidth="1"/>
        </w:sect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980"/>
        <w:widowControl w:val="false"/>
        <w:pBdr/>
        <w:spacing w:after="0"/>
        <w:ind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4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Договору поставки </w:t>
      </w:r>
      <w:r>
        <w:rPr>
          <w:sz w:val="24"/>
          <w:szCs w:val="24"/>
          <w:lang w:eastAsia="en-US" w:bidi="en-US"/>
        </w:rPr>
        <w:t xml:space="preserve">№ ____</w:t>
      </w:r>
      <w:r>
        <w:rPr>
          <w:sz w:val="24"/>
          <w:szCs w:val="24"/>
        </w:rPr>
        <w:t xml:space="preserve">/26-Б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4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  <w:lang w:eastAsia="en-US" w:bidi="en-US"/>
        </w:rPr>
        <w:t xml:space="preserve">от «___» _______ </w:t>
      </w:r>
      <w:r>
        <w:rPr>
          <w:sz w:val="24"/>
          <w:szCs w:val="24"/>
          <w:lang w:eastAsia="en-US" w:bidi="en-US"/>
        </w:rPr>
        <w:t xml:space="preserve">2026 г.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widowControl w:val="false"/>
        <w:pBdr/>
        <w:spacing/>
        <w:ind w:right="42" w:firstLine="567"/>
        <w:jc w:val="right"/>
        <w:rPr>
          <w:lang w:eastAsia="en-US" w:bidi="en-US"/>
        </w:rPr>
      </w:pPr>
      <w:r>
        <w:rPr>
          <w:lang w:eastAsia="en-US" w:bidi="en-US"/>
        </w:rPr>
      </w:r>
      <w:r>
        <w:rPr>
          <w:lang w:eastAsia="en-US" w:bidi="en-US"/>
        </w:rPr>
      </w:r>
      <w:r>
        <w:rPr>
          <w:lang w:eastAsia="en-US" w:bidi="en-US"/>
        </w:rPr>
      </w:r>
    </w:p>
    <w:p>
      <w:pPr>
        <w:widowControl w:val="false"/>
        <w:pBdr/>
        <w:spacing/>
        <w:ind w:right="42"/>
        <w:jc w:val="center"/>
        <w:rPr>
          <w:b/>
          <w:lang w:eastAsia="en-US" w:bidi="en-US"/>
        </w:rPr>
      </w:pPr>
      <w:r>
        <w:rPr>
          <w:b/>
          <w:lang w:eastAsia="en-US" w:bidi="en-US"/>
        </w:rPr>
        <w:t xml:space="preserve">СПЕЦИФИКАЦИЯ</w:t>
      </w:r>
      <w:r>
        <w:rPr>
          <w:b/>
          <w:lang w:eastAsia="en-US" w:bidi="en-US"/>
        </w:rPr>
      </w:r>
      <w:r>
        <w:rPr>
          <w:b/>
          <w:lang w:eastAsia="en-US" w:bidi="en-US"/>
        </w:rPr>
      </w:r>
    </w:p>
    <w:p>
      <w:pPr>
        <w:widowControl w:val="false"/>
        <w:pBdr/>
        <w:spacing/>
        <w:ind w:right="42" w:firstLine="567"/>
        <w:jc w:val="right"/>
        <w:rPr>
          <w:lang w:eastAsia="en-US" w:bidi="en-US"/>
        </w:rPr>
      </w:pPr>
      <w:r>
        <w:rPr>
          <w:lang w:eastAsia="en-US" w:bidi="en-US"/>
        </w:rPr>
      </w:r>
      <w:r>
        <w:rPr>
          <w:lang w:eastAsia="en-US" w:bidi="en-US"/>
        </w:rPr>
      </w:r>
      <w:r>
        <w:rPr>
          <w:lang w:eastAsia="en-US" w:bidi="en-US"/>
        </w:rPr>
      </w:r>
    </w:p>
    <w:tbl>
      <w:tblPr>
        <w:tblInd w:w="113" w:type="dxa"/>
        <w:tblW w:w="5013" w:type="pct"/>
        <w:tblBorders/>
        <w:tblLayout w:type="fixed"/>
        <w:tblLook w:val="04A0" w:firstRow="1" w:lastRow="0" w:firstColumn="1" w:lastColumn="0" w:noHBand="0" w:noVBand="1"/>
      </w:tblPr>
      <w:tblGrid>
        <w:gridCol w:w="539"/>
        <w:gridCol w:w="4167"/>
        <w:gridCol w:w="1276"/>
        <w:gridCol w:w="1134"/>
        <w:gridCol w:w="1843"/>
        <w:gridCol w:w="1843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9" w:type="dxa"/>
            <w:vAlign w:val="center"/>
          </w:tcPr>
          <w:p>
            <w:pPr>
              <w:pBdr/>
              <w:spacing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п/п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67" w:type="dxa"/>
            <w:vAlign w:val="center"/>
          </w:tcPr>
          <w:p>
            <w:pPr>
              <w:pBdr/>
              <w:spacing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Наименование товара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  <w:p>
            <w:pPr>
              <w:pBdr/>
              <w:spacing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Страна происхождения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</w:tcPr>
          <w:p>
            <w:pPr>
              <w:pBdr/>
              <w:spacing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Ед. изм.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</w:tcPr>
          <w:p>
            <w:pPr>
              <w:pBdr/>
              <w:spacing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Кол-во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</w:tcPr>
          <w:p>
            <w:pPr>
              <w:pBdr/>
              <w:spacing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Цена за ед. </w:t>
            </w:r>
            <w:r>
              <w:rPr>
                <w:lang w:eastAsia="ru-RU"/>
              </w:rPr>
              <w:t xml:space="preserve">(в т.ч. НДС, НДС не облагается</w:t>
            </w:r>
            <w:r>
              <w:rPr>
                <w:sz w:val="24"/>
                <w:szCs w:val="24"/>
                <w:vertAlign w:val="superscript"/>
                <w:lang w:eastAsia="ru-RU"/>
              </w:rPr>
              <w:footnoteReference w:id="2"/>
            </w:r>
            <w:r>
              <w:rPr>
                <w:sz w:val="24"/>
                <w:szCs w:val="24"/>
                <w:lang w:eastAsia="ru-RU"/>
              </w:rPr>
              <w:t xml:space="preserve">), руб.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</w:tcPr>
          <w:p>
            <w:pPr>
              <w:pBdr/>
              <w:spacing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Стоимость </w:t>
            </w:r>
            <w:r>
              <w:rPr>
                <w:lang w:eastAsia="ru-RU"/>
              </w:rPr>
              <w:t xml:space="preserve">(в т.ч. НДС, НДС не облагается</w:t>
            </w:r>
            <w:r>
              <w:rPr>
                <w:vertAlign w:val="superscript"/>
                <w:lang w:eastAsia="ru-RU"/>
              </w:rPr>
              <w:footnoteReference w:id="3"/>
            </w:r>
            <w:r>
              <w:rPr>
                <w:lang w:eastAsia="ru-RU"/>
              </w:rPr>
              <w:t xml:space="preserve">),</w:t>
            </w:r>
            <w:r>
              <w:rPr>
                <w:sz w:val="24"/>
                <w:szCs w:val="24"/>
                <w:lang w:eastAsia="ru-RU"/>
              </w:rPr>
              <w:t xml:space="preserve"> руб.</w:t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>
          <w:trHeight w:val="452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9" w:type="dxa"/>
            <w:vAlign w:val="center"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167" w:type="dxa"/>
            <w:vAlign w:val="center"/>
          </w:tcPr>
          <w:p w14:paraId="5AAA756C">
            <w:pPr>
              <w:widowControl w:val="false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2324"/>
              </w:tabs>
              <w:spacing/>
              <w:ind w:right="21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Огнетушитель ОВЭ-4 (з) АВСЕ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 xml:space="preserve">Масса заряда: </w:t>
            </w:r>
            <w:r>
              <w:rPr>
                <w:sz w:val="24"/>
                <w:szCs w:val="24"/>
              </w:rPr>
              <w:t xml:space="preserve">4 кг)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  <w:p w14:paraId="588FA718">
            <w:pPr>
              <w:widowControl w:val="false"/>
              <w:pBdr/>
              <w:tabs>
                <w:tab w:val="left" w:leader="none" w:pos="2324"/>
              </w:tabs>
              <w:spacing/>
              <w:ind w:right="21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Страна происхождения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center"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Шт.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</w:tcPr>
          <w:p>
            <w:pPr>
              <w:pBdr/>
              <w:spacing/>
              <w: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</w:tcPr>
          <w:p>
            <w:pPr>
              <w:pBdr/>
              <w:spacing/>
              <w: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452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15" w:type="dxa"/>
            <w:vAlign w:val="center"/>
          </w:tcPr>
          <w:p>
            <w:pPr>
              <w:pBdr/>
              <w:spacing/>
              <w:ind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Итого</w:t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</w:tcPr>
          <w:p>
            <w:pPr>
              <w:pBdr/>
              <w:spacing/>
              <w: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</w:tcPr>
          <w:p>
            <w:pPr>
              <w:pBdr/>
              <w:spacing/>
              <w: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pStyle w:val="980"/>
        <w:pBdr/>
        <w:spacing/>
        <w:ind/>
        <w:rPr/>
      </w:pPr>
      <w:r/>
      <w:r/>
    </w:p>
    <w:p>
      <w:pPr>
        <w:pStyle w:val="980"/>
        <w:pBdr/>
        <w:spacing/>
        <w:ind/>
        <w:rPr/>
      </w:pPr>
      <w:r/>
      <w:r/>
    </w:p>
    <w:tbl>
      <w:tblPr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5669"/>
        <w:gridCol w:w="5244"/>
      </w:tblGrid>
      <w:tr>
        <w:trPr/>
        <w:tc>
          <w:tcPr>
            <w:tcBorders/>
            <w:tcW w:w="5669" w:type="dxa"/>
          </w:tcPr>
          <w:p>
            <w:pPr>
              <w:widowControl w:val="false"/>
              <w:pBdr/>
              <w:spacing/>
              <w:ind w:left="-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Заказчик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widowControl w:val="false"/>
              <w:pBdr/>
              <w:spacing/>
              <w:ind w:left="-10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Директор  </w:t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Borders/>
            <w:tcW w:w="5244" w:type="dxa"/>
          </w:tcPr>
          <w:p>
            <w:pPr>
              <w:widowControl w:val="false"/>
              <w:pBdr/>
              <w:tabs>
                <w:tab w:val="left" w:leader="none" w:pos="2324"/>
              </w:tabs>
              <w:spacing/>
              <w:ind w:right="21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Поставщик</w:t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Borders/>
            <w:tcW w:w="5669" w:type="dxa"/>
          </w:tcPr>
          <w:p>
            <w:pPr>
              <w:widowControl w:val="false"/>
              <w:pBdr/>
              <w:tabs>
                <w:tab w:val="left" w:leader="none" w:pos="2324"/>
              </w:tabs>
              <w:spacing/>
              <w:ind w:right="21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  <w:p>
            <w:pPr>
              <w:widowControl w:val="false"/>
              <w:pBdr/>
              <w:spacing/>
              <w:ind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___________________ /</w:t>
            </w:r>
            <w:r>
              <w:rPr>
                <w:sz w:val="24"/>
                <w:szCs w:val="24"/>
              </w:rPr>
              <w:t xml:space="preserve"> Н.Е. Гаевская /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  <w:p>
            <w:pPr>
              <w:widowControl w:val="false"/>
              <w:pBdr/>
              <w:tabs>
                <w:tab w:val="left" w:leader="none" w:pos="2324"/>
              </w:tabs>
              <w:spacing/>
              <w:ind w:right="21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   Э.П.</w:t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  <w:tc>
          <w:tcPr>
            <w:tcBorders/>
            <w:tcW w:w="5244" w:type="dxa"/>
          </w:tcPr>
          <w:p>
            <w:pPr>
              <w:widowControl w:val="false"/>
              <w:pBdr/>
              <w:tabs>
                <w:tab w:val="left" w:leader="none" w:pos="2324"/>
              </w:tabs>
              <w:spacing/>
              <w:ind w:right="21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  <w:p>
            <w:pPr>
              <w:widowControl w:val="false"/>
              <w:pBdr/>
              <w:tabs>
                <w:tab w:val="left" w:leader="none" w:pos="2324"/>
              </w:tabs>
              <w:spacing/>
              <w:ind w:right="21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____________________ /_____________ /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  <w:p>
            <w:pPr>
              <w:widowControl w:val="false"/>
              <w:pBdr/>
              <w:spacing/>
              <w:ind w:firstLine="709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 Э.П.</w:t>
            </w: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  <w:p>
            <w:pPr>
              <w:widowControl w:val="false"/>
              <w:pBdr/>
              <w:tabs>
                <w:tab w:val="left" w:leader="none" w:pos="2324"/>
              </w:tabs>
              <w:spacing/>
              <w:ind w:right="21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  <w:r>
              <w:rPr>
                <w:sz w:val="24"/>
                <w:szCs w:val="24"/>
                <w:lang w:eastAsia="ru-RU"/>
              </w:rPr>
            </w:r>
          </w:p>
        </w:tc>
      </w:tr>
    </w:tbl>
    <w:p>
      <w:pPr>
        <w:pStyle w:val="980"/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567" w:right="567" w:bottom="567" w:left="567" w:header="284" w:footer="284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Calibri">
    <w:panose1 w:val="020F0502020204030204"/>
  </w:font>
  <w:font w:name="Andale Sans UI">
    <w:panose1 w:val="05040102010807070707"/>
  </w:font>
  <w:font w:name="Tahoma">
    <w:panose1 w:val="020B0604030504040204"/>
  </w:font>
  <w:font w:name="Arial Unicode MS">
    <w:panose1 w:val="020B0604020202020204"/>
  </w:font>
  <w:font w:name="Mangal">
    <w:panose1 w:val="02040503050406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  <w:footnote w:id="2">
    <w:p>
      <w:pPr>
        <w:pStyle w:val="924"/>
        <w:pBdr/>
        <w:spacing/>
        <w:ind/>
        <w:rPr>
          <w:rFonts w:cs="Calibri"/>
          <w:sz w:val="16"/>
          <w:szCs w:val="16"/>
        </w:rPr>
      </w:pPr>
      <w:r>
        <w:rPr>
          <w:rStyle w:val="926"/>
          <w:sz w:val="16"/>
          <w:szCs w:val="16"/>
        </w:rPr>
        <w:footnoteRef/>
      </w:r>
      <w:r>
        <w:rPr>
          <w:sz w:val="16"/>
          <w:szCs w:val="16"/>
        </w:rPr>
        <w:t xml:space="preserve"> В случае работы Исполнителя по упрощенной системе налогообложения.</w:t>
      </w:r>
      <w:r>
        <w:rPr>
          <w:rFonts w:cs="Calibri"/>
          <w:sz w:val="16"/>
          <w:szCs w:val="16"/>
        </w:rPr>
      </w:r>
      <w:r>
        <w:rPr>
          <w:rFonts w:cs="Calibri"/>
          <w:sz w:val="16"/>
          <w:szCs w:val="16"/>
        </w:rPr>
      </w:r>
    </w:p>
  </w:footnote>
  <w:footnote w:id="3">
    <w:p>
      <w:pPr>
        <w:pStyle w:val="924"/>
        <w:pBdr/>
        <w:spacing/>
        <w:ind/>
        <w:rPr>
          <w:sz w:val="16"/>
          <w:szCs w:val="16"/>
        </w:rPr>
      </w:pPr>
      <w:r>
        <w:rPr>
          <w:rStyle w:val="926"/>
        </w:rPr>
        <w:footnoteRef/>
      </w:r>
      <w:r>
        <w:rPr>
          <w:sz w:val="16"/>
          <w:szCs w:val="16"/>
        </w:rPr>
        <w:t xml:space="preserve">В случае работы Исполнителя по упрощенной системе налогообложения.</w:t>
      </w:r>
      <w:r>
        <w:rPr>
          <w:sz w:val="16"/>
          <w:szCs w:val="16"/>
        </w:rPr>
      </w:r>
      <w:r>
        <w:rPr>
          <w:sz w:val="16"/>
          <w:szCs w:val="16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71657"/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">
    <w:nsid w:val="2563754C"/>
    <w:lvl w:ilvl="0">
      <w:isLgl w:val="false"/>
      <w:lvlJc w:val="left"/>
      <w:lvlText w:val=""/>
      <w:numFmt w:val="decimal"/>
      <w:pPr>
        <w:pBdr/>
        <w:tabs>
          <w:tab w:val="num" w:leader="none" w:pos="432"/>
        </w:tabs>
        <w:spacing/>
        <w:ind w:hanging="432" w:left="432"/>
      </w:pPr>
      <w:pStyle w:val="736"/>
      <w:rPr/>
      <w:start w:val="1"/>
      <w:suff w:val="nothing"/>
    </w:lvl>
    <w:lvl w:ilvl="1">
      <w:isLgl w:val="false"/>
      <w:lvlJc w:val="left"/>
      <w:lvlText w:val=""/>
      <w:numFmt w:val="decimal"/>
      <w:pPr>
        <w:pBdr/>
        <w:tabs>
          <w:tab w:val="num" w:leader="none" w:pos="576"/>
        </w:tabs>
        <w:spacing/>
        <w:ind w:hanging="576" w:left="576"/>
      </w:pPr>
      <w:rPr/>
      <w:start w:val="1"/>
      <w:suff w:val="nothing"/>
    </w:lvl>
    <w:lvl w:ilvl="2">
      <w:isLgl w:val="false"/>
      <w:lvlJc w:val="left"/>
      <w:lvlText w:val=""/>
      <w:numFmt w:val="decimal"/>
      <w:pPr>
        <w:pBdr/>
        <w:tabs>
          <w:tab w:val="num" w:leader="none" w:pos="720"/>
        </w:tabs>
        <w:spacing/>
        <w:ind w:hanging="720" w:left="720"/>
      </w:pPr>
      <w:rPr/>
      <w:start w:val="1"/>
      <w:suff w:val="nothing"/>
    </w:lvl>
    <w:lvl w:ilvl="3">
      <w:isLgl w:val="false"/>
      <w:lvlJc w:val="left"/>
      <w:lvlText w:val=""/>
      <w:numFmt w:val="decimal"/>
      <w:pPr>
        <w:pBdr/>
        <w:tabs>
          <w:tab w:val="num" w:leader="none" w:pos="864"/>
        </w:tabs>
        <w:spacing/>
        <w:ind w:hanging="864" w:left="864"/>
      </w:pPr>
      <w:rPr/>
      <w:start w:val="1"/>
      <w:suff w:val="nothing"/>
    </w:lvl>
    <w:lvl w:ilvl="4">
      <w:isLgl w:val="false"/>
      <w:lvlJc w:val="left"/>
      <w:lvlText w:val=""/>
      <w:numFmt w:val="decimal"/>
      <w:pPr>
        <w:pBdr/>
        <w:tabs>
          <w:tab w:val="num" w:leader="none" w:pos="1008"/>
        </w:tabs>
        <w:spacing/>
        <w:ind w:hanging="1008" w:left="1008"/>
      </w:pPr>
      <w:rPr/>
      <w:start w:val="1"/>
      <w:suff w:val="nothing"/>
    </w:lvl>
    <w:lvl w:ilvl="5">
      <w:isLgl w:val="false"/>
      <w:lvlJc w:val="left"/>
      <w:lvlText w:val=""/>
      <w:numFmt w:val="decimal"/>
      <w:pPr>
        <w:pBdr/>
        <w:tabs>
          <w:tab w:val="num" w:leader="none" w:pos="1152"/>
        </w:tabs>
        <w:spacing/>
        <w:ind w:hanging="1152" w:left="1152"/>
      </w:pPr>
      <w:rPr/>
      <w:start w:val="1"/>
      <w:suff w:val="nothing"/>
    </w:lvl>
    <w:lvl w:ilvl="6">
      <w:isLgl w:val="false"/>
      <w:lvlJc w:val="left"/>
      <w:lvlText w:val=""/>
      <w:numFmt w:val="decimal"/>
      <w:pPr>
        <w:pBdr/>
        <w:tabs>
          <w:tab w:val="num" w:leader="none" w:pos="1296"/>
        </w:tabs>
        <w:spacing/>
        <w:ind w:hanging="1296" w:left="1296"/>
      </w:pPr>
      <w:rPr/>
      <w:start w:val="1"/>
      <w:suff w:val="nothing"/>
    </w:lvl>
    <w:lvl w:ilvl="7">
      <w:isLgl w:val="false"/>
      <w:lvlJc w:val="left"/>
      <w:lvlText w:val=""/>
      <w:numFmt w:val="decimal"/>
      <w:pPr>
        <w:pBdr/>
        <w:tabs>
          <w:tab w:val="num" w:leader="none" w:pos="1440"/>
        </w:tabs>
        <w:spacing/>
        <w:ind w:hanging="1440" w:left="1440"/>
      </w:pPr>
      <w:rPr/>
      <w:start w:val="1"/>
      <w:suff w:val="nothing"/>
    </w:lvl>
    <w:lvl w:ilvl="8">
      <w:isLgl w:val="false"/>
      <w:lvlJc w:val="left"/>
      <w:lvlText w:val=""/>
      <w:numFmt w:val="decimal"/>
      <w:pPr>
        <w:pBdr/>
        <w:tabs>
          <w:tab w:val="num" w:leader="none" w:pos="1584"/>
        </w:tabs>
        <w:spacing/>
        <w:ind w:hanging="1584" w:left="1584"/>
      </w:pPr>
      <w:rPr/>
      <w:start w:val="1"/>
      <w:suff w:val="nothing"/>
    </w:lvl>
  </w:abstractNum>
  <w:abstractNum w:abstractNumId="2">
    <w:nsid w:val="2AA40795"/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30196F61"/>
    <w:lvl w:ilvl="0">
      <w:isLgl w:val="false"/>
      <w:lvlJc w:val="left"/>
      <w:lvlText w:val="%1."/>
      <w:numFmt w:val="decimal"/>
      <w:pPr>
        <w:pBdr/>
        <w:spacing/>
        <w:ind w:hanging="360" w:left="54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26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9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70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42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14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86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58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300"/>
      </w:pPr>
      <w:rPr/>
      <w:start w:val="1"/>
      <w:suff w:val="tab"/>
    </w:lvl>
  </w:abstractNum>
  <w:abstractNum w:abstractNumId="4">
    <w:nsid w:val="4F5D6B17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5" w:default="1">
    <w:name w:val="Normal"/>
    <w:qFormat/>
    <w:pPr>
      <w:pBdr/>
      <w:spacing/>
      <w:ind/>
    </w:pPr>
    <w:rPr>
      <w:lang w:eastAsia="ar-SA"/>
    </w:rPr>
  </w:style>
  <w:style w:type="paragraph" w:styleId="736">
    <w:name w:val="Heading 1"/>
    <w:basedOn w:val="735"/>
    <w:next w:val="980"/>
    <w:link w:val="773"/>
    <w:qFormat/>
    <w:pPr>
      <w:keepNext w:val="true"/>
      <w:numPr>
        <w:numId w:val="1"/>
      </w:numPr>
      <w:pBdr/>
      <w:tabs>
        <w:tab w:val="left" w:leader="none" w:pos="0"/>
      </w:tabs>
      <w:spacing/>
      <w:ind w:right="-1333" w:firstLine="284" w:left="0"/>
      <w:outlineLvl w:val="0"/>
    </w:pPr>
    <w:rPr>
      <w:sz w:val="24"/>
    </w:rPr>
  </w:style>
  <w:style w:type="paragraph" w:styleId="737">
    <w:name w:val="Heading 2"/>
    <w:basedOn w:val="735"/>
    <w:next w:val="735"/>
    <w:link w:val="774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38">
    <w:name w:val="Heading 3"/>
    <w:basedOn w:val="735"/>
    <w:next w:val="735"/>
    <w:link w:val="775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39">
    <w:name w:val="Heading 4"/>
    <w:basedOn w:val="735"/>
    <w:next w:val="735"/>
    <w:link w:val="776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0">
    <w:name w:val="Heading 5"/>
    <w:basedOn w:val="735"/>
    <w:next w:val="735"/>
    <w:link w:val="777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41">
    <w:name w:val="Heading 6"/>
    <w:basedOn w:val="735"/>
    <w:next w:val="735"/>
    <w:link w:val="778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42">
    <w:name w:val="Heading 7"/>
    <w:basedOn w:val="735"/>
    <w:next w:val="735"/>
    <w:link w:val="779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43">
    <w:name w:val="Heading 8"/>
    <w:basedOn w:val="735"/>
    <w:next w:val="735"/>
    <w:link w:val="780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44">
    <w:name w:val="Heading 9"/>
    <w:basedOn w:val="735"/>
    <w:next w:val="735"/>
    <w:link w:val="781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5" w:default="1">
    <w:name w:val="Default Paragraph Font"/>
    <w:uiPriority w:val="1"/>
    <w:semiHidden/>
    <w:unhideWhenUsed/>
    <w:pPr>
      <w:pBdr/>
      <w:spacing/>
      <w:ind/>
    </w:pPr>
  </w:style>
  <w:style w:type="table" w:styleId="74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47" w:default="1">
    <w:name w:val="No List"/>
    <w:uiPriority w:val="99"/>
    <w:semiHidden/>
    <w:unhideWhenUsed/>
    <w:pPr>
      <w:pBdr/>
      <w:spacing/>
      <w:ind/>
    </w:pPr>
  </w:style>
  <w:style w:type="character" w:styleId="748">
    <w:name w:val="Intense Emphasis"/>
    <w:basedOn w:val="745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character" w:styleId="749">
    <w:name w:val="Intense Reference"/>
    <w:basedOn w:val="745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character" w:styleId="750">
    <w:name w:val="Subtle Emphasis"/>
    <w:basedOn w:val="74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51">
    <w:name w:val="Emphasis"/>
    <w:basedOn w:val="745"/>
    <w:uiPriority w:val="20"/>
    <w:qFormat/>
    <w:pPr>
      <w:pBdr/>
      <w:spacing/>
      <w:ind/>
    </w:pPr>
    <w:rPr>
      <w:i/>
      <w:iCs/>
    </w:rPr>
  </w:style>
  <w:style w:type="character" w:styleId="752">
    <w:name w:val="Subtle Reference"/>
    <w:basedOn w:val="74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53">
    <w:name w:val="Book Title"/>
    <w:basedOn w:val="745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54">
    <w:name w:val="FollowedHyperlink"/>
    <w:basedOn w:val="745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character" w:styleId="755">
    <w:name w:val="Placeholder Text"/>
    <w:basedOn w:val="745"/>
    <w:uiPriority w:val="99"/>
    <w:semiHidden/>
    <w:pPr>
      <w:pBdr/>
      <w:spacing/>
      <w:ind/>
    </w:pPr>
    <w:rPr>
      <w:color w:val="666666"/>
    </w:rPr>
  </w:style>
  <w:style w:type="character" w:styleId="756" w:customStyle="1">
    <w:name w:val="Heading 1 Char"/>
    <w:basedOn w:val="745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57" w:customStyle="1">
    <w:name w:val="Heading 2 Char"/>
    <w:basedOn w:val="745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58" w:customStyle="1">
    <w:name w:val="Heading 3 Char"/>
    <w:basedOn w:val="745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59" w:customStyle="1">
    <w:name w:val="Heading 4 Char"/>
    <w:basedOn w:val="745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60" w:customStyle="1">
    <w:name w:val="Heading 5 Char"/>
    <w:basedOn w:val="745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61" w:customStyle="1">
    <w:name w:val="Heading 6 Char"/>
    <w:basedOn w:val="745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62" w:customStyle="1">
    <w:name w:val="Heading 7 Char"/>
    <w:basedOn w:val="74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3" w:customStyle="1">
    <w:name w:val="Heading 8 Char"/>
    <w:basedOn w:val="745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64" w:customStyle="1">
    <w:name w:val="Heading 9 Char"/>
    <w:basedOn w:val="745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65" w:customStyle="1">
    <w:name w:val="Title Char"/>
    <w:basedOn w:val="745"/>
    <w:uiPriority w:val="10"/>
    <w:pPr>
      <w:pBdr/>
      <w:spacing/>
      <w:ind/>
    </w:pPr>
    <w:rPr>
      <w:sz w:val="48"/>
      <w:szCs w:val="48"/>
    </w:rPr>
  </w:style>
  <w:style w:type="character" w:styleId="766" w:customStyle="1">
    <w:name w:val="Subtitle Char"/>
    <w:basedOn w:val="745"/>
    <w:uiPriority w:val="11"/>
    <w:pPr>
      <w:pBdr/>
      <w:spacing/>
      <w:ind/>
    </w:pPr>
    <w:rPr>
      <w:sz w:val="24"/>
      <w:szCs w:val="24"/>
    </w:rPr>
  </w:style>
  <w:style w:type="character" w:styleId="767" w:customStyle="1">
    <w:name w:val="Quote Char"/>
    <w:uiPriority w:val="29"/>
    <w:pPr>
      <w:pBdr/>
      <w:spacing/>
      <w:ind/>
    </w:pPr>
    <w:rPr>
      <w:i/>
    </w:rPr>
  </w:style>
  <w:style w:type="character" w:styleId="768" w:customStyle="1">
    <w:name w:val="Intense Quote Char"/>
    <w:uiPriority w:val="30"/>
    <w:pPr>
      <w:pBdr/>
      <w:spacing/>
      <w:ind/>
    </w:pPr>
    <w:rPr>
      <w:i/>
    </w:rPr>
  </w:style>
  <w:style w:type="character" w:styleId="769" w:customStyle="1">
    <w:name w:val="Header Char"/>
    <w:basedOn w:val="745"/>
    <w:uiPriority w:val="99"/>
    <w:pPr>
      <w:pBdr/>
      <w:spacing/>
      <w:ind/>
    </w:pPr>
  </w:style>
  <w:style w:type="character" w:styleId="770" w:customStyle="1">
    <w:name w:val="Caption Char"/>
    <w:basedOn w:val="745"/>
    <w:uiPriority w:val="35"/>
    <w:pPr>
      <w:pBdr/>
      <w:spacing/>
      <w:ind/>
    </w:pPr>
    <w:rPr>
      <w:b/>
      <w:bCs/>
      <w:color w:val="4f81bd" w:themeColor="accent1"/>
      <w:sz w:val="18"/>
      <w:szCs w:val="18"/>
    </w:rPr>
  </w:style>
  <w:style w:type="character" w:styleId="771" w:customStyle="1">
    <w:name w:val="Footnote Text Char"/>
    <w:uiPriority w:val="99"/>
    <w:pPr>
      <w:pBdr/>
      <w:spacing/>
      <w:ind/>
    </w:pPr>
    <w:rPr>
      <w:sz w:val="18"/>
    </w:rPr>
  </w:style>
  <w:style w:type="character" w:styleId="772" w:customStyle="1">
    <w:name w:val="Endnote Text Char"/>
    <w:uiPriority w:val="99"/>
    <w:pPr>
      <w:pBdr/>
      <w:spacing/>
      <w:ind/>
    </w:pPr>
    <w:rPr>
      <w:sz w:val="20"/>
    </w:rPr>
  </w:style>
  <w:style w:type="character" w:styleId="773" w:customStyle="1">
    <w:name w:val="Заголовок 1 Знак"/>
    <w:basedOn w:val="745"/>
    <w:link w:val="736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74" w:customStyle="1">
    <w:name w:val="Заголовок 2 Знак"/>
    <w:basedOn w:val="745"/>
    <w:link w:val="737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75" w:customStyle="1">
    <w:name w:val="Заголовок 3 Знак"/>
    <w:basedOn w:val="745"/>
    <w:link w:val="738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76" w:customStyle="1">
    <w:name w:val="Заголовок 4 Знак"/>
    <w:basedOn w:val="745"/>
    <w:link w:val="73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77" w:customStyle="1">
    <w:name w:val="Заголовок 5 Знак"/>
    <w:basedOn w:val="745"/>
    <w:link w:val="740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78" w:customStyle="1">
    <w:name w:val="Заголовок 6 Знак"/>
    <w:basedOn w:val="745"/>
    <w:link w:val="741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79" w:customStyle="1">
    <w:name w:val="Заголовок 7 Знак"/>
    <w:basedOn w:val="745"/>
    <w:link w:val="742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80" w:customStyle="1">
    <w:name w:val="Заголовок 8 Знак"/>
    <w:basedOn w:val="745"/>
    <w:link w:val="743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81" w:customStyle="1">
    <w:name w:val="Заголовок 9 Знак"/>
    <w:basedOn w:val="745"/>
    <w:link w:val="744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82">
    <w:name w:val="List Paragraph"/>
    <w:basedOn w:val="735"/>
    <w:uiPriority w:val="34"/>
    <w:qFormat/>
    <w:pPr>
      <w:pBdr/>
      <w:spacing/>
      <w:ind w:left="720"/>
      <w:contextualSpacing w:val="true"/>
    </w:pPr>
  </w:style>
  <w:style w:type="paragraph" w:styleId="783">
    <w:name w:val="No Spacing"/>
    <w:uiPriority w:val="1"/>
    <w:qFormat/>
    <w:pPr>
      <w:pBdr/>
      <w:spacing/>
      <w:ind/>
    </w:pPr>
  </w:style>
  <w:style w:type="paragraph" w:styleId="784">
    <w:name w:val="Title"/>
    <w:basedOn w:val="735"/>
    <w:next w:val="980"/>
    <w:link w:val="785"/>
    <w:pPr>
      <w:keepNext w:val="true"/>
      <w:pBdr/>
      <w:spacing w:after="120" w:before="240"/>
      <w:ind/>
    </w:pPr>
    <w:rPr>
      <w:rFonts w:ascii="Arial" w:hAnsi="Arial" w:eastAsia="Arial Unicode MS" w:cs="Mangal"/>
      <w:sz w:val="28"/>
      <w:szCs w:val="28"/>
    </w:rPr>
  </w:style>
  <w:style w:type="character" w:styleId="785" w:customStyle="1">
    <w:name w:val="Заголовок Знак"/>
    <w:basedOn w:val="745"/>
    <w:link w:val="784"/>
    <w:uiPriority w:val="10"/>
    <w:pPr>
      <w:pBdr/>
      <w:spacing/>
      <w:ind/>
    </w:pPr>
    <w:rPr>
      <w:sz w:val="48"/>
      <w:szCs w:val="48"/>
    </w:rPr>
  </w:style>
  <w:style w:type="paragraph" w:styleId="786">
    <w:name w:val="Subtitle"/>
    <w:basedOn w:val="735"/>
    <w:next w:val="735"/>
    <w:link w:val="78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787" w:customStyle="1">
    <w:name w:val="Подзаголовок Знак"/>
    <w:basedOn w:val="745"/>
    <w:link w:val="786"/>
    <w:uiPriority w:val="11"/>
    <w:pPr>
      <w:pBdr/>
      <w:spacing/>
      <w:ind/>
    </w:pPr>
    <w:rPr>
      <w:sz w:val="24"/>
      <w:szCs w:val="24"/>
    </w:rPr>
  </w:style>
  <w:style w:type="paragraph" w:styleId="788">
    <w:name w:val="Quote"/>
    <w:basedOn w:val="735"/>
    <w:next w:val="735"/>
    <w:link w:val="789"/>
    <w:uiPriority w:val="29"/>
    <w:qFormat/>
    <w:pPr>
      <w:pBdr/>
      <w:spacing/>
      <w:ind w:right="720" w:left="720"/>
    </w:pPr>
    <w:rPr>
      <w:i/>
    </w:rPr>
  </w:style>
  <w:style w:type="character" w:styleId="789" w:customStyle="1">
    <w:name w:val="Цитата 2 Знак"/>
    <w:link w:val="788"/>
    <w:uiPriority w:val="29"/>
    <w:pPr>
      <w:pBdr/>
      <w:spacing/>
      <w:ind/>
    </w:pPr>
    <w:rPr>
      <w:i/>
    </w:rPr>
  </w:style>
  <w:style w:type="paragraph" w:styleId="790">
    <w:name w:val="Intense Quote"/>
    <w:basedOn w:val="735"/>
    <w:next w:val="735"/>
    <w:link w:val="79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791" w:customStyle="1">
    <w:name w:val="Выделенная цитата Знак"/>
    <w:link w:val="790"/>
    <w:uiPriority w:val="30"/>
    <w:pPr>
      <w:pBdr/>
      <w:spacing/>
      <w:ind/>
    </w:pPr>
    <w:rPr>
      <w:i/>
    </w:rPr>
  </w:style>
  <w:style w:type="paragraph" w:styleId="792">
    <w:name w:val="Header"/>
    <w:basedOn w:val="735"/>
    <w:link w:val="793"/>
    <w:pPr>
      <w:suppressLineNumbers w:val="true"/>
      <w:pBdr/>
      <w:tabs>
        <w:tab w:val="center" w:leader="none" w:pos="4677"/>
        <w:tab w:val="right" w:leader="none" w:pos="9355"/>
      </w:tabs>
      <w:spacing/>
      <w:ind/>
    </w:pPr>
  </w:style>
  <w:style w:type="character" w:styleId="793" w:customStyle="1">
    <w:name w:val="Верхний колонтитул Знак"/>
    <w:basedOn w:val="745"/>
    <w:link w:val="792"/>
    <w:uiPriority w:val="99"/>
    <w:pPr>
      <w:pBdr/>
      <w:spacing/>
      <w:ind/>
    </w:pPr>
  </w:style>
  <w:style w:type="paragraph" w:styleId="794">
    <w:name w:val="Footer"/>
    <w:basedOn w:val="735"/>
    <w:link w:val="996"/>
    <w:uiPriority w:val="99"/>
    <w:pPr>
      <w:suppressLineNumbers w:val="true"/>
      <w:pBdr/>
      <w:tabs>
        <w:tab w:val="center" w:leader="none" w:pos="4677"/>
        <w:tab w:val="right" w:leader="none" w:pos="9355"/>
      </w:tabs>
      <w:spacing/>
      <w:ind/>
    </w:pPr>
  </w:style>
  <w:style w:type="character" w:styleId="795" w:customStyle="1">
    <w:name w:val="Footer Char"/>
    <w:basedOn w:val="745"/>
    <w:uiPriority w:val="99"/>
    <w:pPr>
      <w:pBdr/>
      <w:spacing/>
      <w:ind/>
    </w:pPr>
  </w:style>
  <w:style w:type="character" w:styleId="796" w:customStyle="1">
    <w:name w:val="Название объекта Знак"/>
    <w:basedOn w:val="745"/>
    <w:link w:val="984"/>
    <w:uiPriority w:val="35"/>
    <w:pPr>
      <w:pBdr/>
      <w:spacing/>
      <w:ind/>
    </w:pPr>
    <w:rPr>
      <w:b/>
      <w:bCs/>
      <w:color w:val="4f81bd" w:themeColor="accent1"/>
      <w:sz w:val="18"/>
      <w:szCs w:val="18"/>
    </w:rPr>
  </w:style>
  <w:style w:type="table" w:styleId="797">
    <w:name w:val="Table Grid"/>
    <w:basedOn w:val="746"/>
    <w:uiPriority w:val="59"/>
    <w:pPr>
      <w:pBdr/>
      <w:spacing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Table Grid Light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Plain Table 1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Plain Table 2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Plain Table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Plain Table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Plain Table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1 Light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1 Light -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1 Light -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1 Light -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1 Light -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1 Light -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1 Light -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2 -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2 -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2 -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2 -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2 -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2 -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3 -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3 -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3 -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3 -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3 -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3 -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4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4 - Accent 1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4 - Accent 2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4 - Accent 3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Grid Table 4 - Accent 4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Grid Table 4 - Accent 5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4 - Accent 6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5 Dark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Grid Table 5 Dark-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5 Dark -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5 Dark -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Grid Table 5 Dark-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Grid Table 5 Dark -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Grid Table 5 Dark -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6 Colorful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Grid Table 6 Colorful -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Grid Table 6 Colorful -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6 Colorful -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Grid Table 6 Colorful -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Grid Table 6 Colorful -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Grid Table 6 Colorful -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7 Colorful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Grid Table 7 Colorful -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Grid Table 7 Colorful -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Grid Table 7 Colorful -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Grid Table 7 Colorful -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Grid Table 7 Colorful -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Grid Table 7 Colorful -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1 Light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1 Light -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1 Light -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1 Light -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1 Light -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1 Light -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1 Light -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2 -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2 -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2 -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2 -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2 -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2 -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3 -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3 -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3 -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3 -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3 -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3 -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4 -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4 -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4 -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st Table 4 -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st Table 4 -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4 -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5 Dark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st Table 5 Dark -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5 Dark -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5 Dark -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st Table 5 Dark -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st Table 5 Dark -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st Table 5 Dark -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6 Colorful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st Table 6 Colorful -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st Table 6 Colorful -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6 Colorful -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List Table 6 Colorful -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List Table 6 Colorful -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st Table 6 Colorful -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7 Colorful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7 Colorful -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7 Colorful -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7 Colorful -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List Table 7 Colorful -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st Table 7 Colorful -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st Table 7 Colorful -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ned - Accent"/>
    <w:uiPriority w:val="99"/>
    <w:pPr>
      <w:pBdr/>
      <w:spacing/>
      <w:ind/>
    </w:pPr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ned - Accent 1"/>
    <w:uiPriority w:val="99"/>
    <w:pPr>
      <w:pBdr/>
      <w:spacing/>
      <w:ind/>
    </w:pPr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ned - Accent 2"/>
    <w:uiPriority w:val="99"/>
    <w:pPr>
      <w:pBdr/>
      <w:spacing/>
      <w:ind/>
    </w:pPr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ned - Accent 3"/>
    <w:uiPriority w:val="99"/>
    <w:pPr>
      <w:pBdr/>
      <w:spacing/>
      <w:ind/>
    </w:pPr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Lined - Accent 4"/>
    <w:uiPriority w:val="99"/>
    <w:pPr>
      <w:pBdr/>
      <w:spacing/>
      <w:ind/>
    </w:pPr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ned - Accent 5"/>
    <w:uiPriority w:val="99"/>
    <w:pPr>
      <w:pBdr/>
      <w:spacing/>
      <w:ind/>
    </w:pPr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Lined - Accent 6"/>
    <w:link w:val="998"/>
    <w:uiPriority w:val="99"/>
    <w:pPr>
      <w:pBdr/>
      <w:spacing/>
      <w:ind/>
    </w:pPr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Bordered &amp; Lined - Accent"/>
    <w:uiPriority w:val="99"/>
    <w:pPr>
      <w:pBdr/>
      <w:spacing/>
      <w:ind/>
    </w:pPr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Bordered &amp; Lined - Accent 1"/>
    <w:uiPriority w:val="99"/>
    <w:pPr>
      <w:pBdr/>
      <w:spacing/>
      <w:ind/>
    </w:pPr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Bordered &amp; Lined - Accent 2"/>
    <w:uiPriority w:val="99"/>
    <w:pPr>
      <w:pBdr/>
      <w:spacing/>
      <w:ind/>
    </w:pPr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Bordered &amp; Lined - Accent 3"/>
    <w:uiPriority w:val="99"/>
    <w:pPr>
      <w:pBdr/>
      <w:spacing/>
      <w:ind/>
    </w:pPr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Bordered &amp; Lined - Accent 4"/>
    <w:uiPriority w:val="99"/>
    <w:pPr>
      <w:pBdr/>
      <w:spacing/>
      <w:ind/>
    </w:pPr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Bordered &amp; Lined - Accent 5"/>
    <w:uiPriority w:val="99"/>
    <w:pPr>
      <w:pBdr/>
      <w:spacing/>
      <w:ind/>
    </w:pPr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Bordered &amp; Lined - Accent 6"/>
    <w:uiPriority w:val="99"/>
    <w:pPr>
      <w:pBdr/>
      <w:spacing/>
      <w:ind/>
    </w:pPr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Bordered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Bordered - Accent 1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Bordered - Accent 2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Bordered - Accent 3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Bordered - Accent 4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Bordered - Accent 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Bordered - Accent 6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23">
    <w:name w:val="Hyperlink"/>
    <w:pPr>
      <w:pBdr/>
      <w:spacing/>
      <w:ind/>
    </w:pPr>
    <w:rPr>
      <w:color w:val="0000ff"/>
      <w:u w:val="single"/>
      <w:lang w:val="en-US" w:eastAsia="en-US" w:bidi="en-US"/>
    </w:rPr>
  </w:style>
  <w:style w:type="paragraph" w:styleId="924">
    <w:name w:val="footnote text"/>
    <w:basedOn w:val="735"/>
    <w:link w:val="925"/>
    <w:uiPriority w:val="99"/>
    <w:semiHidden/>
    <w:unhideWhenUsed/>
    <w:pPr>
      <w:pBdr/>
      <w:spacing w:after="40"/>
      <w:ind/>
    </w:pPr>
    <w:rPr>
      <w:sz w:val="18"/>
    </w:rPr>
  </w:style>
  <w:style w:type="character" w:styleId="925" w:customStyle="1">
    <w:name w:val="Текст сноски Знак"/>
    <w:link w:val="924"/>
    <w:uiPriority w:val="99"/>
    <w:pPr>
      <w:pBdr/>
      <w:spacing/>
      <w:ind/>
    </w:pPr>
    <w:rPr>
      <w:sz w:val="18"/>
    </w:rPr>
  </w:style>
  <w:style w:type="character" w:styleId="926">
    <w:name w:val="footnote reference"/>
    <w:basedOn w:val="745"/>
    <w:uiPriority w:val="99"/>
    <w:unhideWhenUsed/>
    <w:pPr>
      <w:pBdr/>
      <w:spacing/>
      <w:ind/>
    </w:pPr>
    <w:rPr>
      <w:vertAlign w:val="superscript"/>
    </w:rPr>
  </w:style>
  <w:style w:type="paragraph" w:styleId="927">
    <w:name w:val="endnote text"/>
    <w:basedOn w:val="735"/>
    <w:link w:val="928"/>
    <w:uiPriority w:val="99"/>
    <w:semiHidden/>
    <w:unhideWhenUsed/>
    <w:pPr>
      <w:pBdr/>
      <w:spacing/>
      <w:ind/>
    </w:pPr>
  </w:style>
  <w:style w:type="character" w:styleId="928" w:customStyle="1">
    <w:name w:val="Текст концевой сноски Знак"/>
    <w:link w:val="927"/>
    <w:uiPriority w:val="99"/>
    <w:pPr>
      <w:pBdr/>
      <w:spacing/>
      <w:ind/>
    </w:pPr>
    <w:rPr>
      <w:sz w:val="20"/>
    </w:rPr>
  </w:style>
  <w:style w:type="character" w:styleId="929">
    <w:name w:val="endnote reference"/>
    <w:basedOn w:val="745"/>
    <w:uiPriority w:val="99"/>
    <w:semiHidden/>
    <w:unhideWhenUsed/>
    <w:pPr>
      <w:pBdr/>
      <w:spacing/>
      <w:ind/>
    </w:pPr>
    <w:rPr>
      <w:vertAlign w:val="superscript"/>
    </w:rPr>
  </w:style>
  <w:style w:type="paragraph" w:styleId="930">
    <w:name w:val="toc 1"/>
    <w:basedOn w:val="735"/>
    <w:next w:val="735"/>
    <w:uiPriority w:val="39"/>
    <w:unhideWhenUsed/>
    <w:pPr>
      <w:pBdr/>
      <w:spacing w:after="57"/>
      <w:ind/>
    </w:pPr>
  </w:style>
  <w:style w:type="paragraph" w:styleId="931">
    <w:name w:val="toc 2"/>
    <w:basedOn w:val="735"/>
    <w:next w:val="735"/>
    <w:uiPriority w:val="39"/>
    <w:unhideWhenUsed/>
    <w:pPr>
      <w:pBdr/>
      <w:spacing w:after="57"/>
      <w:ind w:left="283"/>
    </w:pPr>
  </w:style>
  <w:style w:type="paragraph" w:styleId="932">
    <w:name w:val="toc 3"/>
    <w:basedOn w:val="735"/>
    <w:next w:val="735"/>
    <w:uiPriority w:val="39"/>
    <w:unhideWhenUsed/>
    <w:pPr>
      <w:pBdr/>
      <w:spacing w:after="57"/>
      <w:ind w:left="567"/>
    </w:pPr>
  </w:style>
  <w:style w:type="paragraph" w:styleId="933">
    <w:name w:val="toc 4"/>
    <w:basedOn w:val="735"/>
    <w:next w:val="735"/>
    <w:uiPriority w:val="39"/>
    <w:unhideWhenUsed/>
    <w:pPr>
      <w:pBdr/>
      <w:spacing w:after="57"/>
      <w:ind w:left="850"/>
    </w:pPr>
  </w:style>
  <w:style w:type="paragraph" w:styleId="934">
    <w:name w:val="toc 5"/>
    <w:basedOn w:val="735"/>
    <w:next w:val="735"/>
    <w:uiPriority w:val="39"/>
    <w:unhideWhenUsed/>
    <w:pPr>
      <w:pBdr/>
      <w:spacing w:after="57"/>
      <w:ind w:left="1134"/>
    </w:pPr>
  </w:style>
  <w:style w:type="paragraph" w:styleId="935">
    <w:name w:val="toc 6"/>
    <w:basedOn w:val="735"/>
    <w:next w:val="735"/>
    <w:uiPriority w:val="39"/>
    <w:unhideWhenUsed/>
    <w:pPr>
      <w:pBdr/>
      <w:spacing w:after="57"/>
      <w:ind w:left="1417"/>
    </w:pPr>
  </w:style>
  <w:style w:type="paragraph" w:styleId="936">
    <w:name w:val="toc 7"/>
    <w:basedOn w:val="735"/>
    <w:next w:val="735"/>
    <w:uiPriority w:val="39"/>
    <w:unhideWhenUsed/>
    <w:pPr>
      <w:pBdr/>
      <w:spacing w:after="57"/>
      <w:ind w:left="1701"/>
    </w:pPr>
  </w:style>
  <w:style w:type="paragraph" w:styleId="937">
    <w:name w:val="toc 8"/>
    <w:basedOn w:val="735"/>
    <w:next w:val="735"/>
    <w:uiPriority w:val="39"/>
    <w:unhideWhenUsed/>
    <w:pPr>
      <w:pBdr/>
      <w:spacing w:after="57"/>
      <w:ind w:left="1984"/>
    </w:pPr>
  </w:style>
  <w:style w:type="paragraph" w:styleId="938">
    <w:name w:val="toc 9"/>
    <w:basedOn w:val="735"/>
    <w:next w:val="735"/>
    <w:uiPriority w:val="39"/>
    <w:unhideWhenUsed/>
    <w:pPr>
      <w:pBdr/>
      <w:spacing w:after="57"/>
      <w:ind w:left="2268"/>
    </w:pPr>
  </w:style>
  <w:style w:type="paragraph" w:styleId="939">
    <w:name w:val="TOC Heading"/>
    <w:uiPriority w:val="39"/>
    <w:unhideWhenUsed/>
    <w:pPr>
      <w:pBdr/>
      <w:spacing/>
      <w:ind/>
    </w:pPr>
  </w:style>
  <w:style w:type="paragraph" w:styleId="940">
    <w:name w:val="table of figures"/>
    <w:basedOn w:val="735"/>
    <w:next w:val="735"/>
    <w:uiPriority w:val="99"/>
    <w:unhideWhenUsed/>
    <w:pPr>
      <w:pBdr/>
      <w:spacing/>
      <w:ind/>
    </w:pPr>
  </w:style>
  <w:style w:type="character" w:styleId="941" w:customStyle="1">
    <w:name w:val="WW8Num1z0"/>
    <w:pPr>
      <w:pBdr/>
      <w:spacing/>
      <w:ind/>
    </w:pPr>
  </w:style>
  <w:style w:type="character" w:styleId="942" w:customStyle="1">
    <w:name w:val="WW8Num1z1"/>
    <w:pPr>
      <w:pBdr/>
      <w:spacing/>
      <w:ind/>
    </w:pPr>
  </w:style>
  <w:style w:type="character" w:styleId="943" w:customStyle="1">
    <w:name w:val="WW8Num1z2"/>
    <w:pPr>
      <w:pBdr/>
      <w:spacing/>
      <w:ind/>
    </w:pPr>
  </w:style>
  <w:style w:type="character" w:styleId="944" w:customStyle="1">
    <w:name w:val="WW8Num1z3"/>
    <w:pPr>
      <w:pBdr/>
      <w:spacing/>
      <w:ind/>
    </w:pPr>
  </w:style>
  <w:style w:type="character" w:styleId="945" w:customStyle="1">
    <w:name w:val="WW8Num1z4"/>
    <w:pPr>
      <w:pBdr/>
      <w:spacing/>
      <w:ind/>
    </w:pPr>
  </w:style>
  <w:style w:type="character" w:styleId="946" w:customStyle="1">
    <w:name w:val="WW8Num1z5"/>
    <w:pPr>
      <w:pBdr/>
      <w:spacing/>
      <w:ind/>
    </w:pPr>
  </w:style>
  <w:style w:type="character" w:styleId="947" w:customStyle="1">
    <w:name w:val="WW8Num1z6"/>
    <w:pPr>
      <w:pBdr/>
      <w:spacing/>
      <w:ind/>
    </w:pPr>
  </w:style>
  <w:style w:type="character" w:styleId="948" w:customStyle="1">
    <w:name w:val="WW8Num1z7"/>
    <w:pPr>
      <w:pBdr/>
      <w:spacing/>
      <w:ind/>
    </w:pPr>
  </w:style>
  <w:style w:type="character" w:styleId="949" w:customStyle="1">
    <w:name w:val="WW8Num1z8"/>
    <w:pPr>
      <w:pBdr/>
      <w:spacing/>
      <w:ind/>
    </w:pPr>
  </w:style>
  <w:style w:type="character" w:styleId="950" w:customStyle="1">
    <w:name w:val="WW8Num2z0"/>
    <w:pPr>
      <w:pBdr/>
      <w:spacing/>
      <w:ind/>
    </w:pPr>
  </w:style>
  <w:style w:type="character" w:styleId="951" w:customStyle="1">
    <w:name w:val="WW8Num3z0"/>
    <w:pPr>
      <w:pBdr/>
      <w:spacing/>
      <w:ind/>
    </w:pPr>
  </w:style>
  <w:style w:type="character" w:styleId="952" w:customStyle="1">
    <w:name w:val="WW8Num3z1"/>
    <w:pPr>
      <w:pBdr/>
      <w:spacing/>
      <w:ind/>
    </w:pPr>
  </w:style>
  <w:style w:type="character" w:styleId="953" w:customStyle="1">
    <w:name w:val="WW8Num3z2"/>
    <w:pPr>
      <w:pBdr/>
      <w:spacing/>
      <w:ind/>
    </w:pPr>
  </w:style>
  <w:style w:type="character" w:styleId="954" w:customStyle="1">
    <w:name w:val="WW8Num3z3"/>
    <w:pPr>
      <w:pBdr/>
      <w:spacing/>
      <w:ind/>
    </w:pPr>
  </w:style>
  <w:style w:type="character" w:styleId="955" w:customStyle="1">
    <w:name w:val="WW8Num3z4"/>
    <w:pPr>
      <w:pBdr/>
      <w:spacing/>
      <w:ind/>
    </w:pPr>
  </w:style>
  <w:style w:type="character" w:styleId="956" w:customStyle="1">
    <w:name w:val="WW8Num3z5"/>
    <w:pPr>
      <w:pBdr/>
      <w:spacing/>
      <w:ind/>
    </w:pPr>
  </w:style>
  <w:style w:type="character" w:styleId="957" w:customStyle="1">
    <w:name w:val="WW8Num3z6"/>
    <w:pPr>
      <w:pBdr/>
      <w:spacing/>
      <w:ind/>
    </w:pPr>
  </w:style>
  <w:style w:type="character" w:styleId="958" w:customStyle="1">
    <w:name w:val="WW8Num3z7"/>
    <w:pPr>
      <w:pBdr/>
      <w:spacing/>
      <w:ind/>
    </w:pPr>
  </w:style>
  <w:style w:type="character" w:styleId="959" w:customStyle="1">
    <w:name w:val="WW8Num3z8"/>
    <w:pPr>
      <w:pBdr/>
      <w:spacing/>
      <w:ind/>
    </w:pPr>
  </w:style>
  <w:style w:type="character" w:styleId="960" w:customStyle="1">
    <w:name w:val="WW8Num4z0"/>
    <w:pPr>
      <w:pBdr/>
      <w:spacing/>
      <w:ind/>
    </w:pPr>
  </w:style>
  <w:style w:type="character" w:styleId="961" w:customStyle="1">
    <w:name w:val="WW8Num4z1"/>
    <w:pPr>
      <w:pBdr/>
      <w:spacing/>
      <w:ind/>
    </w:pPr>
  </w:style>
  <w:style w:type="character" w:styleId="962" w:customStyle="1">
    <w:name w:val="WW8Num4z2"/>
    <w:pPr>
      <w:pBdr/>
      <w:spacing/>
      <w:ind/>
    </w:pPr>
  </w:style>
  <w:style w:type="character" w:styleId="963" w:customStyle="1">
    <w:name w:val="WW8Num4z3"/>
    <w:pPr>
      <w:pBdr/>
      <w:spacing/>
      <w:ind/>
    </w:pPr>
  </w:style>
  <w:style w:type="character" w:styleId="964" w:customStyle="1">
    <w:name w:val="WW8Num4z4"/>
    <w:pPr>
      <w:pBdr/>
      <w:spacing/>
      <w:ind/>
    </w:pPr>
  </w:style>
  <w:style w:type="character" w:styleId="965" w:customStyle="1">
    <w:name w:val="WW8Num4z5"/>
    <w:pPr>
      <w:pBdr/>
      <w:spacing/>
      <w:ind/>
    </w:pPr>
  </w:style>
  <w:style w:type="character" w:styleId="966" w:customStyle="1">
    <w:name w:val="WW8Num4z6"/>
    <w:pPr>
      <w:pBdr/>
      <w:spacing/>
      <w:ind/>
    </w:pPr>
  </w:style>
  <w:style w:type="character" w:styleId="967" w:customStyle="1">
    <w:name w:val="WW8Num4z7"/>
    <w:pPr>
      <w:pBdr/>
      <w:spacing/>
      <w:ind/>
    </w:pPr>
  </w:style>
  <w:style w:type="character" w:styleId="968" w:customStyle="1">
    <w:name w:val="WW8Num4z8"/>
    <w:pPr>
      <w:pBdr/>
      <w:spacing/>
      <w:ind/>
    </w:pPr>
  </w:style>
  <w:style w:type="character" w:styleId="969" w:customStyle="1">
    <w:name w:val="Основной шрифт абзаца2"/>
    <w:pPr>
      <w:pBdr/>
      <w:spacing/>
      <w:ind/>
    </w:pPr>
  </w:style>
  <w:style w:type="character" w:styleId="970" w:customStyle="1">
    <w:name w:val="Absatz-Standardschriftart"/>
    <w:pPr>
      <w:pBdr/>
      <w:spacing/>
      <w:ind/>
    </w:pPr>
  </w:style>
  <w:style w:type="character" w:styleId="971" w:customStyle="1">
    <w:name w:val="WW-Absatz-Standardschriftart"/>
    <w:pPr>
      <w:pBdr/>
      <w:spacing/>
      <w:ind/>
    </w:pPr>
  </w:style>
  <w:style w:type="character" w:styleId="972" w:customStyle="1">
    <w:name w:val="WW-Absatz-Standardschriftart1"/>
    <w:pPr>
      <w:pBdr/>
      <w:spacing/>
      <w:ind/>
    </w:pPr>
  </w:style>
  <w:style w:type="character" w:styleId="973" w:customStyle="1">
    <w:name w:val="WW-Absatz-Standardschriftart11"/>
    <w:pPr>
      <w:pBdr/>
      <w:spacing/>
      <w:ind/>
    </w:pPr>
  </w:style>
  <w:style w:type="character" w:styleId="974" w:customStyle="1">
    <w:name w:val="WW-Absatz-Standardschriftart111"/>
    <w:pPr>
      <w:pBdr/>
      <w:spacing/>
      <w:ind/>
    </w:pPr>
  </w:style>
  <w:style w:type="character" w:styleId="975" w:customStyle="1">
    <w:name w:val="WW-Absatz-Standardschriftart1111"/>
    <w:pPr>
      <w:pBdr/>
      <w:spacing/>
      <w:ind/>
    </w:pPr>
  </w:style>
  <w:style w:type="character" w:styleId="976" w:customStyle="1">
    <w:name w:val="WW-Absatz-Standardschriftart11111"/>
    <w:pPr>
      <w:pBdr/>
      <w:spacing/>
      <w:ind/>
    </w:pPr>
  </w:style>
  <w:style w:type="character" w:styleId="977" w:customStyle="1">
    <w:name w:val="WW-Absatz-Standardschriftart111111"/>
    <w:pPr>
      <w:pBdr/>
      <w:spacing/>
      <w:ind/>
    </w:pPr>
  </w:style>
  <w:style w:type="character" w:styleId="978" w:customStyle="1">
    <w:name w:val="Основной шрифт абзаца1"/>
    <w:pPr>
      <w:pBdr/>
      <w:spacing/>
      <w:ind/>
    </w:pPr>
  </w:style>
  <w:style w:type="character" w:styleId="979">
    <w:name w:val="page number"/>
    <w:basedOn w:val="978"/>
    <w:pPr>
      <w:pBdr/>
      <w:spacing/>
      <w:ind/>
    </w:pPr>
  </w:style>
  <w:style w:type="paragraph" w:styleId="980">
    <w:name w:val="Body Text"/>
    <w:basedOn w:val="735"/>
    <w:pPr>
      <w:pBdr/>
      <w:spacing w:after="120"/>
      <w:ind/>
    </w:pPr>
  </w:style>
  <w:style w:type="paragraph" w:styleId="981">
    <w:name w:val="List"/>
    <w:basedOn w:val="980"/>
    <w:pPr>
      <w:pBdr/>
      <w:spacing/>
      <w:ind/>
    </w:pPr>
    <w:rPr>
      <w:rFonts w:cs="Mangal"/>
    </w:rPr>
  </w:style>
  <w:style w:type="paragraph" w:styleId="982" w:customStyle="1">
    <w:name w:val="Название2"/>
    <w:basedOn w:val="735"/>
    <w:pPr>
      <w:suppressLineNumbers w:val="true"/>
      <w:pBdr/>
      <w:spacing w:after="120" w:before="120"/>
      <w:ind/>
    </w:pPr>
    <w:rPr>
      <w:rFonts w:cs="Tahoma"/>
      <w:i/>
      <w:iCs/>
      <w:sz w:val="24"/>
      <w:szCs w:val="24"/>
    </w:rPr>
  </w:style>
  <w:style w:type="paragraph" w:styleId="983" w:customStyle="1">
    <w:name w:val="Указатель3"/>
    <w:basedOn w:val="735"/>
    <w:pPr>
      <w:suppressLineNumbers w:val="true"/>
      <w:pBdr/>
      <w:spacing/>
      <w:ind/>
    </w:pPr>
    <w:rPr>
      <w:rFonts w:cs="Tahoma"/>
    </w:rPr>
  </w:style>
  <w:style w:type="paragraph" w:styleId="984">
    <w:name w:val="Caption"/>
    <w:basedOn w:val="735"/>
    <w:link w:val="796"/>
    <w:pPr>
      <w:pBdr/>
      <w:spacing/>
      <w:ind/>
    </w:pPr>
  </w:style>
  <w:style w:type="paragraph" w:styleId="985" w:customStyle="1">
    <w:name w:val="Указатель2"/>
    <w:basedOn w:val="735"/>
    <w:pPr>
      <w:pBdr/>
      <w:spacing/>
      <w:ind/>
    </w:pPr>
  </w:style>
  <w:style w:type="paragraph" w:styleId="986" w:customStyle="1">
    <w:name w:val="Название1"/>
    <w:basedOn w:val="735"/>
    <w:pPr>
      <w:pBdr/>
      <w:spacing/>
      <w:ind/>
    </w:pPr>
  </w:style>
  <w:style w:type="paragraph" w:styleId="987" w:customStyle="1">
    <w:name w:val="Указатель1"/>
    <w:basedOn w:val="735"/>
    <w:pPr>
      <w:pBdr/>
      <w:spacing/>
      <w:ind/>
    </w:pPr>
  </w:style>
  <w:style w:type="paragraph" w:styleId="988">
    <w:name w:val="Body Text Indent"/>
    <w:basedOn w:val="735"/>
    <w:pPr>
      <w:pBdr/>
      <w:spacing/>
      <w:ind w:right="-1333" w:firstLine="284" w:left="283"/>
    </w:pPr>
    <w:rPr>
      <w:sz w:val="24"/>
    </w:rPr>
  </w:style>
  <w:style w:type="paragraph" w:styleId="989" w:customStyle="1">
    <w:name w:val="Содержимое таблицы"/>
    <w:basedOn w:val="735"/>
    <w:pPr>
      <w:suppressLineNumbers w:val="true"/>
      <w:pBdr/>
      <w:spacing/>
      <w:ind/>
    </w:pPr>
  </w:style>
  <w:style w:type="paragraph" w:styleId="990" w:customStyle="1">
    <w:name w:val="Заголовок таблицы"/>
    <w:basedOn w:val="989"/>
    <w:pPr>
      <w:pBdr/>
      <w:spacing/>
      <w:ind/>
      <w:jc w:val="center"/>
    </w:pPr>
    <w:rPr>
      <w:b/>
      <w:bCs/>
    </w:rPr>
  </w:style>
  <w:style w:type="paragraph" w:styleId="991" w:customStyle="1">
    <w:name w:val="Содержимое врезки"/>
    <w:basedOn w:val="980"/>
    <w:pPr>
      <w:pBdr/>
      <w:spacing/>
      <w:ind/>
    </w:pPr>
  </w:style>
  <w:style w:type="paragraph" w:styleId="992">
    <w:name w:val="Balloon Text"/>
    <w:basedOn w:val="735"/>
    <w:link w:val="993"/>
    <w:uiPriority w:val="99"/>
    <w:semiHidden/>
    <w:unhideWhenUsed/>
    <w:pPr>
      <w:pBdr/>
      <w:spacing/>
      <w:ind/>
    </w:pPr>
    <w:rPr>
      <w:rFonts w:ascii="Tahoma" w:hAnsi="Tahoma"/>
      <w:sz w:val="16"/>
      <w:szCs w:val="16"/>
      <w:lang w:val="en-US"/>
    </w:rPr>
  </w:style>
  <w:style w:type="character" w:styleId="993" w:customStyle="1">
    <w:name w:val="Текст выноски Знак"/>
    <w:link w:val="992"/>
    <w:uiPriority w:val="99"/>
    <w:semiHidden/>
    <w:pPr>
      <w:pBdr/>
      <w:spacing/>
      <w:ind/>
    </w:pPr>
    <w:rPr>
      <w:rFonts w:ascii="Tahoma" w:hAnsi="Tahoma" w:cs="Tahoma"/>
      <w:sz w:val="16"/>
      <w:szCs w:val="16"/>
      <w:lang w:eastAsia="ar-SA"/>
    </w:rPr>
  </w:style>
  <w:style w:type="character" w:styleId="994">
    <w:name w:val="Strong"/>
    <w:uiPriority w:val="22"/>
    <w:qFormat/>
    <w:pPr>
      <w:pBdr/>
      <w:spacing/>
      <w:ind/>
    </w:pPr>
    <w:rPr>
      <w:b/>
      <w:bCs/>
    </w:rPr>
  </w:style>
  <w:style w:type="paragraph" w:styleId="995" w:customStyle="1">
    <w:name w:val="мой абз"/>
    <w:basedOn w:val="735"/>
    <w:pPr>
      <w:pBdr/>
      <w:spacing w:line="200" w:lineRule="exact"/>
      <w:ind w:firstLine="284"/>
      <w:jc w:val="both"/>
    </w:pPr>
    <w:rPr>
      <w:spacing w:val="-6"/>
    </w:rPr>
  </w:style>
  <w:style w:type="character" w:styleId="996" w:customStyle="1">
    <w:name w:val="Нижний колонтитул Знак"/>
    <w:link w:val="794"/>
    <w:uiPriority w:val="99"/>
    <w:pPr>
      <w:pBdr/>
      <w:spacing/>
      <w:ind/>
    </w:pPr>
    <w:rPr>
      <w:lang w:eastAsia="ar-SA"/>
    </w:rPr>
  </w:style>
  <w:style w:type="paragraph" w:styleId="997" w:customStyle="1">
    <w:name w:val="Standard"/>
    <w:uiPriority w:val="99"/>
    <w:pPr>
      <w:widowControl w:val="false"/>
      <w:pBdr/>
      <w:spacing/>
      <w:ind/>
    </w:pPr>
    <w:rPr>
      <w:rFonts w:eastAsia="Andale Sans UI" w:cs="Tahoma"/>
      <w:color w:val="00000a"/>
      <w:sz w:val="24"/>
      <w:szCs w:val="24"/>
      <w:lang w:val="de-DE" w:eastAsia="fa-IR" w:bidi="fa-IR"/>
    </w:rPr>
  </w:style>
  <w:style w:type="paragraph" w:styleId="998" w:customStyle="1">
    <w:name w:val="Обычный (веб)1"/>
    <w:link w:val="908"/>
    <w:pPr>
      <w:widowControl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after="200" w:line="276" w:lineRule="auto"/>
      <w:ind/>
    </w:pPr>
    <w:rPr>
      <w:rFonts w:ascii="Calibri" w:hAnsi="Calibri" w:cs="Calibri"/>
      <w:sz w:val="22"/>
      <w:szCs w:val="22"/>
      <w:lang w:eastAsia="ar-SA"/>
    </w:rPr>
  </w:style>
  <w:style w:type="character" w:styleId="999" w:customStyle="1">
    <w:name w:val="Строгий1"/>
    <w:uiPriority w:val="22"/>
    <w:qFormat/>
    <w:pPr>
      <w:pBdr/>
      <w:spacing/>
      <w:ind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base.garant.ru/10180094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№ __________</dc:title>
  <dc:creator>1</dc:creator>
  <cp:revision>11</cp:revision>
  <dcterms:created xsi:type="dcterms:W3CDTF">2026-07-22T07:44:00Z</dcterms:created>
  <dcterms:modified xsi:type="dcterms:W3CDTF">2026-10-28T10:50:38Z</dcterms:modified>
  <cp:version>1048576</cp:version>
</cp:coreProperties>
</file>