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rPr>
          <w:bCs/>
        </w:rPr>
      </w:pPr>
      <w:r>
        <w:rPr>
          <w:bCs/>
        </w:rPr>
        <w:t xml:space="preserve"> Государственный контракт № </w:t>
      </w:r>
      <w:r>
        <w:rPr>
          <w:bCs/>
        </w:rPr>
        <w:t xml:space="preserve">100201966126100165</w:t>
      </w:r>
      <w:r>
        <w:rPr>
          <w:bCs/>
        </w:rPr>
      </w:r>
      <w:r>
        <w:rPr>
          <w:bCs/>
        </w:rPr>
      </w:r>
    </w:p>
    <w:p>
      <w:pPr>
        <w:pStyle w:val="896"/>
      </w:pPr>
      <w:r>
        <w:t xml:space="preserve">на поставку жёстких дисков для серверного оборудования</w:t>
      </w:r>
      <w:r/>
    </w:p>
    <w:p>
      <w:r/>
      <w:r/>
    </w:p>
    <w:tbl>
      <w:tblPr>
        <w:tblStyle w:val="1067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pPr>
        <w:rPr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/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с одной стороны, </w:t>
      </w:r>
      <w:r>
        <w:t xml:space="preserve">и </w:t>
      </w:r>
      <w:r>
        <w:t xml:space="preserve">общество с ограниченной ответственностью «АЛЬФАКОМ» (ООО «АЛЬФАКОМ»), именуемое в дальнейшем «Поставщик», в лице генерального директора Балобановой Эллы Андреевны, действующего </w:t>
        <w:br/>
        <w:t xml:space="preserve">на основании Устава</w:t>
      </w:r>
      <w:r>
        <w:t xml:space="preserve">, с другой стороны, в дальнейшем именуемые «Стороны», а по отдельности </w:t>
        <w:br/>
        <w:t xml:space="preserve">– «Сторона», в соответствии</w:t>
      </w:r>
      <w:r>
        <w:t xml:space="preserve"> с пунктом 4 части 1 статьи 93 Федерального закона от 05.04.2013 </w:t>
        <w:br/>
        <w:t xml:space="preserve">№ 44-ФЗ «О контрактной системе в сфере закупок товаров, работ, услуг для обеспечения государственных и муниципальных нужд» (далее – Закон </w:t>
      </w:r>
      <w:r>
        <w:t xml:space="preserve">о контрактной системе) заключили настоящий государственный контракт (далее – Контракт)</w:t>
      </w:r>
      <w:r>
        <w:t xml:space="preserve">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97"/>
        <w:ind w:left="357" w:hanging="357"/>
        <w:spacing w:before="120" w:after="120"/>
      </w:pPr>
      <w:r>
        <w:t xml:space="preserve">Предмет Контракта</w:t>
      </w:r>
      <w:r/>
    </w:p>
    <w:p>
      <w:pPr>
        <w:numPr>
          <w:ilvl w:val="0"/>
          <w:numId w:val="13"/>
        </w:numPr>
        <w:contextualSpacing/>
        <w:ind w:left="0" w:right="19" w:firstLine="567"/>
        <w:tabs>
          <w:tab w:val="left" w:pos="993" w:leader="none"/>
        </w:tabs>
        <w:outlineLvl w:val="9"/>
      </w:pPr>
      <w:r>
        <w:t xml:space="preserve">Поставщик обязуется поставить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жёсткие диски для серверного оборудования </w:t>
      </w:r>
      <w:r>
        <w:t xml:space="preserve">(далее – Товар), а Заказчик принять и оплатить Товар.</w:t>
      </w:r>
      <w:r/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lang w:eastAsia="ar-SA"/>
        </w:rPr>
        <w:t xml:space="preserve">Наименование, характеристики, стоимость и количество Товара указаны </w:t>
      </w:r>
      <w:r>
        <w:rPr>
          <w:lang w:eastAsia="ar-SA"/>
        </w:rPr>
        <w:br/>
        <w:t xml:space="preserve">в Техническом задании (</w:t>
      </w:r>
      <w:bookmarkStart w:id="0" w:name="_Hlk110243451"/>
      <w:r>
        <w:rPr>
          <w:lang w:eastAsia="ar-SA"/>
        </w:rPr>
        <w:t xml:space="preserve">приложение № 1 к настоящему Контракту</w:t>
      </w:r>
      <w:bookmarkEnd w:id="0"/>
      <w:r>
        <w:rPr>
          <w:lang w:eastAsia="ar-SA"/>
        </w:rPr>
        <w:t xml:space="preserve">) и в Спецификации (Приложение № 2 к настоящему Контракту), которые являются неотъемлемой частью настоящего Кон</w:t>
      </w:r>
      <w:r>
        <w:rPr>
          <w:highlight w:val="white"/>
          <w:lang w:eastAsia="ar-SA"/>
        </w:rPr>
        <w:t xml:space="preserve">тракта.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highlight w:val="white"/>
          <w:lang w:eastAsia="ar-SA"/>
        </w:rPr>
        <w:t xml:space="preserve">ИКЗ: </w:t>
      </w:r>
      <w:r>
        <w:rPr>
          <w:b w:val="0"/>
          <w:bCs w:val="0"/>
          <w:highlight w:val="white"/>
        </w:rPr>
        <w:t xml:space="preserve">261770584752977050100100360000000244</w:t>
      </w:r>
      <w:r>
        <w:rPr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yellow"/>
        </w:rPr>
        <w:outlineLvl w:val="9"/>
      </w:pPr>
      <w:r>
        <w:rPr>
          <w:highlight w:val="white"/>
          <w:lang w:eastAsia="ar-SA"/>
        </w:rPr>
        <w:t xml:space="preserve">КМИ: </w:t>
      </w:r>
      <w:r>
        <w:rPr>
          <w:bCs/>
          <w:sz w:val="24"/>
          <w:szCs w:val="24"/>
          <w:highlight w:val="white"/>
        </w:rPr>
        <w:t xml:space="preserve">022.00100022.22.Э.50023.26</w:t>
      </w:r>
      <w:r>
        <w:rPr>
          <w:highlight w:val="white"/>
          <w:lang w:eastAsia="ar-SA"/>
        </w:rPr>
        <w:t xml:space="preserve">. </w:t>
      </w:r>
      <w:r>
        <w:rPr>
          <w:highlight w:val="yellow"/>
          <w:lang w:eastAsia="ar-SA"/>
        </w:rPr>
        <w:t xml:space="preserve">     </w:t>
      </w:r>
      <w:r>
        <w:rPr>
          <w:highlight w:val="yellow"/>
        </w:rPr>
      </w:r>
      <w:r>
        <w:rPr>
          <w:highlight w:val="yellow"/>
        </w:rPr>
      </w:r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</w:t>
      </w:r>
      <w:r>
        <w:t xml:space="preserve">Закон</w:t>
      </w:r>
      <w:r>
        <w:br/>
        <w:t xml:space="preserve">о контрактной системе</w:t>
      </w:r>
      <w:r>
        <w:t xml:space="preserve">, включенной в такой реестр в связи с отказом от исполнения</w:t>
      </w:r>
      <w:r>
        <w:t xml:space="preserve"> контракта</w:t>
      </w:r>
      <w:r>
        <w:t xml:space="preserve"> </w:t>
      </w:r>
      <w:r>
        <w:t xml:space="preserve">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lang w:eastAsia="ar-SA"/>
        </w:rPr>
      </w:r>
      <w:r>
        <w:rPr>
          <w:lang w:eastAsia="ar-SA"/>
        </w:rPr>
      </w:r>
    </w:p>
    <w:p>
      <w:pPr>
        <w:contextualSpacing/>
        <w:ind w:left="567" w:right="19" w:firstLine="0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highlight w:val="none"/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Цена Контракта и порядок оплаты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составляет </w:t>
      </w:r>
      <w:r>
        <w:t xml:space="preserve">292 000</w:t>
      </w:r>
      <w:r>
        <w:t xml:space="preserve"> (двести девяносто две тысячи) </w:t>
      </w:r>
      <w:r>
        <w:t xml:space="preserve">рублей 00 копеек, </w:t>
      </w:r>
      <w:r>
        <w:br/>
        <w:t xml:space="preserve">в том числе НДС 22 %</w:t>
      </w:r>
      <w:r>
        <w:t xml:space="preserve"> </w:t>
      </w:r>
      <w:r>
        <w:t xml:space="preserve">52 655</w:t>
      </w:r>
      <w:r>
        <w:t xml:space="preserve"> (пятьдесят две тысячи шестьсот пятьдесят пять) рублей 74 копейки и включает </w:t>
      </w:r>
      <w:r>
        <w:t xml:space="preserve">в себя расходы на уплату налогов, пошлин и иных обязательных платежей, в том числе, расходов </w:t>
      </w:r>
      <w:r>
        <w:t xml:space="preserve">за доставку, подъем и разгрузку Товара.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является твёрдой и определяется на весь срок исполнения Контракта </w:t>
      </w:r>
      <w:r>
        <w:br/>
        <w:t xml:space="preserve">и не подлежит изменению.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Оплата по настоящему Контракту осуществляется за фактически поставленный Товар </w:t>
      </w:r>
      <w:r>
        <w:br/>
        <w:t xml:space="preserve">на основании Акта приема-передачи товара (Приложение № 3 к настоящему Контракту) </w:t>
      </w:r>
      <w:r>
        <w:br/>
        <w:t xml:space="preserve">с приложением счета, счета фактуры и товарной  накладной или универсального передаточного документа в течение 7 (семи) рабочих дней после подписания Заказчиком Акта приема-передачи товара (Приложение № 3 к </w:t>
      </w:r>
      <w:r>
        <w:rPr>
          <w:lang w:eastAsia="ar-SA"/>
        </w:rPr>
        <w:t xml:space="preserve">настоящему</w:t>
      </w:r>
      <w:r>
        <w:t xml:space="preserve"> Контракту).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Финансирование по настоящему Контракту осуществляется за счет средств федерального бюджета.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 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</w:t>
      </w:r>
      <w:r>
        <w:br/>
        <w:t xml:space="preserve">по перечислению неустойки (пени) в доход бюджетной системы Российской Федерации </w:t>
      </w:r>
      <w:r>
        <w:br/>
        <w:t xml:space="preserve">в данном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</w:t>
      </w:r>
      <w:r>
        <w:br/>
        <w:t xml:space="preserve">в доход соответствующего бюджета.</w:t>
      </w:r>
      <w:r/>
    </w:p>
    <w:p>
      <w:pPr>
        <w:contextualSpacing/>
        <w:ind w:left="567" w:firstLine="0"/>
        <w:spacing w:line="100" w:lineRule="atLeast"/>
        <w:tabs>
          <w:tab w:val="left" w:pos="993" w:leader="none"/>
        </w:tabs>
        <w:outlineLvl w:val="2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97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</w:t>
      </w:r>
      <w:r>
        <w:rPr>
          <w:color w:val="000000"/>
          <w:lang w:eastAsia="ar-SA"/>
        </w:rPr>
        <w:t xml:space="preserve">течение 7 </w:t>
      </w:r>
      <w:r>
        <w:rPr>
          <w:color w:val="000000"/>
          <w:lang w:eastAsia="ar-SA"/>
        </w:rPr>
        <w:t xml:space="preserve">(семи</w:t>
      </w:r>
      <w:r>
        <w:rPr>
          <w:color w:val="000000"/>
          <w:lang w:eastAsia="ar-SA"/>
        </w:rPr>
        <w:t xml:space="preserve">) рабочих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настоящему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0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19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color w:val="000000"/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01</w:t>
      </w:r>
      <w:r>
        <w:rPr>
          <w:color w:val="000000"/>
          <w:spacing w:val="-2"/>
          <w:lang w:eastAsia="ar-SA"/>
        </w:rPr>
        <w:t xml:space="preserve">.12.</w:t>
      </w:r>
      <w:r>
        <w:rPr>
          <w:color w:val="000000"/>
          <w:spacing w:val="-2"/>
          <w:lang w:eastAsia="ar-SA"/>
        </w:rPr>
        <w:t xml:space="preserve">2026.</w:t>
      </w:r>
      <w:r>
        <w:rPr>
          <w:color w:val="000000"/>
          <w:spacing w:val="-2"/>
          <w:lang w:eastAsia="ar-SA"/>
        </w:rPr>
      </w:r>
      <w:r>
        <w:rPr>
          <w:color w:val="000000"/>
          <w:spacing w:val="-2"/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897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897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в 2 (двух) экземплярах, имеющих одинаковую юридическую силу, по одному для каждой из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97"/>
        <w:ind w:left="357" w:hanging="357"/>
        <w:spacing w:before="120" w:after="120"/>
      </w:pPr>
      <w:r/>
      <w:bookmarkStart w:id="1" w:name="_Ref94177724"/>
      <w:r>
        <w:t xml:space="preserve">Реквизиты Сторон</w:t>
      </w:r>
      <w:bookmarkEnd w:id="1"/>
      <w:r/>
      <w:r/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9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7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Общество с ограниченной ответственностью «АЛЬФАКОМ»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(ООО «АЛЬФАКОМ»)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5536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Электронная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7718751006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КПП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771901001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ОКПО: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89646485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ОКТМО: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45303000000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ОГРН: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1097746028885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ОКВЭД: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62.01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Электронная почта: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</w:p>
          <w:p>
            <w:pPr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t.veretennikova@alfakom.org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Тел.: +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7 (495) 212-16-73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банка: ПАО Сбербанк, 117312, г Москва, Академический р-н, ул Вавилова, д 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40702810138000111716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30101810400000000225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044525225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29.06.2010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1504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Директор Департамента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цифровой трансформации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 Ф.В. Мицкевич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87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12"/>
        </w:rPr>
        <w:sectPr>
          <w:headerReference w:type="default" r:id="rId9"/>
          <w:headerReference w:type="even" r:id="rId10"/>
          <w:headerReference w:type="first" r:id="rId11"/>
          <w:footerReference w:type="even" r:id="rId15"/>
          <w:footerReference w:type="first" r:id="rId16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color w:val="000000"/>
          <w:sz w:val="12"/>
        </w:rPr>
      </w:r>
      <w:r>
        <w:rPr>
          <w:color w:val="000000"/>
          <w:sz w:val="12"/>
        </w:rPr>
      </w:r>
      <w:r>
        <w:rPr>
          <w:color w:val="000000"/>
          <w:sz w:val="12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№ </w:t>
      </w:r>
      <w:r>
        <w:t xml:space="preserve">100201966126100165</w:t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 г.</w:t>
      </w:r>
      <w:r>
        <w:rPr>
          <w:highlight w:val="none"/>
        </w:rPr>
      </w:r>
      <w:r/>
    </w:p>
    <w:p>
      <w:pPr>
        <w:pStyle w:val="1087"/>
        <w:ind w:firstLine="0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087"/>
        <w:rPr>
          <w:highlight w:val="none"/>
        </w:rPr>
      </w:pPr>
      <w:r>
        <w:t xml:space="preserve">ТЕХНИЧЕСКОЕ ЗАДАНИЕ</w:t>
      </w:r>
      <w:r>
        <w:rPr>
          <w:highlight w:val="none"/>
        </w:rPr>
      </w:r>
      <w:r>
        <w:rPr>
          <w:highlight w:val="none"/>
        </w:rPr>
      </w:r>
    </w:p>
    <w:p>
      <w:pPr>
        <w:pStyle w:val="896"/>
      </w:pPr>
      <w:r>
        <w:t xml:space="preserve">на поставку жёстких дисков для серверного оборудования</w:t>
      </w:r>
      <w:r/>
    </w:p>
    <w:p>
      <w:r/>
      <w:r/>
    </w:p>
    <w:p>
      <w:pPr>
        <w:pStyle w:val="902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жёстких дисков для серверного оборудования</w:t>
      </w:r>
      <w:r>
        <w:rPr>
          <w:bCs/>
        </w:rPr>
        <w:t xml:space="preserve"> </w:t>
      </w:r>
      <w:r>
        <w:t xml:space="preserve">(далее – Товар) согласно Спецификации.</w:t>
      </w:r>
      <w:r/>
    </w:p>
    <w:p>
      <w:pPr>
        <w:pStyle w:val="902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7</w:t>
      </w:r>
      <w:r>
        <w:rPr>
          <w:color w:val="000000"/>
          <w:lang w:eastAsia="ar-SA"/>
        </w:rPr>
        <w:t xml:space="preserve"> (семи</w:t>
      </w:r>
      <w:r>
        <w:rPr>
          <w:color w:val="000000"/>
          <w:lang w:eastAsia="ar-SA"/>
        </w:rPr>
        <w:t xml:space="preserve">)</w:t>
      </w:r>
      <w:r>
        <w:t xml:space="preserve"> </w:t>
      </w:r>
      <w:r>
        <w:t xml:space="preserve">рабочих</w:t>
      </w:r>
      <w:r>
        <w:t xml:space="preserve"> дней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pStyle w:val="902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pPr>
        <w:pStyle w:val="902"/>
        <w:numPr>
          <w:ilvl w:val="0"/>
          <w:numId w:val="3"/>
        </w:numPr>
      </w:pPr>
      <w:r>
        <w:t xml:space="preserve">Требования к безопасности, функциональным характеристикам (потребительским свойствам)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-голограммы, защитные пломбы, марки, содержащие все элементы защиты от подделок (микротекст, термополоса и т.п.); 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-корпус Товара не должен иметь потертостей, царапин, сколов и следов вскрытия.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-на коробке должен быть нанесен номер партии, совпадающий с номером, нанесенным на Товаре.</w:t>
      </w:r>
      <w:r/>
    </w:p>
    <w:p>
      <w:pPr>
        <w:pStyle w:val="902"/>
        <w:numPr>
          <w:ilvl w:val="0"/>
          <w:numId w:val="3"/>
        </w:numPr>
      </w:pPr>
      <w:r>
        <w:t xml:space="preserve">Требования к упаковке Товара.</w:t>
      </w:r>
      <w:r/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r>
        <w:t xml:space="preserve">На упаковочной коробке должны быть нанесена следующая информация: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-информация о производителе; 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-гарантийный срок хранения до ввода </w:t>
      </w:r>
      <w:r>
        <w:t xml:space="preserve">Товара</w:t>
      </w:r>
      <w:r>
        <w:t xml:space="preserve">  в эксплуатацию (если установлен производителем);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-манипуляционные знаки по ГОСТ 14192-96 «Межгосударственный стандарт. Маркировка грузов»;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-код </w:t>
      </w:r>
      <w:r>
        <w:t xml:space="preserve">Товара</w:t>
      </w:r>
      <w:r>
        <w:t xml:space="preserve">;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-дата изготовления;</w:t>
      </w:r>
      <w:r/>
    </w:p>
    <w:p>
      <w:pPr>
        <w:pStyle w:val="901"/>
        <w:numPr>
          <w:ilvl w:val="0"/>
          <w:numId w:val="0"/>
        </w:numPr>
        <w:ind w:left="993" w:firstLine="0"/>
      </w:pPr>
      <w:r>
        <w:t xml:space="preserve">-иная информация, которую производитель сочтет необходимым разместить.</w:t>
      </w:r>
      <w:r/>
    </w:p>
    <w:p>
      <w:r>
        <w:t xml:space="preserve">Этикетки и наклейки должны быть четкими, чистыми и хорошо читаемыми.</w:t>
      </w:r>
      <w:r/>
    </w:p>
    <w:p>
      <w:pPr>
        <w:rPr>
          <w:highlight w:val="none"/>
        </w:rPr>
      </w:pPr>
      <w:r>
        <w:t xml:space="preserve">На тра</w:t>
      </w:r>
      <w:r>
        <w:t xml:space="preserve">нспортировочную упаковку информация наносится типографическим способом или при помощи наклеек и должна содержать следующие данные: товарный знак изготовителя/поставщика, транспортная маркировка и манипуляционные знаки, код/наименование и количество Товара.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/>
      <w:r/>
    </w:p>
    <w:p>
      <w:pPr>
        <w:pStyle w:val="902"/>
        <w:numPr>
          <w:ilvl w:val="0"/>
          <w:numId w:val="0"/>
        </w:numPr>
        <w:ind w:left="0" w:firstLine="0"/>
      </w:pPr>
      <w:r>
        <w:t xml:space="preserve">6. Общие требования к Товару</w:t>
      </w:r>
      <w:r/>
    </w:p>
    <w:p>
      <w:r/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ОКПД</w:t>
      </w:r>
      <w:r>
        <w:t xml:space="preserve">2</w:t>
      </w:r>
      <w:r>
        <w:t xml:space="preserve">: </w:t>
      </w:r>
      <w:r>
        <w:t xml:space="preserve">26.20.22.120</w:t>
      </w:r>
      <w:r>
        <w:t xml:space="preserve"> - </w:t>
      </w:r>
      <w:r>
        <w:t xml:space="preserve">Устройства встраиваемые запоминающие полупроводниковые, сохраняющие информацию при выключении питания (твердотельные накопители информации)</w:t>
      </w:r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КТРУ:26.20.21.110 - 00000003 - </w:t>
      </w:r>
      <w:r>
        <w:t xml:space="preserve">Накопитель данных внутренний</w:t>
      </w:r>
      <w:r/>
    </w:p>
    <w:p>
      <w:pPr>
        <w:ind w:firstLine="0"/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tabs>
          <w:tab w:val="left" w:pos="7733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Состав поставляемых Товаров представлен в Та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блице 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shd w:val="nil" w:color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ectPr>
          <w:headerReference w:type="default" r:id="rId12"/>
          <w:headerReference w:type="first" r:id="rId13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pgNumType w:start="2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0"/>
        <w:jc w:val="left"/>
        <w:spacing w:line="340" w:lineRule="atLeast"/>
        <w:widowControl w:val="off"/>
        <w:tabs>
          <w:tab w:val="left" w:pos="2848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Состав поставляемых Товаров представлен в Таблице 1.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1067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421"/>
        <w:gridCol w:w="1843"/>
        <w:gridCol w:w="4677"/>
        <w:gridCol w:w="3326"/>
      </w:tblGrid>
      <w:tr>
        <w:tblPrEx/>
        <w:trPr>
          <w:trHeight w:val="115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Жесткий диск Western Digital Ultrastar DC HA340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26.20.22.120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br/>
              <w:t xml:space="preserve"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Устройства встраиваемые запоминающие полупроводниковые, сохраняющие информацию при выключении питания (твердотельные накопители информации)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26.20.21.110 - 00000003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Накопитель данных внутренний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Штуки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Объем накопителя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10 000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  <w:t xml:space="preserve">Гигабайт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устройства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H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Метод записи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CMR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Наличие интерфейсов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SATA III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Объем буферной памяти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512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Мегабайт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Скорость вращения (RPM)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7200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Оборот в минуту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Скорость записи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267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Мегабайт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Скорость чтения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267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Мегабайт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Форм‑фактор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3,5 </w:t>
            </w:r>
            <w:r>
              <w:t xml:space="preserve">дюйма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8003" w:type="dxa"/>
            <w:vAlign w:val="top"/>
            <w:vMerge w:val="restart"/>
            <w:textDirection w:val="lrTb"/>
            <w:noWrap w:val="false"/>
          </w:tcPr>
          <w:p>
            <w:r/>
            <w:r/>
          </w:p>
        </w:tc>
      </w:tr>
    </w:tbl>
    <w:p>
      <w:r/>
      <w:r/>
    </w:p>
    <w:p>
      <w: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/>
    </w:p>
    <w:p>
      <w:pPr>
        <w:rPr>
          <w:highlight w:val="none"/>
        </w:rPr>
      </w:pPr>
      <w:r>
        <w:t xml:space="preserve">Гарантия Поставщика на поставляемый Товар должна составлять 12 (двенадцать</w:t>
      </w:r>
      <w:r>
        <w:t xml:space="preserve">) месяцев </w:t>
      </w:r>
      <w:r>
        <w:t xml:space="preserve">с даты подписания</w:t>
      </w:r>
      <w:r>
        <w:t xml:space="preserve"> Акта приема-передачи Товара.</w:t>
      </w: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t xml:space="preserve">Комплект поставки должен включать салазки (направляющие) для подключения и установки накопителя в серверную стойку или корпус.</w:t>
      </w:r>
      <w:r/>
    </w:p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823" w:type="pct"/>
        <w:jc w:val="center"/>
        <w:tblInd w:w="-1221" w:type="dxa"/>
        <w:tblLayout w:type="fixed"/>
        <w:tblLook w:val="0000" w:firstRow="0" w:lastRow="0" w:firstColumn="0" w:lastColumn="0" w:noHBand="0" w:noVBand="0"/>
      </w:tblPr>
      <w:tblGrid>
        <w:gridCol w:w="66"/>
        <w:gridCol w:w="8709"/>
        <w:gridCol w:w="6581"/>
      </w:tblGrid>
      <w:tr>
        <w:tblPrEx/>
        <w:trPr>
          <w:gridBefore w:val="1"/>
          <w:jc w:val="center"/>
        </w:trPr>
        <w:tc>
          <w:tcPr>
            <w:shd w:val="clear" w:color="auto" w:fill="auto"/>
            <w:tcW w:w="870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658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gridSpan w:val="2"/>
            <w:shd w:val="clear" w:color="auto" w:fill="auto"/>
            <w:tcW w:w="877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658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left="1562" w:firstLine="6237"/>
        <w:jc w:val="right"/>
        <w:spacing w:before="20" w:line="100" w:lineRule="atLeast"/>
        <w:tabs>
          <w:tab w:val="left" w:pos="6946" w:leader="none"/>
        </w:tabs>
        <w:rPr>
          <w:color w:val="000000"/>
          <w:highlight w:val="none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shd w:val="nil" w:color="auto"/>
        <w:rPr>
          <w:color w:val="000000"/>
          <w:highlight w:val="none"/>
          <w:lang w:eastAsia="ar-SA"/>
        </w:rPr>
        <w:sectPr>
          <w:headerReference w:type="default" r:id="rId14"/>
          <w:footnotePr/>
          <w:endnotePr/>
          <w:type w:val="continuous"/>
          <w:pgSz w:w="16838" w:h="11906" w:orient="landscape"/>
          <w:pgMar w:top="1134" w:right="567" w:bottom="567" w:left="567" w:header="709" w:footer="709" w:gutter="0"/>
          <w:pgNumType w:start="3"/>
          <w:cols w:num="1" w:sep="0" w:space="708" w:equalWidth="1"/>
          <w:docGrid w:linePitch="360"/>
          <w:titlePg/>
        </w:sect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jc w:val="right"/>
        <w:shd w:val="nil" w:color="000000"/>
        <w:rPr>
          <w:highlight w:val="none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  <w:t xml:space="preserve">Приложение № 2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lang w:eastAsia="ar-SA"/>
        </w:rPr>
        <w:t xml:space="preserve">100201966126100165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lang w:eastAsia="ar-SA"/>
        </w:rPr>
        <w:t xml:space="preserve">от «___» ________2026 г.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caps/>
          <w:lang w:eastAsia="ar-SA"/>
        </w:rPr>
        <w:t xml:space="preserve">Спецификация</w:t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caps/>
          <w:sz w:val="2"/>
          <w:lang w:eastAsia="ar-SA"/>
        </w:rPr>
        <w:outlineLvl w:val="9"/>
      </w:pP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</w:p>
    <w:p>
      <w:pPr>
        <w:ind w:firstLine="0"/>
        <w:spacing w:before="20" w:line="100" w:lineRule="atLeast"/>
        <w:tabs>
          <w:tab w:val="left" w:pos="6946" w:leader="none"/>
        </w:tabs>
        <w:rPr>
          <w:sz w:val="12"/>
          <w:lang w:eastAsia="ar-SA"/>
        </w:rPr>
        <w:outlineLvl w:val="9"/>
      </w:pPr>
      <w:r>
        <w:rPr>
          <w:sz w:val="12"/>
          <w:lang w:eastAsia="ar-SA"/>
        </w:rPr>
      </w:r>
      <w:r>
        <w:rPr>
          <w:sz w:val="12"/>
          <w:lang w:eastAsia="ar-SA"/>
        </w:rPr>
      </w:r>
      <w:r>
        <w:rPr>
          <w:sz w:val="12"/>
          <w:lang w:eastAsia="ar-SA"/>
        </w:rPr>
      </w:r>
    </w:p>
    <w:tbl>
      <w:tblPr>
        <w:tblStyle w:val="1067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1648"/>
        <w:gridCol w:w="709"/>
        <w:gridCol w:w="3685"/>
        <w:gridCol w:w="1701"/>
        <w:gridCol w:w="1133"/>
        <w:gridCol w:w="1209"/>
      </w:tblGrid>
      <w:tr>
        <w:tblPrEx/>
        <w:trPr>
          <w:trHeight w:val="663"/>
        </w:trPr>
        <w:tc>
          <w:tcPr>
            <w:tcW w:w="44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п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Кол-во, шт.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  <w:p>
            <w:pP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Страна происхождения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13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nil" w:color="auto"/>
              <w:rPr>
                <w14:ligatures w14:val="none"/>
              </w:rPr>
              <w:suppressLineNumbers w:val="0"/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Цена за ед. изм. (руб.)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20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Сумма, руб.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2653"/>
        </w:trPr>
        <w:tc>
          <w:tcPr>
            <w:tcW w:w="44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  <w:t xml:space="preserve">Жесткий диск Western Digital Ultrastar DC HA340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Код ОКПД2: </w:t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26.20.22.120</w:t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КТРУ:26.20.21.110 - 00000003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ind w:firstLine="0"/>
            </w:pPr>
            <w:r>
              <w:rPr>
                <w:sz w:val="20"/>
                <w:szCs w:val="20"/>
              </w:rPr>
              <w:t xml:space="preserve">Объем накопителя 10 000 Гигабайт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Тип устройства HDD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Метод записи CMR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Наличие интерфейсов SATA III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Объем буферной памяти 512 Мегабайт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вращения (RPM) 7200 Оборот в минуту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записи 267 Мегабайт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чтения 267 Мегабайт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Форм‑фактор 3,5  дюйм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Китай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3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ind w:left="0" w:right="0" w:firstLine="0"/>
              <w:jc w:val="center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73 000,00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0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292 000,00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tcW w:w="9320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0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292 000,00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6"/>
            <w:tcW w:w="9320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том числе НДС 22 %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0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52 655,74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rPr>
          <w:bCs/>
          <w:i/>
        </w:rPr>
      </w:pPr>
      <w:r>
        <w:rPr>
          <w:i/>
          <w:iCs/>
          <w:highlight w:val="none"/>
        </w:rPr>
      </w:r>
      <w:r>
        <w:rPr>
          <w:bCs/>
          <w:i/>
        </w:rPr>
      </w:r>
      <w:r>
        <w:rPr>
          <w:bCs/>
          <w:i/>
        </w:rPr>
      </w:r>
    </w:p>
    <w:tbl>
      <w:tblPr>
        <w:tblW w:w="4917" w:type="pct"/>
        <w:jc w:val="center"/>
        <w:tblInd w:w="-1171" w:type="dxa"/>
        <w:tblLayout w:type="fixed"/>
        <w:tblLook w:val="0000" w:firstRow="0" w:lastRow="0" w:firstColumn="0" w:lastColumn="0" w:noHBand="0" w:noVBand="0"/>
      </w:tblPr>
      <w:tblGrid>
        <w:gridCol w:w="5699"/>
        <w:gridCol w:w="4550"/>
      </w:tblGrid>
      <w:tr>
        <w:tblPrEx/>
        <w:trPr>
          <w:jc w:val="center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5"/>
              <w:ind w:left="0" w:right="0" w:firstLine="0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highlight w:val="none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jc w:val="left"/>
        <w:spacing w:after="160" w:line="259" w:lineRule="auto"/>
        <w:rPr>
          <w:sz w:val="2"/>
          <w:szCs w:val="2"/>
        </w:rPr>
        <w:outlineLvl w:val="9"/>
      </w:pPr>
      <w:r>
        <w:rPr>
          <w:sz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ind w:firstLine="0"/>
        <w:sectPr>
          <w:footnotePr/>
          <w:endnotePr/>
          <w:type w:val="continuous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0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color w:val="000000"/>
          <w:lang w:eastAsia="ar-SA"/>
        </w:rPr>
        <w:t xml:space="preserve">100201966126100165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от «___» ________2026 г.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210"/>
        <w:gridCol w:w="4996"/>
      </w:tblGrid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9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95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Общество с ограниченной ответственностью «АЛЬФАКОМ»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(ООО «АЛЬФАКОМ»)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  <w:tr>
        <w:tblPrEx/>
        <w:trPr>
          <w:trHeight w:val="760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Эл.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95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Юридический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105554, г. Москва,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ул. Первомайская, д. 76, пом. V, комн. 2,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подвал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ИНН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7718751006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 КПП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771901001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ОКПО: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89646485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ОКТМО: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45303000000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ОГРН: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1097746028885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ОКВЭД: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62.01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Электронная почта: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</w:r>
          </w:p>
          <w:p>
            <w:pPr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t.veretennikova@alfakom.org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Тел.: +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7 (495) 212-16-73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Банковские реквизиты: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Наименование банка: ПАО Сбербанк, 117312, г Москва, Академический р-н, ул Вавилова, д 19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р\с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40702810138000111716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к\с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30101810400000000225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БИК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044525225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29.06.2010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</w:tc>
      </w:tr>
    </w:tbl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2026 г. 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56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56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«___» ____________ 2026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r>
        <w:t xml:space="preserve">Министерство энергетики Российской Федерации (Минэнерго России), именуемое</w:t>
      </w:r>
      <w:r>
        <w:br/>
        <w:t xml:space="preserve">в дальнейшем «Заказчик», </w:t>
      </w:r>
      <w:r>
        <w:rPr>
          <w:sz w:val="24"/>
          <w:szCs w:val="26"/>
        </w:rPr>
        <w:t xml:space="preserve">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и ________________________, именуемое в дальнейшем «Поставщик», </w:t>
      </w:r>
      <w:r>
        <w:t xml:space="preserve">в лице_____________________________, действующего на основании________________________, с другой стороны, составили настоящий Акт о нижеследующем:</w:t>
      </w:r>
      <w:r/>
    </w:p>
    <w:p>
      <w:pPr>
        <w:ind w:left="13"/>
        <w:tabs>
          <w:tab w:val="left" w:pos="851" w:leader="none"/>
        </w:tabs>
      </w:pPr>
      <w:r>
        <w:t xml:space="preserve">1.</w:t>
      </w:r>
      <w:r>
        <w:tab/>
        <w:t xml:space="preserve">В соответствии с условиями контракта от «__» __________ 2026 г. № _______ </w:t>
      </w:r>
      <w:r>
        <w:br/>
        <w:t xml:space="preserve">(далее – Контракт) Поставщиком передан, а Заказчиком принят Товар по предмету закупки: п</w:t>
      </w:r>
      <w:r>
        <w:rPr>
          <w:sz w:val="24"/>
          <w:szCs w:val="24"/>
        </w:rPr>
        <w:t xml:space="preserve">оставка жёстких дисков для серверного оборудования</w:t>
      </w:r>
      <w:r>
        <w:rPr>
          <w:sz w:val="24"/>
          <w:szCs w:val="24"/>
        </w:rPr>
      </w:r>
      <w:r/>
    </w:p>
    <w:p>
      <w:pPr>
        <w:ind w:left="13"/>
        <w:tabs>
          <w:tab w:val="left" w:pos="851" w:leader="none"/>
        </w:tabs>
      </w:pPr>
      <w:r>
        <w:br w:type="page" w:clear="all"/>
        <w:t xml:space="preserve">2.</w:t>
      </w:r>
      <w:r>
        <w:tab/>
        <w:t xml:space="preserve">Контрактом предусмотрена поставка: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</w:t>
      </w:r>
      <w:r>
        <w:t xml:space="preserve">г</w:t>
      </w:r>
      <w:r>
        <w:t xml:space="preserve">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footnoteReference w:customMarkFollows="1" w:id="2"/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%)/без НДС.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/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 Ф.В. Мицкевич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t xml:space="preserve">Генеральный директор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highlight w:val="none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pStyle w:val="895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_ Э.А.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Балобанов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а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904"/>
        <w:numPr>
          <w:ilvl w:val="0"/>
          <w:numId w:val="0"/>
        </w:numPr>
        <w:ind w:left="10207"/>
      </w:pPr>
      <w:r/>
      <w:r/>
    </w:p>
    <w:sectPr>
      <w:footnotePr>
        <w:numRestart w:val="eachSect"/>
      </w:footnotePr>
      <w:endnotePr/>
      <w:type w:val="nextPage"/>
      <w:pgSz w:w="11906" w:h="16838" w:orient="portrait"/>
      <w:pgMar w:top="567" w:right="709" w:bottom="567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81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74"/>
      </w:pPr>
      <w:r>
        <w:rPr>
          <w:rStyle w:val="1076"/>
        </w:rPr>
        <w:t xml:space="preserve">[1]</w:t>
      </w:r>
      <w:r>
        <w:t xml:space="preserve"> В случае если Поставщик освобожден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docPartObj>
        <w:docPartGallery w:val="Page Numbers (Top of Page)"/>
        <w:docPartUnique w:val="true"/>
      </w:docPartObj>
      <w:rPr/>
    </w:sdtPr>
    <w:sdtContent>
      <w:p>
        <w:pPr>
          <w:pStyle w:val="1079"/>
          <w:shd w:val="nil" w:color="auto"/>
          <w:tabs>
            <w:tab w:val="clear" w:pos="4677" w:leader="none"/>
            <w:tab w:val="clear" w:pos="9355" w:leader="none"/>
          </w:tabs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10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9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79"/>
      <w:jc w:val="left"/>
    </w:pPr>
    <w:r/>
    <w:r/>
  </w:p>
  <w:p>
    <w:pPr>
      <w:pStyle w:val="1079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pStyle w:val="902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pStyle w:val="903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pStyle w:val="897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898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899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70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88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pStyle w:val="904"/>
      <w:isLgl w:val="false"/>
      <w:suff w:val="tab"/>
      <w:lvlText w:val="Приложение № %1"/>
      <w:lvlJc w:val="right"/>
      <w:pPr>
        <w:ind w:left="1056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12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9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26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33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41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48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55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626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901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50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22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994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066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1138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1210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1282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1354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14268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27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16"/>
  </w:num>
  <w:num w:numId="5">
    <w:abstractNumId w:val="9"/>
  </w:num>
  <w:num w:numId="6">
    <w:abstractNumId w:val="11"/>
    <w:lvlOverride w:ilvl="0">
      <w:startOverride w:val="10"/>
    </w:lvlOverride>
  </w:num>
  <w:num w:numId="7">
    <w:abstractNumId w:val="5"/>
  </w:num>
  <w:num w:numId="8">
    <w:abstractNumId w:val="6"/>
  </w:num>
  <w:num w:numId="9">
    <w:abstractNumId w:val="6"/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21"/>
  </w:num>
  <w:num w:numId="13">
    <w:abstractNumId w:val="8"/>
  </w:num>
  <w:num w:numId="14">
    <w:abstractNumId w:val="0"/>
  </w:num>
  <w:num w:numId="15">
    <w:abstractNumId w:val="13"/>
  </w:num>
  <w:num w:numId="16">
    <w:abstractNumId w:val="22"/>
  </w:num>
  <w:num w:numId="17">
    <w:abstractNumId w:val="2"/>
  </w:num>
  <w:num w:numId="18">
    <w:abstractNumId w:val="1"/>
  </w:num>
  <w:num w:numId="19">
    <w:abstractNumId w:val="20"/>
  </w:num>
  <w:num w:numId="20">
    <w:abstractNumId w:val="3"/>
  </w:num>
  <w:num w:numId="21">
    <w:abstractNumId w:val="12"/>
  </w:num>
  <w:num w:numId="22">
    <w:abstractNumId w:val="17"/>
  </w:num>
  <w:num w:numId="23">
    <w:abstractNumId w:val="18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4"/>
  </w:num>
  <w:num w:numId="31">
    <w:abstractNumId w:val="7"/>
  </w:num>
  <w:num w:numId="32">
    <w:abstractNumId w:val="14"/>
  </w:num>
  <w:num w:numId="33">
    <w:abstractNumId w:val="10"/>
  </w:num>
  <w:num w:numId="34">
    <w:abstractNumId w:val="23"/>
  </w:num>
  <w:num w:numId="35">
    <w:abstractNumId w:val="24"/>
  </w:num>
  <w:num w:numId="36">
    <w:abstractNumId w:val="25"/>
  </w:num>
  <w:num w:numId="37">
    <w:abstractNumId w:val="26"/>
  </w:num>
  <w:num w:numId="38">
    <w:abstractNumId w:val="27"/>
  </w:num>
  <w:num w:numId="39">
    <w:abstractNumId w:val="28"/>
  </w:num>
  <w:num w:numId="40">
    <w:abstractNumId w:val="29"/>
  </w:num>
  <w:num w:numId="41">
    <w:abstractNumId w:val="30"/>
  </w:num>
  <w:num w:numId="42">
    <w:abstractNumId w:val="31"/>
  </w:num>
  <w:num w:numId="43">
    <w:abstractNumId w:val="32"/>
  </w:num>
  <w:num w:numId="44">
    <w:abstractNumId w:val="33"/>
  </w:num>
  <w:num w:numId="45">
    <w:abstractNumId w:val="34"/>
  </w:num>
  <w:num w:numId="46">
    <w:abstractNumId w:val="35"/>
  </w:num>
  <w:num w:numId="47">
    <w:abstractNumId w:val="36"/>
  </w:num>
  <w:num w:numId="48">
    <w:abstractNumId w:val="37"/>
  </w:num>
  <w:num w:numId="49">
    <w:abstractNumId w:val="38"/>
  </w:num>
  <w:num w:numId="50">
    <w:abstractNumId w:val="39"/>
  </w:num>
  <w:num w:numId="51">
    <w:abstractNumId w:val="40"/>
  </w:num>
  <w:num w:numId="52">
    <w:abstractNumId w:val="41"/>
  </w:num>
  <w:num w:numId="53">
    <w:abstractNumId w:val="42"/>
  </w:num>
  <w:num w:numId="54">
    <w:abstractNumId w:val="43"/>
  </w:num>
  <w:num w:numId="55">
    <w:abstractNumId w:val="44"/>
  </w:num>
  <w:num w:numId="56">
    <w:abstractNumId w:val="45"/>
  </w:num>
  <w:num w:numId="57">
    <w:abstractNumId w:val="46"/>
  </w:num>
  <w:num w:numId="58">
    <w:abstractNumId w:val="47"/>
  </w:num>
  <w:num w:numId="59">
    <w:abstractNumId w:val="48"/>
  </w:num>
  <w:num w:numId="60">
    <w:abstractNumId w:val="49"/>
  </w:num>
  <w:num w:numId="61">
    <w:abstractNumId w:val="50"/>
  </w:num>
  <w:num w:numId="62">
    <w:abstractNumId w:val="51"/>
  </w:num>
  <w:num w:numId="63">
    <w:abstractNumId w:val="52"/>
  </w:num>
  <w:num w:numId="64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93">
    <w:name w:val="Quote Char"/>
    <w:link w:val="920"/>
    <w:uiPriority w:val="29"/>
    <w:rPr>
      <w:i/>
    </w:rPr>
  </w:style>
  <w:style w:type="character" w:styleId="894">
    <w:name w:val="Intense Quote Char"/>
    <w:link w:val="922"/>
    <w:uiPriority w:val="30"/>
    <w:rPr>
      <w:i/>
    </w:rPr>
  </w:style>
  <w:style w:type="paragraph" w:styleId="895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96">
    <w:name w:val="Heading 1"/>
    <w:basedOn w:val="895"/>
    <w:next w:val="895"/>
    <w:link w:val="1066"/>
    <w:uiPriority w:val="9"/>
    <w:qFormat/>
    <w:pPr>
      <w:jc w:val="center"/>
      <w:outlineLvl w:val="0"/>
    </w:pPr>
    <w:rPr>
      <w:b/>
    </w:rPr>
  </w:style>
  <w:style w:type="paragraph" w:styleId="897">
    <w:name w:val="Heading 2"/>
    <w:basedOn w:val="898"/>
    <w:next w:val="895"/>
    <w:link w:val="1068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898">
    <w:name w:val="Heading 3"/>
    <w:basedOn w:val="895"/>
    <w:next w:val="895"/>
    <w:link w:val="1069"/>
    <w:uiPriority w:val="9"/>
    <w:unhideWhenUsed/>
    <w:qFormat/>
    <w:pPr>
      <w:numPr>
        <w:ilvl w:val="1"/>
        <w:numId w:val="1"/>
      </w:numPr>
      <w:contextualSpacing/>
      <w:ind w:left="0" w:firstLine="567"/>
      <w:outlineLvl w:val="2"/>
    </w:pPr>
  </w:style>
  <w:style w:type="paragraph" w:styleId="899">
    <w:name w:val="Heading 4"/>
    <w:basedOn w:val="898"/>
    <w:next w:val="895"/>
    <w:link w:val="1071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900">
    <w:name w:val="Heading 5"/>
    <w:basedOn w:val="899"/>
    <w:next w:val="895"/>
    <w:link w:val="1077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901">
    <w:name w:val="Heading 6"/>
    <w:basedOn w:val="900"/>
    <w:next w:val="895"/>
    <w:link w:val="1078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902">
    <w:name w:val="Heading 7"/>
    <w:basedOn w:val="1070"/>
    <w:next w:val="895"/>
    <w:link w:val="1089"/>
    <w:uiPriority w:val="9"/>
    <w:unhideWhenUsed/>
    <w:qFormat/>
    <w:pPr>
      <w:numPr>
        <w:ilvl w:val="0"/>
        <w:numId w:val="8"/>
      </w:numPr>
      <w:jc w:val="left"/>
      <w:spacing w:before="240" w:after="240"/>
      <w:outlineLvl w:val="6"/>
    </w:pPr>
    <w:rPr>
      <w:b/>
      <w:bCs/>
    </w:rPr>
  </w:style>
  <w:style w:type="paragraph" w:styleId="903">
    <w:name w:val="Heading 8"/>
    <w:basedOn w:val="898"/>
    <w:next w:val="895"/>
    <w:link w:val="1090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904">
    <w:name w:val="Heading 9"/>
    <w:basedOn w:val="895"/>
    <w:next w:val="895"/>
    <w:link w:val="1091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905" w:default="1">
    <w:name w:val="Default Paragraph Font"/>
    <w:uiPriority w:val="1"/>
    <w:semiHidden/>
    <w:unhideWhenUsed/>
  </w:style>
  <w:style w:type="table" w:styleId="9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7" w:default="1">
    <w:name w:val="No List"/>
    <w:uiPriority w:val="99"/>
    <w:semiHidden/>
    <w:unhideWhenUsed/>
  </w:style>
  <w:style w:type="character" w:styleId="908" w:customStyle="1">
    <w:name w:val="Heading 1 Char"/>
    <w:basedOn w:val="905"/>
    <w:uiPriority w:val="9"/>
    <w:rPr>
      <w:rFonts w:ascii="Arial" w:hAnsi="Arial" w:eastAsia="Arial" w:cs="Arial"/>
      <w:sz w:val="40"/>
      <w:szCs w:val="40"/>
    </w:rPr>
  </w:style>
  <w:style w:type="character" w:styleId="909" w:customStyle="1">
    <w:name w:val="Heading 2 Char"/>
    <w:basedOn w:val="905"/>
    <w:uiPriority w:val="9"/>
    <w:rPr>
      <w:rFonts w:ascii="Arial" w:hAnsi="Arial" w:eastAsia="Arial" w:cs="Arial"/>
      <w:sz w:val="34"/>
    </w:rPr>
  </w:style>
  <w:style w:type="character" w:styleId="910" w:customStyle="1">
    <w:name w:val="Heading 3 Char"/>
    <w:basedOn w:val="905"/>
    <w:uiPriority w:val="9"/>
    <w:rPr>
      <w:rFonts w:ascii="Arial" w:hAnsi="Arial" w:eastAsia="Arial" w:cs="Arial"/>
      <w:sz w:val="30"/>
      <w:szCs w:val="30"/>
    </w:rPr>
  </w:style>
  <w:style w:type="character" w:styleId="911" w:customStyle="1">
    <w:name w:val="Heading 4 Char"/>
    <w:basedOn w:val="905"/>
    <w:uiPriority w:val="9"/>
    <w:rPr>
      <w:rFonts w:ascii="Arial" w:hAnsi="Arial" w:eastAsia="Arial" w:cs="Arial"/>
      <w:b/>
      <w:bCs/>
      <w:sz w:val="26"/>
      <w:szCs w:val="26"/>
    </w:rPr>
  </w:style>
  <w:style w:type="character" w:styleId="912" w:customStyle="1">
    <w:name w:val="Heading 5 Char"/>
    <w:basedOn w:val="905"/>
    <w:uiPriority w:val="9"/>
    <w:rPr>
      <w:rFonts w:ascii="Arial" w:hAnsi="Arial" w:eastAsia="Arial" w:cs="Arial"/>
      <w:b/>
      <w:bCs/>
      <w:sz w:val="24"/>
      <w:szCs w:val="24"/>
    </w:rPr>
  </w:style>
  <w:style w:type="character" w:styleId="913" w:customStyle="1">
    <w:name w:val="Heading 6 Char"/>
    <w:basedOn w:val="905"/>
    <w:uiPriority w:val="9"/>
    <w:rPr>
      <w:rFonts w:ascii="Arial" w:hAnsi="Arial" w:eastAsia="Arial" w:cs="Arial"/>
      <w:b/>
      <w:bCs/>
      <w:sz w:val="22"/>
      <w:szCs w:val="22"/>
    </w:rPr>
  </w:style>
  <w:style w:type="character" w:styleId="914" w:customStyle="1">
    <w:name w:val="Heading 7 Char"/>
    <w:basedOn w:val="9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15" w:customStyle="1">
    <w:name w:val="Heading 8 Char"/>
    <w:basedOn w:val="905"/>
    <w:uiPriority w:val="9"/>
    <w:rPr>
      <w:rFonts w:ascii="Arial" w:hAnsi="Arial" w:eastAsia="Arial" w:cs="Arial"/>
      <w:i/>
      <w:iCs/>
      <w:sz w:val="22"/>
      <w:szCs w:val="22"/>
    </w:rPr>
  </w:style>
  <w:style w:type="character" w:styleId="916" w:customStyle="1">
    <w:name w:val="Heading 9 Char"/>
    <w:basedOn w:val="905"/>
    <w:uiPriority w:val="9"/>
    <w:rPr>
      <w:rFonts w:ascii="Arial" w:hAnsi="Arial" w:eastAsia="Arial" w:cs="Arial"/>
      <w:i/>
      <w:iCs/>
      <w:sz w:val="21"/>
      <w:szCs w:val="21"/>
    </w:rPr>
  </w:style>
  <w:style w:type="paragraph" w:styleId="917">
    <w:name w:val="No Spacing"/>
    <w:uiPriority w:val="1"/>
    <w:qFormat/>
    <w:pPr>
      <w:spacing w:after="0" w:line="240" w:lineRule="auto"/>
    </w:pPr>
  </w:style>
  <w:style w:type="character" w:styleId="918" w:customStyle="1">
    <w:name w:val="Title Char"/>
    <w:basedOn w:val="905"/>
    <w:uiPriority w:val="10"/>
    <w:rPr>
      <w:sz w:val="48"/>
      <w:szCs w:val="48"/>
    </w:rPr>
  </w:style>
  <w:style w:type="character" w:styleId="919" w:customStyle="1">
    <w:name w:val="Subtitle Char"/>
    <w:basedOn w:val="905"/>
    <w:uiPriority w:val="11"/>
    <w:rPr>
      <w:sz w:val="24"/>
      <w:szCs w:val="24"/>
    </w:rPr>
  </w:style>
  <w:style w:type="paragraph" w:styleId="920">
    <w:name w:val="Quote"/>
    <w:basedOn w:val="895"/>
    <w:next w:val="895"/>
    <w:link w:val="921"/>
    <w:uiPriority w:val="29"/>
    <w:qFormat/>
    <w:pPr>
      <w:ind w:left="720" w:right="720"/>
    </w:pPr>
    <w:rPr>
      <w:i/>
    </w:rPr>
  </w:style>
  <w:style w:type="character" w:styleId="921" w:customStyle="1">
    <w:name w:val="Цитата 2 Знак"/>
    <w:link w:val="920"/>
    <w:uiPriority w:val="29"/>
    <w:rPr>
      <w:i/>
    </w:rPr>
  </w:style>
  <w:style w:type="paragraph" w:styleId="922">
    <w:name w:val="Intense Quote"/>
    <w:basedOn w:val="895"/>
    <w:next w:val="895"/>
    <w:link w:val="92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923" w:customStyle="1">
    <w:name w:val="Выделенная цитата Знак"/>
    <w:link w:val="922"/>
    <w:uiPriority w:val="30"/>
    <w:rPr>
      <w:i/>
    </w:rPr>
  </w:style>
  <w:style w:type="character" w:styleId="924" w:customStyle="1">
    <w:name w:val="Header Char"/>
    <w:basedOn w:val="905"/>
    <w:uiPriority w:val="99"/>
  </w:style>
  <w:style w:type="character" w:styleId="925" w:customStyle="1">
    <w:name w:val="Footer Char"/>
    <w:basedOn w:val="905"/>
    <w:uiPriority w:val="99"/>
  </w:style>
  <w:style w:type="paragraph" w:styleId="926">
    <w:name w:val="Caption"/>
    <w:basedOn w:val="895"/>
    <w:next w:val="895"/>
    <w:link w:val="927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927" w:customStyle="1">
    <w:name w:val="Caption Char"/>
    <w:uiPriority w:val="35"/>
  </w:style>
  <w:style w:type="table" w:styleId="928" w:customStyle="1">
    <w:name w:val="Table Grid Light"/>
    <w:basedOn w:val="9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29" w:customStyle="1">
    <w:name w:val="Plain Table 1"/>
    <w:basedOn w:val="9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0" w:customStyle="1">
    <w:name w:val="Plain Table 2"/>
    <w:basedOn w:val="9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31" w:customStyle="1">
    <w:name w:val="Plain Table 3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2" w:customStyle="1">
    <w:name w:val="Plain Table 4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Plain Table 5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1 Light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Grid Table 1 Light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Grid Table 1 Light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Grid Table 1 Light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Grid Table 1 Light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Grid Table 1 Light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Grid Table 1 Light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Grid Table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Grid Table 2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Grid Table 2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Grid Table 2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2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2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2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3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3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Grid Table 3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Grid Table 3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Grid Table 3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Grid Table 3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Grid Table 4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56" w:customStyle="1">
    <w:name w:val="Grid Table 4 - Accent 1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57" w:customStyle="1">
    <w:name w:val="Grid Table 4 - Accent 2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58" w:customStyle="1">
    <w:name w:val="Grid Table 4 - Accent 3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59" w:customStyle="1">
    <w:name w:val="Grid Table 4 - Accent 4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60" w:customStyle="1">
    <w:name w:val="Grid Table 4 - Accent 5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61" w:customStyle="1">
    <w:name w:val="Grid Table 4 - Accent 6"/>
    <w:basedOn w:val="9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62" w:customStyle="1">
    <w:name w:val="Grid Table 5 Dark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63" w:customStyle="1">
    <w:name w:val="Grid Table 5 Dark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64" w:customStyle="1">
    <w:name w:val="Grid Table 5 Dark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65" w:customStyle="1">
    <w:name w:val="Grid Table 5 Dark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66" w:customStyle="1">
    <w:name w:val="Grid Table 5 Dark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67" w:customStyle="1">
    <w:name w:val="Grid Table 5 Dark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68" w:customStyle="1">
    <w:name w:val="Grid Table 5 Dark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69" w:customStyle="1">
    <w:name w:val="Grid Table 6 Colorful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70" w:customStyle="1">
    <w:name w:val="Grid Table 6 Colorful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71" w:customStyle="1">
    <w:name w:val="Grid Table 6 Colorful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72" w:customStyle="1">
    <w:name w:val="Grid Table 6 Colorful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73" w:customStyle="1">
    <w:name w:val="Grid Table 6 Colorful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74" w:customStyle="1">
    <w:name w:val="Grid Table 6 Colorful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75" w:customStyle="1">
    <w:name w:val="Grid Table 6 Colorful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76" w:customStyle="1">
    <w:name w:val="Grid Table 7 Colorful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Grid Table 7 Colorful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Grid Table 7 Colorful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Grid Table 7 Colorful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7 Colorful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Grid Table 7 Colorful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Grid Table 7 Colorful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1 Light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1 Light - Accent 1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1 Light - Accent 2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List Table 1 Light - Accent 3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 w:customStyle="1">
    <w:name w:val="List Table 1 Light - Accent 4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 w:customStyle="1">
    <w:name w:val="List Table 1 Light - Accent 5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 w:customStyle="1">
    <w:name w:val="List Table 1 Light - Accent 6"/>
    <w:basedOn w:val="9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 w:customStyle="1">
    <w:name w:val="List Table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91" w:customStyle="1">
    <w:name w:val="List Table 2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92" w:customStyle="1">
    <w:name w:val="List Table 2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93" w:customStyle="1">
    <w:name w:val="List Table 2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94" w:customStyle="1">
    <w:name w:val="List Table 2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95" w:customStyle="1">
    <w:name w:val="List Table 2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96" w:customStyle="1">
    <w:name w:val="List Table 2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97" w:customStyle="1">
    <w:name w:val="List Table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8" w:customStyle="1">
    <w:name w:val="List Table 3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9" w:customStyle="1">
    <w:name w:val="List Table 3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0" w:customStyle="1">
    <w:name w:val="List Table 3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List Table 3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2" w:customStyle="1">
    <w:name w:val="List Table 3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List Table 3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List Table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List Table 4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List Table 4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 w:customStyle="1">
    <w:name w:val="List Table 4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 w:customStyle="1">
    <w:name w:val="List Table 4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 w:customStyle="1">
    <w:name w:val="List Table 4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 w:customStyle="1">
    <w:name w:val="List Table 4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 w:customStyle="1">
    <w:name w:val="List Table 5 Dark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2" w:customStyle="1">
    <w:name w:val="List Table 5 Dark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3" w:customStyle="1">
    <w:name w:val="List Table 5 Dark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4" w:customStyle="1">
    <w:name w:val="List Table 5 Dark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5" w:customStyle="1">
    <w:name w:val="List Table 5 Dark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6" w:customStyle="1">
    <w:name w:val="List Table 5 Dark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7" w:customStyle="1">
    <w:name w:val="List Table 5 Dark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18" w:customStyle="1">
    <w:name w:val="List Table 6 Colorful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19" w:customStyle="1">
    <w:name w:val="List Table 6 Colorful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1020" w:customStyle="1">
    <w:name w:val="List Table 6 Colorful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021" w:customStyle="1">
    <w:name w:val="List Table 6 Colorful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022" w:customStyle="1">
    <w:name w:val="List Table 6 Colorful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023" w:customStyle="1">
    <w:name w:val="List Table 6 Colorful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1024" w:customStyle="1">
    <w:name w:val="List Table 6 Colorful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025" w:customStyle="1">
    <w:name w:val="List Table 7 Colorful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 w:customStyle="1">
    <w:name w:val="List Table 7 Colorful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 w:customStyle="1">
    <w:name w:val="List Table 7 Colorful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 w:customStyle="1">
    <w:name w:val="List Table 7 Colorful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 w:customStyle="1">
    <w:name w:val="List Table 7 Colorful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 w:customStyle="1">
    <w:name w:val="List Table 7 Colorful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 w:customStyle="1">
    <w:name w:val="List Table 7 Colorful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 w:customStyle="1">
    <w:name w:val="Lined - Accent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33" w:customStyle="1">
    <w:name w:val="Lined - Accent 1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34" w:customStyle="1">
    <w:name w:val="Lined - Accent 2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35" w:customStyle="1">
    <w:name w:val="Lined - Accent 3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36" w:customStyle="1">
    <w:name w:val="Lined - Accent 4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37" w:customStyle="1">
    <w:name w:val="Lined - Accent 5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38" w:customStyle="1">
    <w:name w:val="Lined - Accent 6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39" w:customStyle="1">
    <w:name w:val="Bordered &amp; Lined - Accent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40" w:customStyle="1">
    <w:name w:val="Bordered &amp; Lined - Accent 1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1041" w:customStyle="1">
    <w:name w:val="Bordered &amp; Lined - Accent 2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042" w:customStyle="1">
    <w:name w:val="Bordered &amp; Lined - Accent 3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043" w:customStyle="1">
    <w:name w:val="Bordered &amp; Lined - Accent 4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044" w:customStyle="1">
    <w:name w:val="Bordered &amp; Lined - Accent 5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1045" w:customStyle="1">
    <w:name w:val="Bordered &amp; Lined - Accent 6"/>
    <w:basedOn w:val="9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046" w:customStyle="1">
    <w:name w:val="Bordered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047" w:customStyle="1">
    <w:name w:val="Bordered - Accent 1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48" w:customStyle="1">
    <w:name w:val="Bordered - Accent 2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49" w:customStyle="1">
    <w:name w:val="Bordered - Accent 3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50" w:customStyle="1">
    <w:name w:val="Bordered - Accent 4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51" w:customStyle="1">
    <w:name w:val="Bordered - Accent 5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52" w:customStyle="1">
    <w:name w:val="Bordered - Accent 6"/>
    <w:basedOn w:val="9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053" w:customStyle="1">
    <w:name w:val="Footnote Text Char"/>
    <w:uiPriority w:val="99"/>
    <w:rPr>
      <w:sz w:val="18"/>
    </w:rPr>
  </w:style>
  <w:style w:type="character" w:styleId="1054" w:customStyle="1">
    <w:name w:val="Endnote Text Char"/>
    <w:uiPriority w:val="99"/>
    <w:rPr>
      <w:sz w:val="20"/>
    </w:rPr>
  </w:style>
  <w:style w:type="paragraph" w:styleId="1055">
    <w:name w:val="toc 1"/>
    <w:basedOn w:val="895"/>
    <w:next w:val="895"/>
    <w:uiPriority w:val="39"/>
    <w:unhideWhenUsed/>
    <w:pPr>
      <w:ind w:firstLine="0"/>
      <w:spacing w:after="57"/>
    </w:pPr>
  </w:style>
  <w:style w:type="paragraph" w:styleId="1056">
    <w:name w:val="toc 2"/>
    <w:basedOn w:val="895"/>
    <w:next w:val="895"/>
    <w:uiPriority w:val="39"/>
    <w:unhideWhenUsed/>
    <w:pPr>
      <w:ind w:left="283" w:firstLine="0"/>
      <w:spacing w:after="57"/>
    </w:pPr>
  </w:style>
  <w:style w:type="paragraph" w:styleId="1057">
    <w:name w:val="toc 3"/>
    <w:basedOn w:val="895"/>
    <w:next w:val="895"/>
    <w:uiPriority w:val="39"/>
    <w:unhideWhenUsed/>
    <w:pPr>
      <w:ind w:left="567" w:firstLine="0"/>
      <w:spacing w:after="57"/>
    </w:pPr>
  </w:style>
  <w:style w:type="paragraph" w:styleId="1058">
    <w:name w:val="toc 4"/>
    <w:basedOn w:val="895"/>
    <w:next w:val="895"/>
    <w:uiPriority w:val="39"/>
    <w:unhideWhenUsed/>
    <w:pPr>
      <w:ind w:left="850" w:firstLine="0"/>
      <w:spacing w:after="57"/>
    </w:pPr>
  </w:style>
  <w:style w:type="paragraph" w:styleId="1059">
    <w:name w:val="toc 5"/>
    <w:basedOn w:val="895"/>
    <w:next w:val="895"/>
    <w:uiPriority w:val="39"/>
    <w:unhideWhenUsed/>
    <w:pPr>
      <w:ind w:left="1134" w:firstLine="0"/>
      <w:spacing w:after="57"/>
    </w:pPr>
  </w:style>
  <w:style w:type="paragraph" w:styleId="1060">
    <w:name w:val="toc 6"/>
    <w:basedOn w:val="895"/>
    <w:next w:val="895"/>
    <w:uiPriority w:val="39"/>
    <w:unhideWhenUsed/>
    <w:pPr>
      <w:ind w:left="1417" w:firstLine="0"/>
      <w:spacing w:after="57"/>
    </w:pPr>
  </w:style>
  <w:style w:type="paragraph" w:styleId="1061">
    <w:name w:val="toc 7"/>
    <w:basedOn w:val="895"/>
    <w:next w:val="895"/>
    <w:uiPriority w:val="39"/>
    <w:unhideWhenUsed/>
    <w:pPr>
      <w:ind w:left="1701" w:firstLine="0"/>
      <w:spacing w:after="57"/>
    </w:pPr>
  </w:style>
  <w:style w:type="paragraph" w:styleId="1062">
    <w:name w:val="toc 8"/>
    <w:basedOn w:val="895"/>
    <w:next w:val="895"/>
    <w:uiPriority w:val="39"/>
    <w:unhideWhenUsed/>
    <w:pPr>
      <w:ind w:left="1984" w:firstLine="0"/>
      <w:spacing w:after="57"/>
    </w:pPr>
  </w:style>
  <w:style w:type="paragraph" w:styleId="1063">
    <w:name w:val="toc 9"/>
    <w:basedOn w:val="895"/>
    <w:next w:val="895"/>
    <w:uiPriority w:val="39"/>
    <w:unhideWhenUsed/>
    <w:pPr>
      <w:ind w:left="2268" w:firstLine="0"/>
      <w:spacing w:after="57"/>
    </w:pPr>
  </w:style>
  <w:style w:type="paragraph" w:styleId="1064">
    <w:name w:val="TOC Heading"/>
    <w:uiPriority w:val="39"/>
    <w:unhideWhenUsed/>
  </w:style>
  <w:style w:type="paragraph" w:styleId="1065">
    <w:name w:val="table of figures"/>
    <w:basedOn w:val="895"/>
    <w:next w:val="895"/>
    <w:uiPriority w:val="99"/>
    <w:unhideWhenUsed/>
  </w:style>
  <w:style w:type="character" w:styleId="1066" w:customStyle="1">
    <w:name w:val="Заголовок 1 Знак"/>
    <w:basedOn w:val="905"/>
    <w:link w:val="896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1067">
    <w:name w:val="Table Grid"/>
    <w:basedOn w:val="9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68" w:customStyle="1">
    <w:name w:val="Заголовок 2 Знак"/>
    <w:basedOn w:val="905"/>
    <w:link w:val="897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69" w:customStyle="1">
    <w:name w:val="Заголовок 3 Знак"/>
    <w:basedOn w:val="905"/>
    <w:link w:val="89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0">
    <w:name w:val="List Paragraph"/>
    <w:basedOn w:val="895"/>
    <w:uiPriority w:val="34"/>
    <w:qFormat/>
    <w:pPr>
      <w:contextualSpacing/>
      <w:ind w:left="720"/>
    </w:pPr>
  </w:style>
  <w:style w:type="character" w:styleId="1071" w:customStyle="1">
    <w:name w:val="Заголовок 4 Знак"/>
    <w:basedOn w:val="905"/>
    <w:link w:val="899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2">
    <w:name w:val="Subtitle"/>
    <w:basedOn w:val="895"/>
    <w:next w:val="895"/>
    <w:link w:val="1073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1073" w:customStyle="1">
    <w:name w:val="Подзаголовок Знак"/>
    <w:basedOn w:val="905"/>
    <w:link w:val="1072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1074">
    <w:name w:val="footnote text"/>
    <w:basedOn w:val="895"/>
    <w:link w:val="1075"/>
    <w:uiPriority w:val="99"/>
    <w:unhideWhenUsed/>
    <w:rPr>
      <w:sz w:val="20"/>
      <w:szCs w:val="20"/>
    </w:rPr>
  </w:style>
  <w:style w:type="character" w:styleId="1075" w:customStyle="1">
    <w:name w:val="Текст сноски Знак"/>
    <w:basedOn w:val="905"/>
    <w:link w:val="107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76">
    <w:name w:val="footnote reference"/>
    <w:basedOn w:val="905"/>
    <w:uiPriority w:val="99"/>
    <w:unhideWhenUsed/>
    <w:rPr>
      <w:vertAlign w:val="superscript"/>
    </w:rPr>
  </w:style>
  <w:style w:type="character" w:styleId="1077" w:customStyle="1">
    <w:name w:val="Заголовок 5 Знак"/>
    <w:basedOn w:val="905"/>
    <w:link w:val="900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78" w:customStyle="1">
    <w:name w:val="Заголовок 6 Знак"/>
    <w:basedOn w:val="905"/>
    <w:link w:val="901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9">
    <w:name w:val="Header"/>
    <w:basedOn w:val="895"/>
    <w:link w:val="1080"/>
    <w:uiPriority w:val="99"/>
    <w:unhideWhenUsed/>
    <w:pPr>
      <w:jc w:val="center"/>
      <w:tabs>
        <w:tab w:val="center" w:pos="4677" w:leader="none"/>
        <w:tab w:val="right" w:pos="9355" w:leader="none"/>
      </w:tabs>
    </w:pPr>
  </w:style>
  <w:style w:type="character" w:styleId="1080" w:customStyle="1">
    <w:name w:val="Верхний колонтитул Знак"/>
    <w:link w:val="1079"/>
    <w:uiPriority w:val="99"/>
  </w:style>
  <w:style w:type="paragraph" w:styleId="1081">
    <w:name w:val="Footer"/>
    <w:basedOn w:val="895"/>
    <w:link w:val="108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82" w:customStyle="1">
    <w:name w:val="Нижний колонтитул Знак"/>
    <w:basedOn w:val="905"/>
    <w:link w:val="108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83" w:customStyle="1">
    <w:name w:val="6"/>
    <w:basedOn w:val="90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1084">
    <w:name w:val="endnote text"/>
    <w:basedOn w:val="895"/>
    <w:link w:val="1085"/>
    <w:uiPriority w:val="99"/>
    <w:semiHidden/>
    <w:unhideWhenUsed/>
    <w:rPr>
      <w:sz w:val="20"/>
      <w:szCs w:val="20"/>
    </w:rPr>
  </w:style>
  <w:style w:type="character" w:styleId="1085" w:customStyle="1">
    <w:name w:val="Текст концевой сноски Знак"/>
    <w:basedOn w:val="905"/>
    <w:link w:val="1084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86">
    <w:name w:val="endnote reference"/>
    <w:basedOn w:val="905"/>
    <w:uiPriority w:val="99"/>
    <w:semiHidden/>
    <w:unhideWhenUsed/>
    <w:rPr>
      <w:vertAlign w:val="superscript"/>
    </w:rPr>
  </w:style>
  <w:style w:type="paragraph" w:styleId="1087">
    <w:name w:val="Title"/>
    <w:basedOn w:val="895"/>
    <w:next w:val="895"/>
    <w:link w:val="1088"/>
    <w:uiPriority w:val="10"/>
    <w:qFormat/>
    <w:pPr>
      <w:jc w:val="center"/>
      <w:spacing w:before="240"/>
    </w:pPr>
    <w:rPr>
      <w:b/>
    </w:rPr>
  </w:style>
  <w:style w:type="character" w:styleId="1088" w:customStyle="1">
    <w:name w:val="Название Знак"/>
    <w:basedOn w:val="905"/>
    <w:link w:val="1087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89" w:customStyle="1">
    <w:name w:val="Заголовок 7 Знак"/>
    <w:basedOn w:val="905"/>
    <w:link w:val="902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90" w:customStyle="1">
    <w:name w:val="Заголовок 8 Знак"/>
    <w:basedOn w:val="905"/>
    <w:link w:val="903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91" w:customStyle="1">
    <w:name w:val="Заголовок 9 Знак"/>
    <w:basedOn w:val="905"/>
    <w:link w:val="904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92">
    <w:name w:val="Balloon Text"/>
    <w:basedOn w:val="895"/>
    <w:link w:val="109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93" w:customStyle="1">
    <w:name w:val="Текст выноски Знак"/>
    <w:basedOn w:val="905"/>
    <w:link w:val="1092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94" w:customStyle="1">
    <w:name w:val="head21"/>
    <w:basedOn w:val="895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95">
    <w:name w:val="annotation reference"/>
    <w:basedOn w:val="905"/>
    <w:uiPriority w:val="99"/>
    <w:semiHidden/>
    <w:unhideWhenUsed/>
    <w:rPr>
      <w:sz w:val="16"/>
      <w:szCs w:val="16"/>
    </w:rPr>
  </w:style>
  <w:style w:type="paragraph" w:styleId="1096">
    <w:name w:val="annotation text"/>
    <w:basedOn w:val="895"/>
    <w:link w:val="1097"/>
    <w:uiPriority w:val="99"/>
    <w:semiHidden/>
    <w:unhideWhenUsed/>
    <w:rPr>
      <w:sz w:val="20"/>
      <w:szCs w:val="20"/>
    </w:rPr>
  </w:style>
  <w:style w:type="character" w:styleId="1097" w:customStyle="1">
    <w:name w:val="Текст примечания Знак"/>
    <w:basedOn w:val="905"/>
    <w:link w:val="1096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98">
    <w:name w:val="annotation subject"/>
    <w:basedOn w:val="1096"/>
    <w:next w:val="1096"/>
    <w:link w:val="1099"/>
    <w:uiPriority w:val="99"/>
    <w:semiHidden/>
    <w:unhideWhenUsed/>
    <w:rPr>
      <w:b/>
      <w:bCs/>
    </w:rPr>
  </w:style>
  <w:style w:type="character" w:styleId="1099" w:customStyle="1">
    <w:name w:val="Тема примечания Знак"/>
    <w:basedOn w:val="1097"/>
    <w:link w:val="1098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100">
    <w:name w:val="Hyperlink"/>
    <w:basedOn w:val="905"/>
    <w:uiPriority w:val="99"/>
    <w:unhideWhenUsed/>
    <w:rPr>
      <w:color w:val="0563c1" w:themeColor="hyperlink"/>
      <w:u w:val="single"/>
    </w:rPr>
  </w:style>
  <w:style w:type="paragraph" w:styleId="1101" w:customStyle="1">
    <w:name w:val="Заголовок 3;Подпункт ГК"/>
    <w:basedOn w:val="895"/>
    <w:next w:val="895"/>
    <w:link w:val="1102"/>
    <w:uiPriority w:val="9"/>
    <w:unhideWhenUsed/>
    <w:qFormat/>
    <w:pPr>
      <w:contextualSpacing/>
      <w:outlineLvl w:val="2"/>
    </w:pPr>
  </w:style>
  <w:style w:type="character" w:styleId="1102" w:customStyle="1">
    <w:name w:val="Заголовок 3 Знак;Подпункт ГК Знак"/>
    <w:link w:val="1101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35FA-73AA-42B0-A22C-6BA2D01B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malyshevkm</cp:lastModifiedBy>
  <cp:revision>91</cp:revision>
  <dcterms:created xsi:type="dcterms:W3CDTF">2023-04-26T08:59:00Z</dcterms:created>
  <dcterms:modified xsi:type="dcterms:W3CDTF">2026-10-28T10:03:51Z</dcterms:modified>
</cp:coreProperties>
</file>