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header6.xml" ContentType="application/vnd.openxmlformats-officedocument.wordprocessingml.head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3"/>
        <w:rPr>
          <w:bCs/>
        </w:rPr>
      </w:pPr>
      <w:r>
        <w:rPr>
          <w:bCs/>
        </w:rPr>
        <w:t xml:space="preserve"> Государственный контракт № ____________________________</w:t>
      </w:r>
      <w:r>
        <w:rPr>
          <w:bCs/>
        </w:rPr>
      </w:r>
      <w:r>
        <w:rPr>
          <w:bCs/>
        </w:rPr>
      </w:r>
    </w:p>
    <w:p>
      <w:pPr>
        <w:pStyle w:val="823"/>
      </w:pPr>
      <w:r>
        <w:t xml:space="preserve">на поставку жёстких дисков для серверного оборудования</w:t>
      </w:r>
      <w:r/>
    </w:p>
    <w:p>
      <w:r/>
      <w:r/>
    </w:p>
    <w:tbl>
      <w:tblPr>
        <w:tblStyle w:val="99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97"/>
        <w:gridCol w:w="5098"/>
      </w:tblGrid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>
              <w:t xml:space="preserve">г. Москва</w:t>
            </w:r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>
              <w:t xml:space="preserve">«___» ________ 2026 г.</w:t>
            </w:r>
            <w:r/>
          </w:p>
        </w:tc>
      </w:tr>
      <w:tr>
        <w:tblPrEx/>
        <w:trPr>
          <w:trHeight w:val="302"/>
        </w:trPr>
        <w:tc>
          <w:tcPr>
            <w:tcW w:w="5097" w:type="dxa"/>
            <w:vAlign w:val="center"/>
            <w:textDirection w:val="lrTb"/>
            <w:noWrap w:val="false"/>
          </w:tcPr>
          <w:p>
            <w:pPr>
              <w:jc w:val="left"/>
            </w:pPr>
            <w:r/>
            <w:r/>
          </w:p>
        </w:tc>
        <w:tc>
          <w:tcPr>
            <w:tcW w:w="5098" w:type="dxa"/>
            <w:vAlign w:val="center"/>
            <w:textDirection w:val="lrTb"/>
            <w:noWrap w:val="false"/>
          </w:tcPr>
          <w:p>
            <w:pPr>
              <w:jc w:val="right"/>
            </w:pPr>
            <w:r/>
            <w:r/>
          </w:p>
        </w:tc>
      </w:tr>
    </w:tbl>
    <w:p>
      <w:pPr>
        <w:rPr>
          <w:highlight w:val="none"/>
        </w:rPr>
      </w:pPr>
      <w:r>
        <w:rPr>
          <w:sz w:val="24"/>
          <w:szCs w:val="26"/>
        </w:rPr>
        <w:t xml:space="preserve">Министерство энергетики Российской Федерации (Минэнерго России), именуемое </w:t>
      </w:r>
      <w:r>
        <w:rPr>
          <w:sz w:val="24"/>
          <w:szCs w:val="26"/>
        </w:rPr>
        <w:br/>
        <w:t xml:space="preserve">в дальнейшем «Заказчик»,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с одной стороны, </w:t>
      </w:r>
      <w:r>
        <w:br/>
        <w:t xml:space="preserve">и ________________________________, именуемое в дальнейшем «Поставщик», в лице _________________, действующего на основании ____________, с другой стороны, в дальнейшем именуемые «Стороны», а по отдельности – «Сторона», в соответствии</w:t>
      </w:r>
      <w:r>
        <w:t xml:space="preserve"> с пунктом 4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</w:t>
      </w:r>
      <w:r>
        <w:br/>
        <w:t xml:space="preserve">о контрактной системе) заключили настоящий государственный контракт (далее – Контракт)</w:t>
      </w:r>
      <w:r>
        <w:br/>
        <w:t xml:space="preserve">о нижеследующем: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4"/>
        <w:ind w:left="357" w:hanging="357"/>
        <w:spacing w:before="120" w:after="120"/>
      </w:pPr>
      <w:r>
        <w:t xml:space="preserve">Предмет Контракта</w:t>
      </w:r>
      <w:r/>
    </w:p>
    <w:p>
      <w:pPr>
        <w:numPr>
          <w:ilvl w:val="0"/>
          <w:numId w:val="13"/>
        </w:numPr>
        <w:contextualSpacing/>
        <w:ind w:left="0" w:right="19" w:firstLine="567"/>
        <w:tabs>
          <w:tab w:val="left" w:pos="993" w:leader="none"/>
        </w:tabs>
        <w:outlineLvl w:val="9"/>
      </w:pPr>
      <w:r>
        <w:t xml:space="preserve">Поставщик обязуется поставить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жёсткие диски для серверного оборудования </w:t>
      </w:r>
      <w:r>
        <w:t xml:space="preserve">(далее – Товар), а Заказчик принять и оплатить Товар.</w:t>
      </w:r>
      <w:r/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lang w:eastAsia="ar-SA"/>
        </w:rPr>
        <w:t xml:space="preserve">Наименование, характеристики, стоимость и количество Товара указаны </w:t>
      </w:r>
      <w:r>
        <w:rPr>
          <w:lang w:eastAsia="ar-SA"/>
        </w:rPr>
        <w:br/>
        <w:t xml:space="preserve">в Техническом задании (</w:t>
      </w:r>
      <w:bookmarkStart w:id="0" w:name="_Hlk110243451"/>
      <w:r>
        <w:rPr>
          <w:lang w:eastAsia="ar-SA"/>
        </w:rPr>
        <w:t xml:space="preserve">приложение № 1 к настоящему Контракту</w:t>
      </w:r>
      <w:bookmarkEnd w:id="0"/>
      <w:r>
        <w:rPr>
          <w:lang w:eastAsia="ar-SA"/>
        </w:rPr>
        <w:t xml:space="preserve">) и в Спецификации (Приложение № 2 к настоящему Контракту), которые являются неотъемлемой частью настоящего Кон</w:t>
      </w:r>
      <w:r>
        <w:rPr>
          <w:highlight w:val="white"/>
          <w:lang w:eastAsia="ar-SA"/>
        </w:rPr>
        <w:t xml:space="preserve">тракта.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white"/>
        </w:rPr>
        <w:outlineLvl w:val="9"/>
      </w:pPr>
      <w:r>
        <w:rPr>
          <w:highlight w:val="white"/>
          <w:lang w:eastAsia="ar-SA"/>
        </w:rPr>
        <w:t xml:space="preserve">ИКЗ: </w:t>
      </w:r>
      <w:r>
        <w:rPr>
          <w:b w:val="0"/>
          <w:bCs w:val="0"/>
          <w:highlight w:val="white"/>
        </w:rPr>
        <w:t xml:space="preserve">261770584752977050100100360000000244</w:t>
      </w:r>
      <w:r>
        <w:rPr>
          <w:highlight w:val="white"/>
          <w:lang w:eastAsia="ar-SA"/>
        </w:rPr>
        <w:t xml:space="preserve">.</w:t>
      </w:r>
      <w:r>
        <w:rPr>
          <w:highlight w:val="white"/>
        </w:rPr>
      </w:r>
      <w:r>
        <w:rPr>
          <w:highlight w:val="white"/>
        </w:rPr>
      </w:r>
    </w:p>
    <w:p>
      <w:pPr>
        <w:numPr>
          <w:ilvl w:val="0"/>
          <w:numId w:val="13"/>
        </w:numPr>
        <w:contextualSpacing/>
        <w:ind w:right="19" w:hanging="862"/>
        <w:spacing w:line="100" w:lineRule="atLeast"/>
        <w:tabs>
          <w:tab w:val="left" w:pos="993" w:leader="none"/>
        </w:tabs>
        <w:rPr>
          <w:highlight w:val="yellow"/>
        </w:rPr>
        <w:outlineLvl w:val="9"/>
      </w:pPr>
      <w:r>
        <w:rPr>
          <w:highlight w:val="white"/>
          <w:lang w:eastAsia="ar-SA"/>
        </w:rPr>
        <w:t xml:space="preserve">КМИ: </w:t>
      </w:r>
      <w:r>
        <w:rPr>
          <w:bCs/>
          <w:sz w:val="24"/>
          <w:szCs w:val="24"/>
          <w:highlight w:val="white"/>
        </w:rPr>
        <w:t xml:space="preserve">022.00100022.22.Э.50023.26</w:t>
      </w:r>
      <w:r>
        <w:rPr>
          <w:highlight w:val="white"/>
          <w:lang w:eastAsia="ar-SA"/>
        </w:rPr>
        <w:t xml:space="preserve">. </w:t>
      </w:r>
      <w:r>
        <w:rPr>
          <w:highlight w:val="yellow"/>
          <w:lang w:eastAsia="ar-SA"/>
        </w:rPr>
        <w:t xml:space="preserve">     </w:t>
      </w:r>
      <w:r>
        <w:rPr>
          <w:highlight w:val="yellow"/>
        </w:rPr>
      </w:r>
      <w:r>
        <w:rPr>
          <w:highlight w:val="yellow"/>
        </w:rPr>
      </w:r>
    </w:p>
    <w:p>
      <w:pPr>
        <w:numPr>
          <w:ilvl w:val="0"/>
          <w:numId w:val="13"/>
        </w:numPr>
        <w:contextualSpacing/>
        <w:ind w:left="0" w:right="19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t xml:space="preserve">Заказчиком установлено требование об отсутствии в предусмотренном Законом </w:t>
      </w:r>
      <w:r>
        <w:br/>
        <w:t xml:space="preserve">о контрактной системе реестре недобросовестных поставщиков (подрядчиков, исполнителей) информации о Поставщике, в том числе о лицах, информация о которых содержится в заявке </w:t>
      </w:r>
      <w:r>
        <w:br/>
        <w:t xml:space="preserve">на участие в закупке в соответствии с подпунктом «в» пункта 1 части 1 статьи 43 </w:t>
      </w:r>
      <w:r>
        <w:t xml:space="preserve">Закон</w:t>
      </w:r>
      <w:r>
        <w:br/>
        <w:t xml:space="preserve">о контрактной системе</w:t>
      </w:r>
      <w:r>
        <w:t xml:space="preserve">, включенной в такой реестр в связи с отказом от исполнения</w:t>
      </w:r>
      <w:r>
        <w:t xml:space="preserve"> контракта</w:t>
      </w:r>
      <w:r>
        <w:t xml:space="preserve"> </w:t>
      </w:r>
      <w:r>
        <w:t xml:space="preserve">по причине введения </w:t>
      </w:r>
      <w:r>
        <w:t xml:space="preserve">в отношении заказчика политических или экономических санкций иностранными государствами, совмещающими недружественные действия в отношении Российской Федерации, граждан Российской Федерации или российских юридических ли</w:t>
      </w:r>
      <w:r>
        <w:t xml:space="preserve">ц, и (или) введения иностранными государствами, государственными объединениями и (или) союзами и (или) государственными (межгосударственными) учреждениями иностранных государств или государственных объединений и (или) союзов мер ограничительного характера.</w:t>
      </w:r>
      <w:r>
        <w:rPr>
          <w:lang w:eastAsia="ar-SA"/>
        </w:rPr>
      </w:r>
      <w:r>
        <w:rPr>
          <w:lang w:eastAsia="ar-SA"/>
        </w:rPr>
      </w:r>
    </w:p>
    <w:p>
      <w:pPr>
        <w:contextualSpacing/>
        <w:ind w:left="567" w:right="19" w:firstLine="0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highlight w:val="none"/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pStyle w:val="824"/>
        <w:ind w:left="357" w:hanging="357"/>
        <w:spacing w:before="120" w:after="120"/>
      </w:pPr>
      <w:r>
        <w:t xml:space="preserve">Цена Контракта и порядок оплаты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составляет</w:t>
      </w:r>
      <w:r>
        <w:t xml:space="preserve"> __________________ (________________) </w:t>
      </w:r>
      <w:r>
        <w:t xml:space="preserve">рублей __ копеек, </w:t>
      </w:r>
      <w:r>
        <w:br/>
        <w:t xml:space="preserve">в том числе НДС %</w:t>
      </w:r>
      <w:r>
        <w:rPr>
          <w:vertAlign w:val="superscript"/>
        </w:rPr>
        <w:footnoteReference w:id="2"/>
      </w:r>
      <w:r>
        <w:t xml:space="preserve"> __________________ (________________) рублей __ копеек и включает </w:t>
      </w:r>
      <w:r>
        <w:br/>
        <w:t xml:space="preserve">в себя расходы на уплату налогов, пошлин и иных обязательных платежей, в том числе, расходов </w:t>
      </w:r>
      <w:r>
        <w:br/>
        <w:t xml:space="preserve">за доставку, подъем и разгрузку Товара.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Цена Контракта является твёрдой и определяется на весь срок исполнения Контракта </w:t>
      </w:r>
      <w:r>
        <w:br/>
        <w:t xml:space="preserve">и не подлежит изменению.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Все расчеты за поставленный Товар осуществляются в рублях и производятся путем безналичного перечисления денежных средств на расчетный счет Поставщика.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Оплата по настоящему Контракту осуществляется за фактически поставленный Товар </w:t>
      </w:r>
      <w:r>
        <w:br/>
        <w:t xml:space="preserve">на основании Акта приема-передачи товара (Приложение № 3 к настоящему Контракту) </w:t>
      </w:r>
      <w:r>
        <w:br/>
        <w:t xml:space="preserve">с приложением счета, счета фактуры и товарной  накладной или универсального передаточного документа в течение 7 (семи) рабочих дней после подписания Заказчиком Акта приема-передачи товара (Приложение № 3 к </w:t>
      </w:r>
      <w:r>
        <w:rPr>
          <w:lang w:eastAsia="ar-SA"/>
        </w:rPr>
        <w:t xml:space="preserve">настоящему</w:t>
      </w:r>
      <w:r>
        <w:t xml:space="preserve"> Контракту). 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Финансирование по настоящему Контракту осуществляется за счет средств федерального бюджета.</w:t>
      </w:r>
      <w:r/>
    </w:p>
    <w:p>
      <w:pPr>
        <w:numPr>
          <w:ilvl w:val="0"/>
          <w:numId w:val="12"/>
        </w:numPr>
        <w:contextualSpacing/>
        <w:ind w:left="0" w:firstLine="567"/>
        <w:spacing w:line="100" w:lineRule="atLeast"/>
        <w:tabs>
          <w:tab w:val="left" w:pos="993" w:leader="none"/>
        </w:tabs>
        <w:outlineLvl w:val="2"/>
      </w:pPr>
      <w:r>
        <w:t xml:space="preserve">В случае неисполнения Поставщиком требований об уплате неустоек (пеней), предъявляемых Заказчиком, Заказчик производит оплату по Контракту за вычетом соответствующего размера неустойки (пени). Исполнение обязательства Поставщиком </w:t>
      </w:r>
      <w:r>
        <w:br/>
        <w:t xml:space="preserve">по перечислению неустойки (пени) в доход бюджетной системы Российской Федерации </w:t>
      </w:r>
      <w:r>
        <w:br/>
        <w:t xml:space="preserve">в данном случае возлагается на Заказчика и осуществляется последним на основании платежного документа с указанием Поставщика, за которого осуществляется перечисление неустойки (пени) </w:t>
      </w:r>
      <w:r>
        <w:br/>
        <w:t xml:space="preserve">в доход соответствующего бюджета.</w:t>
      </w:r>
      <w:r/>
    </w:p>
    <w:p>
      <w:pPr>
        <w:contextualSpacing/>
        <w:ind w:left="567" w:firstLine="0"/>
        <w:spacing w:line="100" w:lineRule="atLeast"/>
        <w:tabs>
          <w:tab w:val="left" w:pos="993" w:leader="none"/>
        </w:tabs>
        <w:outlineLvl w:val="2"/>
      </w:pPr>
      <w:r>
        <w:rPr>
          <w:highlight w:val="none"/>
        </w:rPr>
      </w:r>
      <w:r>
        <w:rPr>
          <w:highlight w:val="none"/>
        </w:rPr>
      </w:r>
      <w:r/>
    </w:p>
    <w:p>
      <w:pPr>
        <w:pStyle w:val="824"/>
        <w:ind w:left="357" w:hanging="357"/>
        <w:spacing w:before="120" w:after="120"/>
      </w:pPr>
      <w:r>
        <w:t xml:space="preserve">Условия поставки Товара</w:t>
      </w:r>
      <w:r/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Место поставки Товара – административное здание Заказчика (далее – офис), расположенное по </w:t>
      </w:r>
      <w:r>
        <w:rPr>
          <w:lang w:eastAsia="ar-SA"/>
        </w:rPr>
        <w:t xml:space="preserve">адресу: г. Москва, ул. Щепкина, д. 42, </w:t>
      </w:r>
      <w:r>
        <w:t xml:space="preserve">стр. 1, кабинет 1808.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Срок поставки Товара: в </w:t>
      </w:r>
      <w:r>
        <w:rPr>
          <w:color w:val="000000"/>
          <w:lang w:eastAsia="ar-SA"/>
        </w:rPr>
        <w:t xml:space="preserve">течение 7 </w:t>
      </w:r>
      <w:r>
        <w:rPr>
          <w:color w:val="000000"/>
          <w:lang w:eastAsia="ar-SA"/>
        </w:rPr>
        <w:t xml:space="preserve">(семи</w:t>
      </w:r>
      <w:r>
        <w:rPr>
          <w:color w:val="000000"/>
          <w:lang w:eastAsia="ar-SA"/>
        </w:rPr>
        <w:t xml:space="preserve">) рабочих дней</w:t>
      </w:r>
      <w:r>
        <w:rPr>
          <w:color w:val="000000"/>
          <w:lang w:eastAsia="ar-SA"/>
        </w:rPr>
        <w:t xml:space="preserve"> </w:t>
      </w:r>
      <w:r>
        <w:rPr>
          <w:color w:val="000000"/>
          <w:lang w:eastAsia="ar-SA"/>
        </w:rPr>
        <w:t xml:space="preserve">с даты заключения</w:t>
      </w:r>
      <w:r>
        <w:rPr>
          <w:color w:val="000000"/>
          <w:lang w:eastAsia="ar-SA"/>
        </w:rPr>
        <w:t xml:space="preserve"> Контракта. 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осуществляет в офис Заказчика поставку, разгрузку и подъём Товара своими силами и за свой счет.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Товар должен быть упакован и замаркирован в соответствии с действующими стандартами. Упаковка (тара) должна гарантировать целостность и сохранность Товара </w:t>
      </w:r>
      <w:r>
        <w:rPr>
          <w:color w:val="000000"/>
          <w:lang w:eastAsia="ar-SA"/>
        </w:rPr>
        <w:br/>
        <w:t xml:space="preserve">при перевозке и хранении. Упаковка (тара) не должна содержать вскрытие, вмятин, порезов </w:t>
      </w:r>
      <w:r>
        <w:rPr>
          <w:color w:val="000000"/>
          <w:lang w:eastAsia="ar-SA"/>
        </w:rPr>
        <w:br/>
        <w:t xml:space="preserve">и обеспечивать сохранность при транспортировке и хранении. Упаковка (тара) Товара </w:t>
      </w:r>
      <w:r>
        <w:rPr>
          <w:color w:val="000000"/>
          <w:lang w:eastAsia="ar-SA"/>
        </w:rPr>
        <w:br/>
        <w:t xml:space="preserve">и </w:t>
      </w:r>
      <w:r>
        <w:rPr>
          <w:color w:val="000000"/>
          <w:lang w:eastAsia="ar-SA"/>
        </w:rPr>
        <w:t xml:space="preserve">комплектующих</w:t>
      </w:r>
      <w:r>
        <w:rPr>
          <w:color w:val="000000"/>
          <w:lang w:eastAsia="ar-SA"/>
        </w:rPr>
        <w:t xml:space="preserve">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 (опись, упаковочные ярлыки </w:t>
      </w:r>
      <w:r>
        <w:rPr>
          <w:color w:val="000000"/>
          <w:lang w:eastAsia="ar-SA"/>
        </w:rPr>
        <w:br/>
        <w:t xml:space="preserve">или листы).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Поставщик сопроводительным письмом предоставляет Заказчику в день поставки Товара Акт приема-передачи товара (Приложение № 3 к настоящему Контракту) с приложением счета, товарной накладной и счета-фактуры или универсального передаточного документа.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Право на Товар переходит к Заказчику со дня его поставки Заказчику и оплаты полной стоимости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4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Заказчик в течение 10 (десяти) рабочих дней со дня получения Акта приема-передачи товара (Приложение № 3 к Контракту) обязан подписать представленный Поставщиком акт </w:t>
      </w:r>
      <w:r>
        <w:rPr>
          <w:color w:val="000000"/>
          <w:lang w:eastAsia="ar-SA"/>
        </w:rPr>
        <w:br/>
        <w:t xml:space="preserve">(или дать мотивированный отказ) и отправить второй экземпляр по адресу, указанному </w:t>
      </w:r>
      <w:r>
        <w:rPr>
          <w:color w:val="000000"/>
          <w:lang w:eastAsia="ar-SA"/>
        </w:rPr>
        <w:br/>
        <w:t xml:space="preserve">в настоящем Контракте.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24"/>
        <w:ind w:left="357" w:hanging="357"/>
        <w:spacing w:before="120" w:after="120"/>
      </w:pPr>
      <w:r>
        <w:t xml:space="preserve">Обязанности Сторон</w:t>
      </w:r>
      <w:r/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Поставщика: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Поставить Товар в офис Заказчика в сроки в соответствии с условиями настоящего Контракта.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Передать Товар, который по количеству, качеству и описанию соответствует Техническому заданию (Приложение № 1 к настоящему Контракту) и Спецификации (Приложение № 2 к настоящему Контракту).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1"/>
          <w:numId w:val="16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Своевременно и в полном объеме представить документы на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5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Обязанности Заказчика: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Обеспечить оплату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17"/>
        </w:numPr>
        <w:ind w:left="0" w:firstLine="567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Принять Товар в соответствии с разделом 3 настоящего Контракта, в том числе обеспечив приемку Товара, проверку Товара и соответствующей документации.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0" w:firstLine="0"/>
        <w:spacing w:line="100" w:lineRule="atLeast"/>
        <w:tabs>
          <w:tab w:val="left" w:pos="1134" w:leader="none"/>
        </w:tabs>
        <w:rPr>
          <w:color w:val="000000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24"/>
        <w:ind w:left="357" w:hanging="357"/>
        <w:spacing w:before="120" w:after="120"/>
      </w:pPr>
      <w:r>
        <w:t xml:space="preserve">Ответственность Сторон</w:t>
      </w:r>
      <w:r/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За неисполнение или ненадлежащее исполнение своих обязательств по настоящему Контракту Заказчик и Поставщик несут ответственность в соответствии с законодательством Российской Федерации.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возникновения споров Стороны обязуются принять все меры для их разрешения путем договоренности.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просрочки исполнения Поставщиком обязательства, предусмотренного настоящим Контрактом, Заказчик вправе потребовать уплату неустойки (пени) в размере 1/300 действующей на день уплаты неустойки ключе</w:t>
      </w:r>
      <w:r>
        <w:rPr>
          <w:rFonts w:eastAsia="Arial Unicode MS"/>
          <w:lang w:eastAsia="ar-SA"/>
        </w:rPr>
        <w:t xml:space="preserve">вой ставки Центрального банка Российской Федерации за каждый день просрочки исполнения обязательства, предусмотренного настоящим Контрактом, начиная со дня, следующего после дня истечения, установленного настоящим Контрактом срока исполнения обязательства.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В случае задержки платежей Заказчиком против срока, указанного в Контракте, Поставщик вправе потребовать от Заказчика выплату неустойки (п</w:t>
      </w:r>
      <w:r>
        <w:rPr>
          <w:rFonts w:eastAsia="Arial Unicode MS"/>
          <w:lang w:eastAsia="ar-SA"/>
        </w:rPr>
        <w:t xml:space="preserve">ени) на сумму задержанного платежа в размере 1/300 действующей на день уплаты неустойки ключевой ставки Центрального банка Российской Федерации за каждый день просрочки, начиная со дня, следующего за днем истечения срока оплаты, установленного в Контракте.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numPr>
          <w:ilvl w:val="0"/>
          <w:numId w:val="18"/>
        </w:numPr>
        <w:ind w:left="0" w:firstLine="567"/>
        <w:spacing w:line="100" w:lineRule="atLeast"/>
        <w:tabs>
          <w:tab w:val="left" w:pos="993" w:leader="none"/>
        </w:tabs>
        <w:rPr>
          <w:rFonts w:eastAsia="Arial Unicode MS"/>
          <w:lang w:eastAsia="ar-SA"/>
        </w:rPr>
        <w:outlineLvl w:val="9"/>
      </w:pPr>
      <w:r>
        <w:rPr>
          <w:rFonts w:eastAsia="Arial Unicode MS"/>
          <w:lang w:eastAsia="ar-SA"/>
        </w:rPr>
        <w:t xml:space="preserve">При недостижении дог</w:t>
      </w:r>
      <w:r>
        <w:rPr>
          <w:rFonts w:eastAsia="Arial Unicode MS"/>
          <w:lang w:eastAsia="ar-SA"/>
        </w:rPr>
        <w:t xml:space="preserve">оворенности все споры, разногласия или требования, возникающие из настоящего Контракта или в связи с ним, в том числе касающиеся его заключения, исполнения, нарушения, прекращения или недействительности, подлежат рассмотрению в Арбитражном суде г. Москвы. </w:t>
      </w:r>
      <w:r>
        <w:rPr>
          <w:rFonts w:eastAsia="Arial Unicode MS"/>
          <w:lang w:eastAsia="ar-SA"/>
        </w:rPr>
      </w:r>
      <w:r>
        <w:rPr>
          <w:rFonts w:eastAsia="Arial Unicode MS"/>
          <w:lang w:eastAsia="ar-SA"/>
        </w:rPr>
      </w:r>
    </w:p>
    <w:p>
      <w:pPr>
        <w:pStyle w:val="824"/>
        <w:ind w:left="357" w:hanging="357"/>
        <w:spacing w:before="120" w:after="120"/>
      </w:pPr>
      <w:r>
        <w:t xml:space="preserve">Срок действия Контракта</w:t>
      </w:r>
      <w:r/>
    </w:p>
    <w:p>
      <w:pPr>
        <w:numPr>
          <w:ilvl w:val="0"/>
          <w:numId w:val="19"/>
        </w:numPr>
        <w:ind w:left="0" w:firstLine="567"/>
        <w:spacing w:line="100" w:lineRule="atLeast"/>
        <w:shd w:val="clear" w:color="auto" w:fill="ffffff"/>
        <w:tabs>
          <w:tab w:val="left" w:pos="993" w:leader="none"/>
        </w:tabs>
        <w:rPr>
          <w:color w:val="000000"/>
          <w:spacing w:val="-2"/>
          <w:lang w:eastAsia="ar-SA"/>
        </w:rPr>
        <w:outlineLvl w:val="9"/>
      </w:pPr>
      <w:r>
        <w:rPr>
          <w:color w:val="000000"/>
          <w:spacing w:val="-2"/>
          <w:lang w:eastAsia="ar-SA"/>
        </w:rPr>
        <w:t xml:space="preserve">Настоящий Контра</w:t>
      </w:r>
      <w:r>
        <w:rPr>
          <w:color w:val="000000"/>
          <w:spacing w:val="-2"/>
          <w:lang w:eastAsia="ar-SA"/>
        </w:rPr>
        <w:t xml:space="preserve">кт вст</w:t>
      </w:r>
      <w:r>
        <w:rPr>
          <w:color w:val="000000"/>
          <w:spacing w:val="-2"/>
          <w:lang w:eastAsia="ar-SA"/>
        </w:rPr>
        <w:t xml:space="preserve">упает в силу с даты его заключения Сторонами и действует </w:t>
      </w:r>
      <w:r>
        <w:rPr>
          <w:color w:val="000000"/>
          <w:spacing w:val="-2"/>
          <w:lang w:eastAsia="ar-SA"/>
        </w:rPr>
        <w:br/>
        <w:t xml:space="preserve">до полного выполнения Сторонами свои</w:t>
      </w:r>
      <w:r>
        <w:rPr>
          <w:color w:val="000000"/>
          <w:spacing w:val="-2"/>
          <w:lang w:eastAsia="ar-SA"/>
        </w:rPr>
        <w:t xml:space="preserve">х обязательств, но не позднее 01</w:t>
      </w:r>
      <w:r>
        <w:rPr>
          <w:color w:val="000000"/>
          <w:spacing w:val="-2"/>
          <w:lang w:eastAsia="ar-SA"/>
        </w:rPr>
        <w:t xml:space="preserve">.12.</w:t>
      </w:r>
      <w:r>
        <w:rPr>
          <w:spacing w:val="-2"/>
          <w:lang w:eastAsia="ar-SA"/>
        </w:rPr>
      </w:r>
      <w:r>
        <w:rPr>
          <w:color w:val="000000"/>
          <w:spacing w:val="-2"/>
          <w:lang w:eastAsia="ar-SA"/>
        </w:rPr>
        <w:t xml:space="preserve">2026.</w:t>
      </w:r>
      <w:r>
        <w:rPr>
          <w:spacing w:val="-2"/>
          <w:lang w:eastAsia="ar-SA"/>
        </w:rPr>
      </w:r>
      <w:r/>
      <w:r>
        <w:rPr>
          <w:color w:val="000000"/>
          <w:spacing w:val="-2"/>
          <w:lang w:eastAsia="ar-SA"/>
        </w:rPr>
      </w:r>
    </w:p>
    <w:p>
      <w:pPr>
        <w:pStyle w:val="824"/>
        <w:ind w:left="357" w:hanging="357"/>
        <w:spacing w:before="120" w:after="120"/>
      </w:pPr>
      <w:r>
        <w:t xml:space="preserve">Досрочное прекращение Контракта</w:t>
      </w:r>
      <w:r/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Расторжение Контракта допускается по соглашению Сторон, по решению суда, в случае одностороннего отказа Стороны Контракта от исполнения Контракта в соответствии </w:t>
      </w:r>
      <w:r>
        <w:rPr>
          <w:color w:val="000000"/>
        </w:rPr>
        <w:br/>
        <w:t xml:space="preserve">с гражданским законодательством.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0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Заказчик вправе принять решение об одностороннем отказе от исполнения Контракта </w:t>
      </w:r>
      <w:r>
        <w:rPr>
          <w:color w:val="000000"/>
        </w:rPr>
        <w:br/>
        <w:t xml:space="preserve">в случае поставки Товара ненадлежащего качества, нарушении сроков поставки Товара и по иным основаниям,</w:t>
      </w:r>
      <w:r>
        <w:t xml:space="preserve"> </w:t>
      </w:r>
      <w:r>
        <w:rPr>
          <w:color w:val="000000"/>
        </w:rPr>
        <w:t xml:space="preserve">предусмотренным Гражданским кодексом Российской Федерации</w:t>
      </w:r>
      <w:r>
        <w:rPr>
          <w:rFonts w:eastAsia="Arial Unicode MS"/>
        </w:rPr>
        <w:t xml:space="preserve">.</w:t>
      </w:r>
      <w:r>
        <w:rPr>
          <w:lang w:eastAsia="ar-SA"/>
        </w:rPr>
      </w:r>
      <w:r>
        <w:rPr>
          <w:lang w:eastAsia="ar-SA"/>
        </w:rPr>
      </w:r>
    </w:p>
    <w:p>
      <w:pPr>
        <w:pStyle w:val="824"/>
        <w:ind w:left="357" w:hanging="357"/>
        <w:spacing w:before="120" w:after="120"/>
      </w:pPr>
      <w:r>
        <w:t xml:space="preserve">Обстоятельства непреодолимой силы (форс-мажор)</w:t>
      </w:r>
      <w:r/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lang w:eastAsia="ar-SA"/>
        </w:rPr>
        <w:outlineLvl w:val="2"/>
      </w:pPr>
      <w:r>
        <w:rPr>
          <w:color w:val="000000"/>
        </w:rPr>
        <w:t xml:space="preserve">Стороны освобождаются от ответственности за частичное или полное неисполнение обязательств по настоящему Контракту, если это неисполнение явилось следствием обстоятельств непреодолимой силы (форс-мажор).</w:t>
      </w:r>
      <w:r>
        <w:rPr>
          <w:lang w:eastAsia="ar-SA"/>
        </w:rPr>
      </w:r>
      <w:r>
        <w:rPr>
          <w:lang w:eastAsia="ar-SA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О наступлении форс-мажорных обстоятельств, а также о предполагаемом сроке </w:t>
      </w:r>
      <w:r>
        <w:rPr>
          <w:color w:val="000000"/>
        </w:rPr>
        <w:br/>
        <w:t xml:space="preserve">их действия Сторона,</w:t>
      </w:r>
      <w:r>
        <w:rPr>
          <w:color w:val="000000"/>
        </w:rPr>
        <w:t xml:space="preserve"> для которой они наступили, извещает в письменной форме другую Сторону не позднее 3 (трех) рабочих дней с момента их наступления. Сроки исполнения обязательств переносятся пропорционально действию форс-мажорных обстоятельств, но не более чем на два месяца.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Неизвещение или несвоевременное извещение о наступлении таких обстоятельств лишает права любую из Сторон ссылаться на эти обстоятельства как на основание, освобождающее ее </w:t>
      </w:r>
      <w:r>
        <w:rPr>
          <w:color w:val="000000"/>
        </w:rPr>
        <w:t xml:space="preserve">от ответственности за несвоевременное исполнение обязательств по отношению к другой Стороне.</w:t>
      </w:r>
      <w:r>
        <w:rPr>
          <w:color w:val="000000"/>
        </w:rPr>
      </w:r>
      <w:r>
        <w:rPr>
          <w:color w:val="000000"/>
        </w:rPr>
      </w:r>
    </w:p>
    <w:p>
      <w:pPr>
        <w:numPr>
          <w:ilvl w:val="0"/>
          <w:numId w:val="22"/>
        </w:numPr>
        <w:contextualSpacing/>
        <w:ind w:left="0" w:firstLine="567"/>
        <w:spacing w:line="100" w:lineRule="atLeast"/>
        <w:tabs>
          <w:tab w:val="left" w:pos="993" w:leader="none"/>
        </w:tabs>
        <w:rPr>
          <w:color w:val="000000"/>
        </w:rPr>
        <w:outlineLvl w:val="2"/>
      </w:pPr>
      <w:r>
        <w:rPr>
          <w:color w:val="000000"/>
        </w:rPr>
        <w:t xml:space="preserve">В случае если форс-мажорные обстоятельства продлятся более двух месяцев, Стороны вправе расторгнуть настоящий Контракт, создав комиссию из представителей Сторон </w:t>
      </w:r>
      <w:r>
        <w:rPr>
          <w:color w:val="000000"/>
        </w:rPr>
        <w:br/>
        <w:t xml:space="preserve">для урегулирования всех споров.</w:t>
      </w:r>
      <w:r>
        <w:rPr>
          <w:color w:val="000000"/>
        </w:rPr>
      </w:r>
      <w:r>
        <w:rPr>
          <w:color w:val="000000"/>
        </w:rPr>
      </w:r>
    </w:p>
    <w:p>
      <w:pPr>
        <w:pStyle w:val="824"/>
        <w:ind w:left="357" w:hanging="357"/>
        <w:spacing w:before="120" w:after="120"/>
      </w:pPr>
      <w:r>
        <w:t xml:space="preserve">Другие условия</w:t>
      </w:r>
      <w:r/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споры и разногласия, которые могут возникнуть по настоящему Контракту </w:t>
      </w:r>
      <w:r>
        <w:rPr>
          <w:color w:val="000000"/>
          <w:lang w:eastAsia="ar-SA"/>
        </w:rPr>
        <w:br/>
        <w:t xml:space="preserve">или в связи с ним, Стороны будут стремиться разрешить путем переговоров.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Настоящий Контракт составлен в 2 (двух) экземплярах, имеющих одинаковую юридическую силу, по одному для каждой из Сторон.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Все приложения и изменения по основаниям, предусмотренным настоящим Контрактом, являются его неотъемлемой частью.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 изменении места нахождения и банковских реквизитов Стороны обязаны в течение </w:t>
      </w:r>
      <w:r>
        <w:rPr>
          <w:color w:val="000000"/>
          <w:lang w:eastAsia="ar-SA"/>
        </w:rPr>
        <w:br/>
        <w:t xml:space="preserve">5 (пяти) рабочих дней письменно известить об этом друг друга.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numPr>
          <w:ilvl w:val="0"/>
          <w:numId w:val="23"/>
        </w:numPr>
        <w:ind w:left="0" w:firstLine="567"/>
        <w:spacing w:line="100" w:lineRule="atLeast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Приложения к Контракту: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567" w:firstLine="0"/>
        <w:tabs>
          <w:tab w:val="left" w:pos="993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1 – Техническое задание;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2 – Спецификация;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jc w:val="left"/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 – Форма акта приема-передачи товара.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pStyle w:val="824"/>
        <w:ind w:left="357" w:hanging="357"/>
        <w:spacing w:before="120" w:after="120"/>
      </w:pPr>
      <w:r/>
      <w:bookmarkStart w:id="1" w:name="_Ref94177724"/>
      <w:r>
        <w:t xml:space="preserve">Реквизиты Сторон</w:t>
      </w:r>
      <w:bookmarkEnd w:id="1"/>
      <w:r/>
      <w:r/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>
          <w:trHeight w:val="313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22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070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5536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Электронная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Юридический адрес: 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Почтовый адрес: 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ИНН _____________, КПП 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ОКПО:____________,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ОКТМО:__________,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ОГРН:___________,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ОКВЭД:____________,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Электронная почта:____________________,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Тел.:____________________________,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Банковские реквизиты: 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БИК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1504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ЗАКАЗЧИК: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Директор Департамента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цифровой трансформации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 Ф.В. Мицкевич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 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 _____________/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87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М.П.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jc w:val="right"/>
        <w:tabs>
          <w:tab w:val="center" w:pos="2420" w:leader="none"/>
          <w:tab w:val="left" w:pos="3840" w:leader="none"/>
        </w:tabs>
        <w:rPr>
          <w:color w:val="000000"/>
          <w:sz w:val="12"/>
        </w:rPr>
        <w:sectPr>
          <w:headerReference w:type="default" r:id="rId9"/>
          <w:headerReference w:type="even" r:id="rId10"/>
          <w:headerReference w:type="first" r:id="rId11"/>
          <w:footerReference w:type="even" r:id="rId15"/>
          <w:footerReference w:type="first" r:id="rId16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>
        <w:rPr>
          <w:color w:val="000000"/>
          <w:sz w:val="12"/>
        </w:rPr>
      </w:r>
      <w:r>
        <w:rPr>
          <w:color w:val="000000"/>
          <w:sz w:val="12"/>
        </w:rPr>
      </w:r>
      <w:r>
        <w:rPr>
          <w:color w:val="000000"/>
          <w:sz w:val="12"/>
        </w:rPr>
      </w:r>
    </w:p>
    <w:p>
      <w:pPr>
        <w:jc w:val="right"/>
        <w:tabs>
          <w:tab w:val="center" w:pos="2420" w:leader="none"/>
          <w:tab w:val="left" w:pos="3840" w:leader="none"/>
        </w:tabs>
        <w:rPr>
          <w:color w:val="000000"/>
        </w:rPr>
      </w:pPr>
      <w:r>
        <w:rPr>
          <w:color w:val="000000"/>
        </w:rPr>
        <w:t xml:space="preserve">Приложение № 1</w:t>
      </w:r>
      <w:r>
        <w:rPr>
          <w:color w:val="000000"/>
        </w:rPr>
      </w:r>
      <w:r>
        <w:rPr>
          <w:color w:val="000000"/>
        </w:rPr>
      </w:r>
    </w:p>
    <w:p>
      <w:pPr>
        <w:jc w:val="right"/>
        <w:tabs>
          <w:tab w:val="center" w:pos="2420" w:leader="none"/>
          <w:tab w:val="left" w:pos="3840" w:leader="none"/>
        </w:tabs>
      </w:pPr>
      <w:r>
        <w:rPr>
          <w:color w:val="000000"/>
        </w:rPr>
        <w:t xml:space="preserve">к Контракту № </w:t>
      </w:r>
      <w:r>
        <w:t xml:space="preserve">__________________</w:t>
      </w:r>
      <w:r/>
    </w:p>
    <w:p>
      <w:pPr>
        <w:jc w:val="right"/>
        <w:tabs>
          <w:tab w:val="center" w:pos="2420" w:leader="none"/>
          <w:tab w:val="left" w:pos="3840" w:leader="none"/>
        </w:tabs>
      </w:pPr>
      <w:r>
        <w:t xml:space="preserve">от «___» ________2026 г.</w:t>
      </w:r>
      <w:r>
        <w:rPr>
          <w:highlight w:val="none"/>
        </w:rPr>
      </w:r>
      <w:r/>
    </w:p>
    <w:p>
      <w:pPr>
        <w:pStyle w:val="1014"/>
        <w:ind w:firstLine="0"/>
        <w:jc w:val="left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1014"/>
        <w:rPr>
          <w:highlight w:val="none"/>
        </w:rPr>
      </w:pPr>
      <w:r>
        <w:t xml:space="preserve">ТЕХНИЧЕСКОЕ ЗАДАНИЕ</w:t>
      </w:r>
      <w:r>
        <w:rPr>
          <w:highlight w:val="none"/>
        </w:rPr>
      </w:r>
      <w:r>
        <w:rPr>
          <w:highlight w:val="none"/>
        </w:rPr>
      </w:r>
    </w:p>
    <w:p>
      <w:pPr>
        <w:pStyle w:val="823"/>
      </w:pPr>
      <w:r>
        <w:t xml:space="preserve">на поставку жёстких дисков для серверного оборудования</w:t>
      </w:r>
      <w:r/>
    </w:p>
    <w:p>
      <w:r/>
      <w:r/>
    </w:p>
    <w:p>
      <w:pPr>
        <w:pStyle w:val="829"/>
      </w:pPr>
      <w:r>
        <w:t xml:space="preserve">Наименование закупки</w:t>
      </w:r>
      <w:r/>
    </w:p>
    <w:p>
      <w:r>
        <w:rPr>
          <w:bCs/>
        </w:rPr>
      </w:r>
      <w:r>
        <w:rPr>
          <w:bCs/>
        </w:rPr>
        <w:t xml:space="preserve">Поставка жёстких дисков для серверного оборудования</w:t>
      </w:r>
      <w:r>
        <w:rPr>
          <w:bCs/>
        </w:rPr>
        <w:t xml:space="preserve"> </w:t>
      </w:r>
      <w:r>
        <w:t xml:space="preserve">(далее – Товар) согласно Спецификации.</w:t>
      </w:r>
      <w:r/>
    </w:p>
    <w:p>
      <w:pPr>
        <w:pStyle w:val="829"/>
      </w:pPr>
      <w:r>
        <w:t xml:space="preserve">Сроки поставки Товара</w:t>
      </w:r>
      <w:r/>
    </w:p>
    <w:p>
      <w:r>
        <w:t xml:space="preserve">Поставка Товара осуществляется в течение 7</w:t>
      </w:r>
      <w:r>
        <w:rPr>
          <w:color w:val="000000"/>
          <w:lang w:eastAsia="ar-SA"/>
        </w:rPr>
        <w:t xml:space="preserve"> (семи</w:t>
      </w:r>
      <w:r>
        <w:rPr>
          <w:color w:val="000000"/>
          <w:lang w:eastAsia="ar-SA"/>
        </w:rPr>
        <w:t xml:space="preserve">)</w:t>
      </w:r>
      <w:r>
        <w:t xml:space="preserve"> </w:t>
      </w:r>
      <w:r>
        <w:t xml:space="preserve">рабочих</w:t>
      </w:r>
      <w:r>
        <w:t xml:space="preserve"> дней </w:t>
      </w:r>
      <w:r>
        <w:t xml:space="preserve">с даты заключения</w:t>
      </w:r>
      <w:r>
        <w:t xml:space="preserve"> Контракта. </w:t>
      </w:r>
      <w:r/>
    </w:p>
    <w:p>
      <w:r>
        <w:t xml:space="preserve">Доставка, разгрузка, размещение Товара в помещениях Заказчика осуществляется в рабочие часы Заказчика (по рабочим дням с 9 часов 00 минут до 18 часов 00 минут; по пятницам</w:t>
      </w:r>
      <w:r>
        <w:br/>
        <w:t xml:space="preserve">и предпраздничным дням – с 9 часов 00 минут до 16 часов 45 минут) с учетом времени</w:t>
      </w:r>
      <w:r>
        <w:br/>
        <w:t xml:space="preserve">на разгрузку Товара в присутствии представителя Поставщика. </w:t>
      </w:r>
      <w:r/>
    </w:p>
    <w:p>
      <w:r>
        <w:t xml:space="preserve">Поставщик направляет Заказчику уведомление о готовности поставить Товар</w:t>
      </w:r>
      <w:r>
        <w:br/>
        <w:t xml:space="preserve">на электронный адрес: compred@minenergo.gov.ru не позднее 2 (двух) рабочих дней до начала поставки Товара. </w:t>
      </w:r>
      <w:r/>
    </w:p>
    <w:p>
      <w:r>
        <w:t xml:space="preserve">В уведомлении необходимо указать дату, время поставки Товара, номер и марку транспортного средства, фамилию, имя, отчество, паспортные данные водителя, грузчиков</w:t>
      </w:r>
      <w:r>
        <w:br/>
        <w:t xml:space="preserve">и уполномоченного представителя Поставщика.</w:t>
      </w:r>
      <w:r/>
    </w:p>
    <w:p>
      <w:r>
        <w:t xml:space="preserve">Электронный адрес compred@minenergo.gov.ru используется исключительно</w:t>
      </w:r>
      <w:r>
        <w:br/>
        <w:t xml:space="preserve">для уведомления Заказчика о готовности поставить Товар.</w:t>
      </w:r>
      <w:r/>
    </w:p>
    <w:p>
      <w:pPr>
        <w:pStyle w:val="829"/>
      </w:pPr>
      <w:r>
        <w:t xml:space="preserve">Место поставки Товара</w:t>
      </w:r>
      <w:r/>
    </w:p>
    <w:p>
      <w:r>
        <w:t xml:space="preserve">Поставка Товара осуществляется по адресу: 129110, г.</w:t>
      </w:r>
      <w:r>
        <w:t xml:space="preserve"> Москва, ул. Щепкина, д. 42, стр. 1, кабинет 1808 силами и транспортом Поставщика и за его счет. Доставка Товара, разгрузка-погрузка (подъем) в помещениях Заказчика сопровождается уполномоченным представителем Поставщика на основании доверенности.</w:t>
      </w:r>
      <w:r/>
    </w:p>
    <w:p>
      <w:pPr>
        <w:pStyle w:val="829"/>
        <w:numPr>
          <w:ilvl w:val="0"/>
          <w:numId w:val="3"/>
        </w:numPr>
      </w:pPr>
      <w:r>
        <w:t xml:space="preserve">Требования к безопасности, функциональным характеристикам (потребительским свойствам) Товара</w:t>
      </w:r>
      <w:r/>
    </w:p>
    <w:p>
      <w:r>
        <w:t xml:space="preserve">Маркировка Товара должна содержать все признаки, установленные производителем: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-голограммы, защитные пломбы, марки, содержащие все элементы защиты от подделок (микротекст, термополоса и т.п.); 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-корпус Товара не должен иметь потертостей, царапин, сколов и следов вскрытия.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-на коробке должен быть нанесен номер партии, совпадающий с номером, нанесенным на Товаре.</w:t>
      </w:r>
      <w:r/>
    </w:p>
    <w:p>
      <w:pPr>
        <w:pStyle w:val="829"/>
        <w:numPr>
          <w:ilvl w:val="0"/>
          <w:numId w:val="3"/>
        </w:numPr>
      </w:pPr>
      <w:r>
        <w:t xml:space="preserve">Требования к упаковке Товара.</w:t>
      </w:r>
      <w:r/>
    </w:p>
    <w:p>
      <w:r>
        <w:t xml:space="preserve">Упаковка должна обеспечивать безопасность транспортировки Товара и сохранность его качества в течение гарантийного срока хранения.</w:t>
      </w:r>
      <w:r/>
    </w:p>
    <w:p>
      <w:r>
        <w:t xml:space="preserve">На упаковочной коробке должны быть нанесена следующая информация: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-информация о производителе; 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-гарантийный срок хранения до ввода </w:t>
      </w:r>
      <w:r>
        <w:t xml:space="preserve">Товара</w:t>
      </w:r>
      <w:r>
        <w:t xml:space="preserve">  в эксплуатацию (если установлен производителем);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-манипуляционные знаки по ГОСТ 14192-96 «Межгосударственный стандарт. Маркировка грузов»;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-код </w:t>
      </w:r>
      <w:r>
        <w:t xml:space="preserve">Товара</w:t>
      </w:r>
      <w:r>
        <w:t xml:space="preserve">;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-дата изготовления;</w:t>
      </w:r>
      <w:r/>
    </w:p>
    <w:p>
      <w:pPr>
        <w:pStyle w:val="828"/>
        <w:numPr>
          <w:ilvl w:val="0"/>
          <w:numId w:val="0"/>
        </w:numPr>
        <w:ind w:left="993" w:firstLine="0"/>
      </w:pPr>
      <w:r>
        <w:t xml:space="preserve">-иная информация, которую производитель сочтет необходимым разместить.</w:t>
      </w:r>
      <w:r/>
    </w:p>
    <w:p>
      <w:r>
        <w:t xml:space="preserve">Этикетки и наклейки должны быть четкими, чистыми и хорошо читаемыми.</w:t>
      </w:r>
      <w:r/>
    </w:p>
    <w:p>
      <w:pPr>
        <w:rPr>
          <w:highlight w:val="none"/>
        </w:rPr>
      </w:pPr>
      <w:r>
        <w:t xml:space="preserve">На тра</w:t>
      </w:r>
      <w:r>
        <w:t xml:space="preserve">нспортировочную упаковку информация наносится типографическим способом или при помощи наклеек и должна содержать следующие данные: товарный знак изготовителя/поставщика, транспортная маркировка и манипуляционные знаки, код/наименование и количество Товара.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</w:pPr>
      <w:r/>
      <w:r/>
    </w:p>
    <w:p>
      <w:pPr>
        <w:pStyle w:val="829"/>
        <w:numPr>
          <w:ilvl w:val="0"/>
          <w:numId w:val="0"/>
        </w:numPr>
        <w:ind w:left="0" w:firstLine="0"/>
      </w:pPr>
      <w:r>
        <w:t xml:space="preserve">6. Общие требования к Товару</w:t>
      </w:r>
      <w:r/>
    </w:p>
    <w:p>
      <w:r/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ОКПД</w:t>
      </w:r>
      <w:r>
        <w:t xml:space="preserve">2</w:t>
      </w:r>
      <w:r>
        <w:t xml:space="preserve">: </w:t>
      </w:r>
      <w:r>
        <w:t xml:space="preserve">26.20.22.120</w:t>
      </w:r>
      <w:r>
        <w:t xml:space="preserve"> - </w:t>
      </w:r>
      <w:r>
        <w:t xml:space="preserve">Устройства встраиваемые запоминающие полупроводниковые, сохраняющие информацию при выключении питания (твердотельные накопители информации)</w:t>
      </w:r>
      <w:r/>
    </w:p>
    <w:p>
      <w:pPr>
        <w:ind w:left="425" w:firstLine="0"/>
        <w:spacing w:line="360" w:lineRule="auto"/>
      </w:pPr>
      <w:r>
        <w:t xml:space="preserve">      </w:t>
      </w:r>
      <w:r>
        <w:t xml:space="preserve">Код КТРУ:26.20.21.110 - 00000003 - </w:t>
      </w:r>
      <w:r>
        <w:t xml:space="preserve">Накопитель данных внутренний</w:t>
      </w:r>
      <w:r/>
    </w:p>
    <w:p>
      <w:pPr>
        <w:ind w:firstLine="0"/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tabs>
          <w:tab w:val="left" w:pos="7733" w:leader="none"/>
        </w:tabs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Состав поставляемых Товаров представлен в Та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 xml:space="preserve">блице 1.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lang w:eastAsia="en-US"/>
        </w:rPr>
        <w:tab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shd w:val="nil" w:color="auto"/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  <w:br w:type="page" w:clear="all"/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</w:p>
    <w:p>
      <w:pPr>
        <w:tabs>
          <w:tab w:val="left" w:pos="7733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  <w:sectPr>
          <w:headerReference w:type="default" r:id="rId12"/>
          <w:headerReference w:type="first" r:id="rId13"/>
          <w:footnotePr/>
          <w:endnotePr/>
          <w:type w:val="nextPage"/>
          <w:pgSz w:w="11906" w:h="16838" w:orient="portrait"/>
          <w:pgMar w:top="567" w:right="567" w:bottom="567" w:left="1134" w:header="709" w:footer="709" w:gutter="0"/>
          <w:pgNumType w:start="2"/>
          <w:cols w:num="1" w:sep="0" w:space="708" w:equalWidth="1"/>
          <w:docGrid w:linePitch="360"/>
          <w:titlePg/>
        </w:sect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lang w:eastAsia="en-US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</w:p>
    <w:p>
      <w:pPr>
        <w:ind w:firstLine="0"/>
        <w:jc w:val="left"/>
        <w:spacing w:line="340" w:lineRule="atLeast"/>
        <w:widowControl w:val="off"/>
        <w:tabs>
          <w:tab w:val="left" w:pos="2848" w:leader="none"/>
        </w:tabs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white"/>
          <w:lang w:eastAsia="en-US"/>
        </w:rPr>
        <w:t xml:space="preserve">Состав поставляемых Товаров представлен в Таблице 1.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white"/>
        </w:rPr>
      </w:r>
    </w:p>
    <w:tbl>
      <w:tblPr>
        <w:tblStyle w:val="994"/>
        <w:tblW w:w="15023" w:type="dxa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fixed"/>
        <w:tblLook w:val="04A0" w:firstRow="1" w:lastRow="0" w:firstColumn="1" w:lastColumn="0" w:noHBand="0" w:noVBand="1"/>
      </w:tblPr>
      <w:tblGrid>
        <w:gridCol w:w="756"/>
        <w:gridCol w:w="4421"/>
        <w:gridCol w:w="1843"/>
        <w:gridCol w:w="4677"/>
        <w:gridCol w:w="3326"/>
      </w:tblGrid>
      <w:tr>
        <w:tblPrEx/>
        <w:trPr>
          <w:trHeight w:val="1152"/>
          <w:tblHeader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№п/п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объекта закупки, товарный знак, знаки обслуживания, фирменные наименования, патенты, полезные модели, промышленные образцы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Позиции по КТРУ, ОКПД2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Количество (объем) и единица измерения товара, работы, услуги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75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sz w:val="24"/>
                <w:szCs w:val="24"/>
                <w:highlight w:val="none"/>
              </w:rPr>
              <w:t xml:space="preserve">Жесткий диск </w:t>
            </w:r>
            <w:r>
              <w:rPr>
                <w:sz w:val="24"/>
                <w:szCs w:val="24"/>
                <w:highlight w:val="none"/>
              </w:rPr>
              <w:t xml:space="preserve">Western Digital Ultrastar DC HA340 </w:t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color w:val="000000" w:themeColor="text1"/>
                <w:sz w:val="24"/>
                <w:szCs w:val="24"/>
                <w:highlight w:val="none"/>
              </w:rPr>
              <w:t xml:space="preserve">или эквивалент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Товар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26.20.22.120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br/>
              <w:t xml:space="preserve"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Устройства встраиваемые запоминающие полупроводниковые, сохраняющие информацию при выключении питания (твердотельные накопители информации)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26.20.21.110 - 00000003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(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Накопитель данных внутренний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4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Штуки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 (шт.)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4267" w:type="dxa"/>
            <w:vAlign w:val="top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Характеристики объекта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Наименование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Единица измерения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Инструкция по заполнению характеристики в заявке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 xml:space="preserve">Объем накопителя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 10000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hd w:val="nil" w:color="000000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pP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  <w:t xml:space="preserve">Гигабайт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color w:val="000000" w:themeColor="text1"/>
                <w:sz w:val="24"/>
                <w:szCs w:val="24"/>
                <w:highlight w:val="whit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Тип устройства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H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D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D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6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Метод записи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CMR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Наличие интерфейсов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SATA III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Объем буферной памяти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Roboto" w:hAnsi="Roboto" w:eastAsia="Roboto" w:cs="Roboto"/>
                <w:color w:val="334059"/>
                <w:sz w:val="21"/>
                <w:highlight w:val="white"/>
              </w:rPr>
              <w:t xml:space="preserve">≥</w:t>
            </w:r>
            <w:r>
              <w:t xml:space="preserve">512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Мегабайт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Скорость вращения (RPM)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 7000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Оборот в минуту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>
          <w:trHeight w:val="4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Скорость записи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 200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Мегабайт в секунду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Скорость чтения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≥ 200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Мегабайт в секунду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  <w:tr>
        <w:tblPrEx/>
        <w:trPr/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0" w:type="auto"/>
            <w:vMerge w:val="restart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421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Форм‑фактор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1843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t xml:space="preserve">3,5 </w:t>
            </w:r>
            <w:r>
              <w:t xml:space="preserve">дюйма</w:t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467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before="0"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Mar>
              <w:left w:w="75" w:type="dxa"/>
              <w:top w:w="75" w:type="dxa"/>
              <w:right w:w="75" w:type="dxa"/>
              <w:bottom w:w="75" w:type="dxa"/>
            </w:tcMar>
            <w:tcW w:w="3326" w:type="dxa"/>
            <w:vAlign w:val="top"/>
            <w:vMerge w:val="restart"/>
            <w:textDirection w:val="lrTb"/>
            <w:noWrap w:val="false"/>
          </w:tcPr>
          <w:p>
            <w:pPr>
              <w:ind w:firstLine="0"/>
              <w:jc w:val="center"/>
              <w:spacing w:before="0"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white"/>
              </w:rPr>
              <w:t xml:space="preserve">Значение характеристики не может изменяться участником закупки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white"/>
              </w:rPr>
            </w:r>
          </w:p>
        </w:tc>
      </w:tr>
    </w:tbl>
    <w:p>
      <w:r/>
      <w:r/>
    </w:p>
    <w:p>
      <w:r>
        <w:t xml:space="preserve">Товар должен быть свободным от прав третьих лиц, гарантировать бесперебойную работу оборудования и обеспечивать полное с ним взаимодействие.</w:t>
      </w:r>
      <w:r/>
    </w:p>
    <w:p>
      <w:pPr>
        <w:rPr>
          <w:highlight w:val="none"/>
        </w:rPr>
      </w:pPr>
      <w:r>
        <w:t xml:space="preserve">Гарантия Поставщика на поставляемый Товар должна составлять 12 (двенадцать</w:t>
      </w:r>
      <w:r>
        <w:t xml:space="preserve">) месяцев </w:t>
      </w:r>
      <w:r>
        <w:t xml:space="preserve">с даты подписания</w:t>
      </w:r>
      <w:r>
        <w:t xml:space="preserve"> Акта приема-передачи Товара.</w:t>
      </w:r>
      <w:r>
        <w:rPr>
          <w:highlight w:val="none"/>
        </w:rPr>
      </w:r>
      <w:r>
        <w:rPr>
          <w:highlight w:val="none"/>
        </w:rPr>
      </w:r>
    </w:p>
    <w:p>
      <w:r>
        <w:rPr>
          <w:highlight w:val="none"/>
        </w:rPr>
      </w:r>
      <w:r>
        <w:t xml:space="preserve">Комплект поставки должен включать салазки (направляющие) для подключения и установки накопителя в серверную стойку или корпус.</w:t>
      </w:r>
      <w:r/>
    </w:p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tbl>
      <w:tblPr>
        <w:tblW w:w="4823" w:type="pct"/>
        <w:jc w:val="center"/>
        <w:tblInd w:w="-1221" w:type="dxa"/>
        <w:tblLayout w:type="fixed"/>
        <w:tblLook w:val="0000" w:firstRow="0" w:lastRow="0" w:firstColumn="0" w:lastColumn="0" w:noHBand="0" w:noVBand="0"/>
      </w:tblPr>
      <w:tblGrid>
        <w:gridCol w:w="66"/>
        <w:gridCol w:w="8709"/>
        <w:gridCol w:w="6581"/>
      </w:tblGrid>
      <w:tr>
        <w:tblPrEx/>
        <w:trPr>
          <w:gridBefore w:val="1"/>
          <w:jc w:val="center"/>
        </w:trPr>
        <w:tc>
          <w:tcPr>
            <w:shd w:val="clear" w:color="auto" w:fill="auto"/>
            <w:tcW w:w="870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____________________/Ф.В. 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6581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jc w:val="center"/>
          <w:trHeight w:val="80"/>
        </w:trPr>
        <w:tc>
          <w:tcPr>
            <w:gridSpan w:val="2"/>
            <w:shd w:val="clear" w:color="auto" w:fill="auto"/>
            <w:tcW w:w="877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6581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left="1562" w:firstLine="6237"/>
        <w:jc w:val="right"/>
        <w:spacing w:before="20" w:line="100" w:lineRule="atLeast"/>
        <w:tabs>
          <w:tab w:val="left" w:pos="6946" w:leader="none"/>
        </w:tabs>
        <w:rPr>
          <w:color w:val="000000"/>
          <w:highlight w:val="none"/>
          <w:lang w:eastAsia="ar-SA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shd w:val="nil" w:color="auto"/>
        <w:rPr>
          <w:color w:val="000000"/>
          <w:highlight w:val="none"/>
          <w:lang w:eastAsia="ar-SA"/>
        </w:rPr>
        <w:sectPr>
          <w:headerReference w:type="default" r:id="rId14"/>
          <w:footnotePr/>
          <w:endnotePr/>
          <w:type w:val="continuous"/>
          <w:pgSz w:w="16838" w:h="11906" w:orient="landscape"/>
          <w:pgMar w:top="1134" w:right="567" w:bottom="567" w:left="567" w:header="709" w:footer="709" w:gutter="0"/>
          <w:pgNumType w:start="3"/>
          <w:cols w:num="1" w:sep="0" w:space="708" w:equalWidth="1"/>
          <w:docGrid w:linePitch="360"/>
          <w:titlePg/>
        </w:sect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  <w:r>
        <w:rPr>
          <w:color w:val="000000"/>
          <w:highlight w:val="none"/>
          <w:lang w:eastAsia="ar-SA"/>
        </w:rPr>
      </w:r>
    </w:p>
    <w:p>
      <w:pPr>
        <w:jc w:val="right"/>
        <w:shd w:val="nil" w:color="000000"/>
        <w:rPr>
          <w:highlight w:val="none"/>
        </w:rPr>
        <w:outlineLvl w:val="9"/>
      </w:pPr>
      <w:r>
        <w:rPr>
          <w:color w:val="000000"/>
          <w:highlight w:val="none"/>
          <w:lang w:eastAsia="ar-SA"/>
        </w:rPr>
      </w:r>
      <w:r>
        <w:rPr>
          <w:color w:val="000000"/>
          <w:lang w:eastAsia="ar-SA"/>
        </w:rPr>
        <w:t xml:space="preserve">Приложение № 2</w:t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</w:t>
      </w:r>
      <w:r>
        <w:rPr>
          <w:lang w:eastAsia="ar-SA"/>
        </w:rPr>
        <w:t xml:space="preserve">__________________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right"/>
        <w:spacing w:line="100" w:lineRule="atLeast"/>
        <w:tabs>
          <w:tab w:val="center" w:pos="2420" w:leader="none"/>
          <w:tab w:val="left" w:pos="3840" w:leader="none"/>
        </w:tabs>
        <w:rPr>
          <w:lang w:eastAsia="ar-SA"/>
        </w:rPr>
        <w:outlineLvl w:val="9"/>
      </w:pPr>
      <w:r>
        <w:rPr>
          <w:lang w:eastAsia="ar-SA"/>
        </w:rPr>
        <w:t xml:space="preserve">от «___» ________2026 г.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caps/>
          <w:lang w:eastAsia="ar-SA"/>
        </w:rPr>
        <w:outlineLvl w:val="9"/>
      </w:pPr>
      <w:r>
        <w:rPr>
          <w:b/>
          <w:caps/>
          <w:lang w:eastAsia="ar-SA"/>
        </w:rPr>
        <w:t xml:space="preserve">Спецификация</w:t>
      </w:r>
      <w:r>
        <w:rPr>
          <w:b/>
          <w:bCs/>
          <w:caps/>
          <w:lang w:eastAsia="ar-SA"/>
        </w:rPr>
      </w:r>
      <w:r>
        <w:rPr>
          <w:b/>
          <w:bCs/>
          <w:caps/>
          <w:lang w:eastAsia="ar-SA"/>
        </w:rPr>
      </w:r>
    </w:p>
    <w:p>
      <w:pPr>
        <w:ind w:firstLine="0"/>
        <w:jc w:val="center"/>
        <w:spacing w:line="100" w:lineRule="atLeast"/>
        <w:rPr>
          <w:b/>
          <w:caps/>
          <w:sz w:val="2"/>
          <w:lang w:eastAsia="ar-SA"/>
        </w:rPr>
        <w:outlineLvl w:val="9"/>
      </w:pP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  <w:r>
        <w:rPr>
          <w:b/>
          <w:caps/>
          <w:sz w:val="2"/>
          <w:lang w:eastAsia="ar-SA"/>
        </w:rPr>
      </w:r>
    </w:p>
    <w:p>
      <w:pPr>
        <w:ind w:firstLine="0"/>
        <w:spacing w:before="20" w:line="100" w:lineRule="atLeast"/>
        <w:tabs>
          <w:tab w:val="left" w:pos="6946" w:leader="none"/>
        </w:tabs>
        <w:rPr>
          <w:sz w:val="12"/>
          <w:lang w:eastAsia="ar-SA"/>
        </w:rPr>
        <w:outlineLvl w:val="9"/>
      </w:pPr>
      <w:r>
        <w:rPr>
          <w:sz w:val="12"/>
          <w:lang w:eastAsia="ar-SA"/>
        </w:rPr>
      </w:r>
      <w:r>
        <w:rPr>
          <w:sz w:val="12"/>
          <w:lang w:eastAsia="ar-SA"/>
        </w:rPr>
      </w:r>
      <w:r>
        <w:rPr>
          <w:sz w:val="12"/>
          <w:lang w:eastAsia="ar-SA"/>
        </w:rPr>
      </w:r>
    </w:p>
    <w:tbl>
      <w:tblPr>
        <w:tblStyle w:val="994"/>
        <w:tblW w:w="0" w:type="auto"/>
        <w:tblLayout w:type="fixed"/>
        <w:tblLook w:val="04A0" w:firstRow="1" w:lastRow="0" w:firstColumn="1" w:lastColumn="0" w:noHBand="0" w:noVBand="1"/>
      </w:tblPr>
      <w:tblGrid>
        <w:gridCol w:w="444"/>
        <w:gridCol w:w="1648"/>
        <w:gridCol w:w="709"/>
        <w:gridCol w:w="3685"/>
        <w:gridCol w:w="1701"/>
        <w:gridCol w:w="1276"/>
        <w:gridCol w:w="1066"/>
      </w:tblGrid>
      <w:tr>
        <w:tblPrEx/>
        <w:trPr>
          <w:trHeight w:val="663"/>
        </w:trPr>
        <w:tc>
          <w:tcPr>
            <w:tcW w:w="44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№ 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п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/п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4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Наименование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Кол-во, шт.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Технические характеристики</w:t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  <w:p>
            <w:pP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</w:p>
        </w:tc>
        <w:tc>
          <w:tcPr>
            <w:tcW w:w="1701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Страна происхождения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hd w:val="nil" w:color="auto"/>
              <w:rPr>
                <w14:ligatures w14:val="none"/>
              </w:rPr>
              <w:suppressLineNumbers w:val="0"/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</w: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Цена за ед. изм. (руб.) </w:t>
            </w:r>
            <w:r>
              <w:rPr>
                <w14:ligatures w14:val="none"/>
              </w:rPr>
            </w:r>
            <w:r>
              <w:rPr>
                <w14:ligatures w14:val="none"/>
              </w:rPr>
            </w:r>
          </w:p>
        </w:tc>
        <w:tc>
          <w:tcPr>
            <w:tcW w:w="106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  <w:lang w:eastAsia="en-US" w:bidi="he-IL"/>
              </w:rPr>
              <w:t xml:space="preserve">Сумма, руб.</w:t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  <w:r>
              <w:rPr>
                <w:rFonts w:eastAsia="Calibri"/>
                <w:b/>
                <w:bCs/>
                <w:sz w:val="20"/>
                <w:szCs w:val="20"/>
              </w:rPr>
            </w:r>
          </w:p>
        </w:tc>
      </w:tr>
      <w:tr>
        <w:tblPrEx/>
        <w:trPr>
          <w:trHeight w:val="2653"/>
        </w:trPr>
        <w:tc>
          <w:tcPr>
            <w:tcW w:w="444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648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left"/>
              <w:rPr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  <w:t xml:space="preserve">Жесткий диск Western Digital Ultrastar DC HA340 </w:t>
            </w:r>
            <w:r>
              <w:rPr>
                <w:sz w:val="20"/>
                <w:szCs w:val="20"/>
                <w:highlight w:val="none"/>
              </w:rPr>
              <w:t xml:space="preserve">или эквивалент</w:t>
            </w:r>
            <w:r>
              <w:rPr>
                <w:sz w:val="20"/>
                <w:szCs w:val="20"/>
                <w:highlight w:val="none"/>
              </w:rPr>
              <w:t xml:space="preserve"> *</w:t>
            </w:r>
            <w:r>
              <w:rPr>
                <w:sz w:val="20"/>
                <w:szCs w:val="20"/>
                <w:highlight w:val="none"/>
              </w:rPr>
            </w:r>
            <w:r>
              <w:rPr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firstLine="0"/>
              <w:jc w:val="left"/>
              <w:rPr>
                <w:color w:val="000000" w:themeColor="text1"/>
                <w:sz w:val="20"/>
                <w:szCs w:val="20"/>
                <w:highlight w:val="none"/>
              </w:rPr>
            </w:pPr>
            <w:r>
              <w:rPr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t xml:space="preserve">Код ОКПД2: </w:t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t xml:space="preserve">26.20.22.120</w:t>
            </w:r>
            <w:r>
              <w:rPr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</w:r>
          </w:p>
          <w:p>
            <w:pPr>
              <w:ind w:firstLine="0"/>
              <w:jc w:val="left"/>
              <w:rPr>
                <w:sz w:val="24"/>
                <w:szCs w:val="24"/>
                <w:highlight w:val="none"/>
              </w:rPr>
            </w:pPr>
            <w:r>
              <w:rPr>
                <w:color w:val="000000" w:themeColor="text1"/>
                <w:sz w:val="20"/>
                <w:szCs w:val="20"/>
                <w:highlight w:val="none"/>
              </w:rPr>
            </w:r>
            <w:r>
              <w:rPr>
                <w:color w:val="000000" w:themeColor="text1"/>
                <w:sz w:val="20"/>
                <w:szCs w:val="20"/>
                <w:highlight w:val="none"/>
              </w:rPr>
              <w:t xml:space="preserve">КТРУ:26.20.21.110 - 00000003 </w:t>
            </w: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3685" w:type="dxa"/>
            <w:vAlign w:val="center"/>
            <w:textDirection w:val="lrTb"/>
            <w:noWrap w:val="false"/>
          </w:tcPr>
          <w:p>
            <w:pPr>
              <w:ind w:firstLine="0"/>
            </w:pPr>
            <w:r>
              <w:rPr>
                <w:sz w:val="20"/>
                <w:szCs w:val="20"/>
              </w:rPr>
              <w:t xml:space="preserve">Объем накопителя ≥ 10000 Гигабайт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Тип устройства HDD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Метод записи CMR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Наличие интерфейсов SATA III 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Объем буферной памяти ≥512 Мегабайт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Скорость вращения (RPM) ≥ 7000 Оборот в минуту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Скорость записи ≥ 200 Мегабайт в секунду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</w:pPr>
            <w:r>
              <w:rPr>
                <w:sz w:val="20"/>
                <w:szCs w:val="20"/>
              </w:rPr>
              <w:t xml:space="preserve">Скорость чтения ≥ 200 Мегабайт в секунду</w:t>
            </w:r>
            <w:r>
              <w:rPr>
                <w:sz w:val="20"/>
                <w:szCs w:val="20"/>
              </w:rPr>
            </w:r>
            <w:r/>
          </w:p>
          <w:p>
            <w:pPr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Форм‑фактор 3,5  дюйм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701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ind w:left="-992" w:right="91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5"/>
            <w:tcW w:w="8187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ИТОГО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ind w:left="-2268" w:righ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trHeight w:val="255"/>
        </w:trPr>
        <w:tc>
          <w:tcPr>
            <w:gridSpan w:val="5"/>
            <w:tcW w:w="8187" w:type="dxa"/>
            <w:vAlign w:val="center"/>
            <w:textDirection w:val="lrTb"/>
            <w:noWrap w:val="false"/>
          </w:tcPr>
          <w:p>
            <w:pPr>
              <w:ind w:firstLine="0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в том числе НДС %</w:t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27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W w:w="1066" w:type="dxa"/>
            <w:vAlign w:val="center"/>
            <w:vMerge w:val="restart"/>
            <w:textDirection w:val="lrTb"/>
            <w:noWrap w:val="false"/>
          </w:tcPr>
          <w:p>
            <w:pPr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</w:tbl>
    <w:p>
      <w:pPr>
        <w:ind w:firstLine="0"/>
        <w:rPr>
          <w:highlight w:val="none"/>
        </w:rPr>
      </w:pPr>
      <w:r>
        <w:rPr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ind w:firstLine="0"/>
        <w:rPr>
          <w:bCs/>
          <w:i/>
        </w:rPr>
      </w:pPr>
      <w:r>
        <w:rPr>
          <w:i/>
          <w:iCs/>
          <w:highlight w:val="none"/>
        </w:rPr>
      </w:r>
      <w:r>
        <w:rPr>
          <w:bCs/>
          <w:i/>
        </w:rPr>
      </w:r>
      <w:r>
        <w:rPr>
          <w:bCs/>
          <w:i/>
        </w:rPr>
      </w:r>
    </w:p>
    <w:tbl>
      <w:tblPr>
        <w:tblW w:w="4917" w:type="pct"/>
        <w:jc w:val="center"/>
        <w:tblInd w:w="-1171" w:type="dxa"/>
        <w:tblLayout w:type="fixed"/>
        <w:tblLook w:val="0000" w:firstRow="0" w:lastRow="0" w:firstColumn="0" w:lastColumn="0" w:noHBand="0" w:noVBand="0"/>
      </w:tblPr>
      <w:tblGrid>
        <w:gridCol w:w="5699"/>
        <w:gridCol w:w="4550"/>
      </w:tblGrid>
      <w:tr>
        <w:tblPrEx/>
        <w:trPr>
          <w:jc w:val="center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____________________/Ф.В. 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jc w:val="center"/>
          <w:trHeight w:val="80"/>
        </w:trPr>
        <w:tc>
          <w:tcPr>
            <w:shd w:val="clear" w:color="ffffff" w:fill="ffffff"/>
            <w:tcW w:w="5699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ffffff" w:fill="ffffff"/>
            <w:tcW w:w="4550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jc w:val="left"/>
        <w:spacing w:after="160" w:line="259" w:lineRule="auto"/>
        <w:rPr>
          <w:sz w:val="2"/>
          <w:szCs w:val="2"/>
        </w:rPr>
        <w:outlineLvl w:val="9"/>
      </w:pPr>
      <w:r>
        <w:rPr>
          <w:sz w:val="2"/>
        </w:rPr>
      </w:r>
      <w:r>
        <w:rPr>
          <w:sz w:val="2"/>
          <w:szCs w:val="2"/>
        </w:rPr>
      </w:r>
      <w:r>
        <w:rPr>
          <w:sz w:val="2"/>
          <w:szCs w:val="2"/>
        </w:rPr>
      </w:r>
    </w:p>
    <w:p>
      <w:pPr>
        <w:ind w:firstLine="0"/>
        <w:sectPr>
          <w:footnotePr/>
          <w:endnotePr/>
          <w:type w:val="continuous"/>
          <w:pgSz w:w="11906" w:h="16838" w:orient="portrait"/>
          <w:pgMar w:top="567" w:right="567" w:bottom="567" w:left="1134" w:header="709" w:footer="709" w:gutter="0"/>
          <w:cols w:num="1" w:sep="0" w:space="708" w:equalWidth="1"/>
          <w:docGrid w:linePitch="360"/>
          <w:titlePg/>
        </w:sectPr>
      </w:pPr>
      <w:r/>
      <w:r/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Приложение № 3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0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к Контракту № __________________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left="1562" w:firstLine="4817"/>
        <w:jc w:val="right"/>
        <w:spacing w:before="20" w:line="100" w:lineRule="atLeast"/>
        <w:tabs>
          <w:tab w:val="left" w:pos="6946" w:leader="none"/>
        </w:tabs>
        <w:rPr>
          <w:color w:val="000000"/>
          <w:lang w:eastAsia="ar-SA"/>
        </w:rPr>
        <w:outlineLvl w:val="9"/>
      </w:pPr>
      <w:r>
        <w:rPr>
          <w:color w:val="000000"/>
          <w:lang w:eastAsia="ar-SA"/>
        </w:rPr>
        <w:t xml:space="preserve">от «___» ________2026 г.</w:t>
      </w:r>
      <w:r>
        <w:rPr>
          <w:color w:val="000000"/>
          <w:lang w:eastAsia="ar-SA"/>
        </w:rPr>
      </w:r>
      <w:r>
        <w:rPr>
          <w:color w:val="000000"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210"/>
        <w:gridCol w:w="4996"/>
      </w:tblGrid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22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ЗАКАЗЧИК</w:t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22"/>
              <w:ind w:left="0" w:right="0" w:firstLine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b/>
                <w:color w:val="000000" w:themeColor="text1"/>
                <w:sz w:val="24"/>
                <w:szCs w:val="24"/>
              </w:rPr>
              <w:t xml:space="preserve">ПОСТАВЩИК: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313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Министерство энергетики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Российской Федерации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(Минэнерго России)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  <w:tr>
        <w:tblPrEx/>
        <w:trPr>
          <w:trHeight w:val="760"/>
        </w:trPr>
        <w:tc>
          <w:tcPr>
            <w:shd w:val="clear" w:color="auto" w:fill="auto"/>
            <w:tcW w:w="5210" w:type="dxa"/>
            <w:textDirection w:val="lrTb"/>
            <w:noWrap w:val="false"/>
          </w:tcPr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Юридический адрес: 109012,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Китайгородский пр-д, д. 7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Фактический адрес: 129110, г. Москва,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Щепкина ул., д. 42, стр. 1,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ИНН 7705847529, КПП 770501001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Банковские реквизиты: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(Минэнерго России, л/с 03951000220)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р/с 40102810045370000002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в Операционном департаменте Банка России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//Межрегиональное операционное УФК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г. Москва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к/с 03211643000000019503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БИК 024501901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ОКПО/ОКТМО  00083641/45381000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Эл. почта: compred@minenergo.gov.ru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Тел: (495) 631-95-36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shd w:val="clear" w:color="auto" w:fill="auto"/>
            <w:tcW w:w="4996" w:type="dxa"/>
            <w:textDirection w:val="lrTb"/>
            <w:noWrap w:val="false"/>
          </w:tcPr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Юридический адрес: 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Почтовый адрес: _______________________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ИНН _____________, КПП 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ОКПО:____________,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ОКТМО:__________,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ОГРН:___________,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ОКВЭД:____________,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Эл почта:__________________________,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jc w:val="both"/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Тел.:____________________________,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Банковские реквизиты: _________________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none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___________________________________________________________________________,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р\с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к\с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БИК ________________________,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</w:rPr>
              <w:t xml:space="preserve">Дата постановки на учет в налоговом органе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22"/>
              <w:ind w:left="0" w:righ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_______________.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r>
          </w:p>
        </w:tc>
      </w:tr>
    </w:tbl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  <w:t xml:space="preserve">ФОРМА АКТА ПРИЕМА-ПЕРЕДАЧИ ТОВАРА №___</w:t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bCs/>
          <w:lang w:eastAsia="ar-SA"/>
        </w:rPr>
        <w:outlineLvl w:val="9"/>
      </w:pPr>
      <w:r>
        <w:rPr>
          <w:b/>
          <w:bCs/>
          <w:lang w:eastAsia="ar-SA"/>
        </w:rPr>
      </w:r>
      <w:r>
        <w:rPr>
          <w:b/>
          <w:bCs/>
          <w:lang w:eastAsia="ar-SA"/>
        </w:rPr>
      </w:r>
      <w:r>
        <w:rPr>
          <w:b/>
          <w:bCs/>
          <w:lang w:eastAsia="ar-SA"/>
        </w:rPr>
      </w:r>
    </w:p>
    <w:p>
      <w:pPr>
        <w:ind w:firstLine="0"/>
        <w:jc w:val="center"/>
        <w:spacing w:line="100" w:lineRule="atLeast"/>
        <w:rPr>
          <w:b/>
          <w:lang w:eastAsia="ar-SA"/>
        </w:rPr>
        <w:outlineLvl w:val="9"/>
      </w:pPr>
      <w:r>
        <w:rPr>
          <w:b/>
          <w:bCs/>
          <w:lang w:eastAsia="ar-SA"/>
        </w:rPr>
        <w:t xml:space="preserve">по Контракту</w:t>
      </w:r>
      <w:r>
        <w:rPr>
          <w:b/>
          <w:lang w:eastAsia="ar-SA"/>
        </w:rPr>
        <w:t xml:space="preserve"> от «___» ___________ 2026 г.  № ______________________________</w:t>
      </w:r>
      <w:r>
        <w:rPr>
          <w:b/>
          <w:lang w:eastAsia="ar-SA"/>
        </w:rPr>
      </w:r>
      <w:r>
        <w:rPr>
          <w:b/>
          <w:lang w:eastAsia="ar-SA"/>
        </w:rPr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4608"/>
        <w:gridCol w:w="5563"/>
      </w:tblGrid>
      <w:tr>
        <w:tblPrEx/>
        <w:trPr/>
        <w:tc>
          <w:tcPr>
            <w:tcW w:w="460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г. Москва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tcW w:w="5563" w:type="dxa"/>
            <w:textDirection w:val="lrTb"/>
            <w:noWrap w:val="false"/>
          </w:tcPr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                    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          «___» ____________ 2026 г.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righ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</w:tr>
    </w:tbl>
    <w:p>
      <w:r>
        <w:t xml:space="preserve">Министерство энергетики Российской Федерации (Минэнерго России), именуемое</w:t>
      </w:r>
      <w:r>
        <w:br/>
        <w:t xml:space="preserve">в дальнейшем «Заказчик», </w:t>
      </w:r>
      <w:r>
        <w:rPr>
          <w:sz w:val="24"/>
          <w:szCs w:val="26"/>
        </w:rPr>
        <w:t xml:space="preserve"> в лице директора Департамента цифровой трансформации Мицкевича Феликса Владимировича, действующего на основании приказа Минэнерго России от 24.11.2021 </w:t>
        <w:br/>
        <w:t xml:space="preserve">№ 1286 и доверенности от 03.03.2025 № СЦ-3295/14</w:t>
      </w:r>
      <w:r>
        <w:t xml:space="preserve">, и ________________________, именуемое в дальнейшем «Поставщик», </w:t>
      </w:r>
      <w:r>
        <w:t xml:space="preserve">в лице_____________________________, действующего на основании________________________, с другой стороны, составили настоящий Акт о нижеследующем:</w:t>
      </w:r>
      <w:r/>
    </w:p>
    <w:p>
      <w:pPr>
        <w:ind w:left="13"/>
        <w:tabs>
          <w:tab w:val="left" w:pos="851" w:leader="none"/>
        </w:tabs>
      </w:pPr>
      <w:r>
        <w:t xml:space="preserve">1.</w:t>
      </w:r>
      <w:r>
        <w:tab/>
        <w:t xml:space="preserve">В соответствии с условиями контракта от «__» __________ 2026 г. № _______ </w:t>
      </w:r>
      <w:r>
        <w:br/>
        <w:t xml:space="preserve">(далее – Контракт) Поставщиком передан, а Заказчиком принят Товар по предмету закупки: п</w:t>
      </w:r>
      <w:r>
        <w:rPr>
          <w:sz w:val="24"/>
          <w:szCs w:val="24"/>
        </w:rPr>
        <w:t xml:space="preserve">оставка жёстких дисков для серверного оборудования</w:t>
      </w:r>
      <w:r>
        <w:rPr>
          <w:sz w:val="24"/>
          <w:szCs w:val="24"/>
        </w:rPr>
      </w:r>
      <w:r/>
    </w:p>
    <w:p>
      <w:pPr>
        <w:ind w:left="13"/>
        <w:tabs>
          <w:tab w:val="left" w:pos="851" w:leader="none"/>
        </w:tabs>
      </w:pPr>
      <w:r>
        <w:br w:type="page" w:clear="all"/>
        <w:t xml:space="preserve">2.</w:t>
      </w:r>
      <w:r>
        <w:tab/>
        <w:t xml:space="preserve">Контрактом предусмотрена поставка: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1"/>
        <w:spacing w:before="120" w:after="120"/>
        <w:tabs>
          <w:tab w:val="left" w:pos="851" w:leader="none"/>
        </w:tabs>
      </w:pPr>
      <w:r>
        <w:t xml:space="preserve">3.</w:t>
      </w:r>
      <w:r>
        <w:tab/>
        <w:t xml:space="preserve">Фактически поставлено:</w:t>
      </w:r>
      <w:r/>
    </w:p>
    <w:tbl>
      <w:tblPr>
        <w:tblW w:w="10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4"/>
        <w:gridCol w:w="1742"/>
        <w:gridCol w:w="1853"/>
        <w:gridCol w:w="1718"/>
        <w:gridCol w:w="2076"/>
      </w:tblGrid>
      <w:tr>
        <w:tblPrEx/>
        <w:trPr>
          <w:jc w:val="center"/>
          <w:trHeight w:val="728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Наименование товарной позиции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Количество, шт.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Страна происхождения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</w:r>
            <w:r>
              <w:rPr>
                <w:bCs/>
                <w:shd w:val="clear" w:color="auto" w:fill="ffffff"/>
                <w:lang w:eastAsia="ar-SA"/>
              </w:rPr>
              <w:t xml:space="preserve">Цена за ед. (руб.),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vAlign w:val="center"/>
            <w:textDirection w:val="lrTb"/>
            <w:noWrap w:val="false"/>
          </w:tcPr>
          <w:p>
            <w:pPr>
              <w:ind w:firstLine="0"/>
              <w:jc w:val="center"/>
              <w:spacing w:line="100" w:lineRule="atLeast"/>
              <w:rPr>
                <w:bCs/>
                <w:lang w:eastAsia="ar-SA"/>
              </w:rPr>
              <w:outlineLvl w:val="9"/>
            </w:pPr>
            <w:r>
              <w:rPr>
                <w:bCs/>
                <w:shd w:val="clear" w:color="auto" w:fill="ffffff"/>
                <w:lang w:eastAsia="ar-SA"/>
              </w:rPr>
              <w:t xml:space="preserve">Сумма </w:t>
            </w:r>
            <w:r>
              <w:rPr>
                <w:bCs/>
                <w:shd w:val="clear" w:color="auto" w:fill="ffffff"/>
                <w:lang w:eastAsia="ar-SA"/>
              </w:rPr>
              <w:br/>
              <w:t xml:space="preserve">(в руб.), в </w:t>
            </w:r>
            <w:r>
              <w:rPr>
                <w:bCs/>
                <w:shd w:val="clear" w:color="auto" w:fill="ffffff"/>
                <w:lang w:eastAsia="ar-SA"/>
              </w:rPr>
              <w:t xml:space="preserve">т.ч</w:t>
            </w:r>
            <w:r>
              <w:rPr>
                <w:bCs/>
                <w:shd w:val="clear" w:color="auto" w:fill="ffffff"/>
                <w:lang w:eastAsia="ar-SA"/>
              </w:rPr>
              <w:t xml:space="preserve">. НДС (при наличии)</w:t>
            </w:r>
            <w:r>
              <w:rPr>
                <w:bCs/>
                <w:lang w:eastAsia="ar-SA"/>
              </w:rPr>
            </w:r>
            <w:r>
              <w:rPr>
                <w:bCs/>
                <w:lang w:eastAsia="ar-SA"/>
              </w:rPr>
            </w:r>
          </w:p>
        </w:tc>
      </w:tr>
      <w:tr>
        <w:tblPrEx/>
        <w:trPr>
          <w:jc w:val="center"/>
          <w:trHeight w:val="418" w:hRule="exact"/>
        </w:trPr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54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42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1718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vertAlign w:val="superscript"/>
                <w:lang w:eastAsia="ar-SA"/>
              </w:rPr>
              <w:outlineLvl w:val="9"/>
            </w:pP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  <w:r>
              <w:rPr>
                <w:vertAlign w:val="superscript"/>
                <w:lang w:eastAsia="ar-SA"/>
              </w:rPr>
            </w:r>
          </w:p>
        </w:tc>
        <w:tc>
          <w:tcPr>
            <w:shd w:val="clear" w:color="auto" w:fill="ffffff"/>
            <w:tcMar>
              <w:left w:w="10" w:type="dxa"/>
              <w:top w:w="0" w:type="dxa"/>
              <w:right w:w="10" w:type="dxa"/>
              <w:bottom w:w="0" w:type="dxa"/>
            </w:tcMar>
            <w:tcW w:w="2076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shd w:val="clear" w:color="auto" w:fill="ffffff"/>
              <w:rPr>
                <w:shd w:val="clear" w:color="auto" w:fill="ffffff"/>
                <w:lang w:eastAsia="ar-SA"/>
              </w:rPr>
              <w:outlineLvl w:val="9"/>
            </w:pP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  <w:r>
              <w:rPr>
                <w:shd w:val="clear" w:color="auto" w:fill="ffffff"/>
                <w:lang w:eastAsia="ar-SA"/>
              </w:rPr>
            </w:r>
          </w:p>
        </w:tc>
      </w:tr>
    </w:tbl>
    <w:p>
      <w:pPr>
        <w:ind w:left="13" w:firstLine="554"/>
        <w:tabs>
          <w:tab w:val="left" w:pos="851" w:leader="none"/>
        </w:tabs>
        <w:rPr>
          <w:lang w:eastAsia="en-US"/>
        </w:rPr>
      </w:pPr>
      <w:r>
        <w:t xml:space="preserve">4.</w:t>
      </w:r>
      <w:r>
        <w:tab/>
        <w:t xml:space="preserve">Срок поставки по Контракту: _____________________________________________.</w:t>
      </w:r>
      <w:r>
        <w:rPr>
          <w:lang w:eastAsia="en-US"/>
        </w:rPr>
      </w:r>
      <w:r>
        <w:rPr>
          <w:lang w:eastAsia="en-US"/>
        </w:rPr>
      </w:r>
    </w:p>
    <w:p>
      <w:pPr>
        <w:ind w:left="13" w:firstLine="554"/>
      </w:pPr>
      <w:r>
        <w:t xml:space="preserve">Фактический срок поставки: ___________________ </w:t>
      </w:r>
      <w:r>
        <w:t xml:space="preserve">г</w:t>
      </w:r>
      <w:r>
        <w:t xml:space="preserve">.</w:t>
      </w:r>
      <w:r/>
    </w:p>
    <w:p>
      <w:pPr>
        <w:rPr>
          <w:bCs/>
          <w:i/>
        </w:rPr>
      </w:pPr>
      <w:r>
        <w:rPr>
          <w:bCs/>
          <w:i/>
        </w:rPr>
        <w:t xml:space="preserve">Вариант 1.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Вышеперечисленный Товар поставлен полностью и в срок. Заказчик по объему, качеству и срокам поставки Товара претензий не имеет. 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footnoteReference w:customMarkFollows="1" w:id="3"/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Аванс не перечислялся.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Неустойка Поставщику не начисляется.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Вариант 2.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В ходе поставки Товара Заказчик выявил отклонения от условий Контракта или следующие недостатки в поставке Товара: ________________________________________________________.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Поставщику начислена неустойка:</w:t>
      </w:r>
      <w:r>
        <w:rPr>
          <w:bCs/>
          <w:i/>
        </w:rPr>
      </w:r>
      <w:r>
        <w:rPr>
          <w:bCs/>
          <w:i/>
        </w:rPr>
      </w:r>
    </w:p>
    <w:p>
      <w:pPr>
        <w:rPr>
          <w:bCs/>
          <w:i/>
        </w:rPr>
      </w:pPr>
      <w:r>
        <w:rPr>
          <w:bCs/>
          <w:i/>
        </w:rPr>
        <w:t xml:space="preserve">- пени в соответствии с п.__ Контракта в сумме __________________руб.</w:t>
      </w:r>
      <w:r>
        <w:rPr>
          <w:bCs/>
          <w:i/>
        </w:rPr>
      </w:r>
      <w:r>
        <w:rPr>
          <w:bCs/>
          <w:i/>
        </w:rPr>
      </w:r>
    </w:p>
    <w:p>
      <w:pPr>
        <w:ind w:left="13"/>
        <w:rPr>
          <w:i/>
          <w:iCs/>
        </w:rPr>
      </w:pPr>
      <w:r>
        <w:rPr>
          <w:bCs/>
          <w:i/>
        </w:rPr>
        <w:t xml:space="preserve">Итого стоимость поставки Товара составляет </w:t>
      </w:r>
      <w:r>
        <w:rPr>
          <w:b/>
          <w:bCs/>
          <w:i/>
        </w:rPr>
        <w:t xml:space="preserve">___________________________________ </w:t>
      </w:r>
      <w:r>
        <w:rPr>
          <w:bCs/>
          <w:i/>
        </w:rPr>
        <w:t xml:space="preserve">рублей __ копеек</w:t>
      </w:r>
      <w:r>
        <w:rPr>
          <w:b/>
          <w:bCs/>
          <w:i/>
        </w:rPr>
        <w:t xml:space="preserve">, </w:t>
      </w:r>
      <w:r>
        <w:rPr>
          <w:bCs/>
          <w:i/>
        </w:rPr>
        <w:t xml:space="preserve">в том числе НДС</w:t>
      </w:r>
      <w:r>
        <w:rPr>
          <w:bCs/>
          <w:i/>
          <w:vertAlign w:val="superscript"/>
        </w:rPr>
        <w:t xml:space="preserve">[1]</w:t>
      </w:r>
      <w:r>
        <w:rPr>
          <w:bCs/>
          <w:i/>
        </w:rPr>
        <w:t xml:space="preserve">   _____ (______________________) рублей __ копеек.</w:t>
      </w:r>
      <w:r>
        <w:rPr>
          <w:i/>
          <w:iCs/>
        </w:rPr>
      </w:r>
      <w:r>
        <w:rPr>
          <w:i/>
          <w:iCs/>
        </w:rPr>
      </w:r>
    </w:p>
    <w:p>
      <w:pPr>
        <w:ind w:left="13" w:firstLine="554"/>
        <w:tabs>
          <w:tab w:val="left" w:pos="851" w:leader="none"/>
        </w:tabs>
      </w:pPr>
      <w:r>
        <w:t xml:space="preserve">5.</w:t>
      </w:r>
      <w:r>
        <w:tab/>
        <w:t xml:space="preserve">Сумма, подлежащая уплате Поставщику за Товар, принятый по настоящему акту </w:t>
      </w:r>
      <w:r>
        <w:br/>
        <w:t xml:space="preserve">(с учетом удержания пени) – ______________________ руб., в том числе НДС </w:t>
      </w:r>
      <w:r>
        <w:br/>
        <w:t xml:space="preserve">( %)/без НДС.</w:t>
      </w:r>
      <w:r/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Ind w:w="45" w:type="dxa"/>
        <w:tblLayout w:type="fixed"/>
        <w:tblCellMar>
          <w:left w:w="45" w:type="dxa"/>
          <w:right w:w="45" w:type="dxa"/>
        </w:tblCellMar>
        <w:tblLook w:val="0000" w:firstRow="0" w:lastRow="0" w:firstColumn="0" w:lastColumn="0" w:noHBand="0" w:noVBand="0"/>
      </w:tblPr>
      <w:tblGrid>
        <w:gridCol w:w="5245"/>
        <w:gridCol w:w="4961"/>
      </w:tblGrid>
      <w:tr>
        <w:tblPrEx/>
        <w:trPr/>
        <w:tc>
          <w:tcPr>
            <w:tcW w:w="5245" w:type="dxa"/>
            <w:textDirection w:val="lrTb"/>
            <w:noWrap w:val="false"/>
          </w:tcPr>
          <w:p>
            <w:pPr>
              <w:ind w:firstLine="0"/>
              <w:rPr>
                <w:b/>
              </w:rPr>
            </w:pPr>
            <w:r>
              <w:rPr>
                <w:b/>
              </w:rPr>
              <w:t xml:space="preserve">ЗАКАЗЧИК:</w:t>
            </w:r>
            <w:r>
              <w:rPr>
                <w:b/>
              </w:rPr>
            </w:r>
            <w:r>
              <w:rPr>
                <w:b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/>
          </w:p>
        </w:tc>
        <w:tc>
          <w:tcPr>
            <w:tcW w:w="4961" w:type="dxa"/>
            <w:textDirection w:val="lrTb"/>
            <w:noWrap w:val="false"/>
          </w:tcPr>
          <w:p>
            <w:pPr>
              <w:ind w:firstLine="0"/>
              <w:rPr>
                <w:b/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b/>
                <w:color w:val="000000"/>
              </w:rPr>
              <w:t xml:space="preserve">ПОСТАВЩИК:</w:t>
            </w:r>
            <w:r>
              <w:rPr>
                <w:b/>
                <w:color w:val="000000"/>
              </w:rPr>
            </w:r>
            <w:r>
              <w:rPr>
                <w:b/>
                <w:color w:val="000000"/>
              </w:rPr>
            </w:r>
          </w:p>
          <w:p>
            <w:pPr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ind w:firstLine="0"/>
              <w:rPr>
                <w:color w:val="000000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</w:pPr>
            <w:r>
              <w:rPr>
                <w:color w:val="000000"/>
              </w:rPr>
              <w:t xml:space="preserve">________________</w:t>
            </w:r>
            <w:r>
              <w:rPr>
                <w:color w:val="000000"/>
                <w:lang w:val="en-US"/>
              </w:rPr>
              <w:t xml:space="preserve">__</w:t>
            </w:r>
            <w:r>
              <w:rPr>
                <w:color w:val="000000"/>
              </w:rPr>
              <w:t xml:space="preserve">_ </w:t>
            </w:r>
            <w:r>
              <w:rPr>
                <w:color w:val="000000"/>
                <w:lang w:val="en-US"/>
              </w:rPr>
              <w:t xml:space="preserve">/ _____________/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</w:tc>
      </w:tr>
    </w:tbl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  <w:t xml:space="preserve">СОГЛАСОВАНА КАК ФОРМА</w:t>
      </w:r>
      <w:r>
        <w:rPr>
          <w:lang w:eastAsia="ar-SA"/>
        </w:rPr>
      </w:r>
      <w:r>
        <w:rPr>
          <w:lang w:eastAsia="ar-SA"/>
        </w:rPr>
      </w:r>
    </w:p>
    <w:p>
      <w:pPr>
        <w:ind w:firstLine="0"/>
        <w:jc w:val="left"/>
        <w:spacing w:line="100" w:lineRule="atLeast"/>
        <w:rPr>
          <w:lang w:eastAsia="ar-SA"/>
        </w:rPr>
        <w:outlineLvl w:val="9"/>
      </w:pPr>
      <w:r>
        <w:rPr>
          <w:lang w:eastAsia="ar-SA"/>
        </w:rPr>
      </w:r>
      <w:r>
        <w:rPr>
          <w:lang w:eastAsia="ar-SA"/>
        </w:rPr>
      </w:r>
      <w:r>
        <w:rPr>
          <w:lang w:eastAsia="ar-SA"/>
        </w:rPr>
      </w:r>
    </w:p>
    <w:tbl>
      <w:tblPr>
        <w:tblW w:w="10206" w:type="dxa"/>
        <w:tblLayout w:type="fixed"/>
        <w:tblLook w:val="0000" w:firstRow="0" w:lastRow="0" w:firstColumn="0" w:lastColumn="0" w:noHBand="0" w:noVBand="0"/>
      </w:tblPr>
      <w:tblGrid>
        <w:gridCol w:w="5353"/>
        <w:gridCol w:w="4853"/>
      </w:tblGrid>
      <w:tr>
        <w:tblPrEx/>
        <w:trPr/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lang w:eastAsia="ar-SA"/>
              </w:rPr>
              <w:outlineLvl w:val="9"/>
            </w:pPr>
            <w:r>
              <w:rPr>
                <w:b/>
                <w:lang w:eastAsia="ar-SA"/>
              </w:rPr>
              <w:t xml:space="preserve">ЗАКАЗЧИК:</w:t>
            </w:r>
            <w:r>
              <w:rPr>
                <w:b/>
                <w:lang w:eastAsia="ar-SA"/>
              </w:rPr>
            </w:r>
            <w:r>
              <w:rPr>
                <w:b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Директор Департамента цифровой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  <w:t xml:space="preserve">трансформации</w:t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outlineLvl w:val="9"/>
            </w:pPr>
            <w:r>
              <w:rPr>
                <w:lang w:eastAsia="ar-SA"/>
              </w:rPr>
            </w:r>
            <w:r>
              <w:rPr>
                <w:lang w:eastAsia="ar-SA"/>
              </w:rPr>
            </w:r>
            <w:r/>
          </w:p>
          <w:p>
            <w:pPr>
              <w:ind w:firstLine="0"/>
              <w:jc w:val="left"/>
              <w:spacing w:line="100" w:lineRule="atLeast"/>
              <w:rPr>
                <w:lang w:eastAsia="ar-SA"/>
              </w:rPr>
              <w:outlineLvl w:val="9"/>
            </w:pPr>
            <w:r>
              <w:rPr>
                <w:lang w:eastAsia="ar-SA"/>
              </w:rPr>
              <w:t xml:space="preserve">____________________/Ф.В. Мицкевич/</w:t>
            </w:r>
            <w:r>
              <w:rPr>
                <w:lang w:eastAsia="ar-SA"/>
              </w:rPr>
            </w:r>
            <w:r>
              <w:rPr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b/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b/>
                <w:color w:val="000000"/>
                <w:lang w:eastAsia="ar-SA"/>
              </w:rPr>
              <w:t xml:space="preserve">ПОСТАВЩИК:</w:t>
            </w:r>
            <w:r>
              <w:rPr>
                <w:b/>
                <w:color w:val="000000"/>
                <w:lang w:eastAsia="ar-SA"/>
              </w:rPr>
            </w:r>
            <w:r>
              <w:rPr>
                <w:b/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___________________ / _____________/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  <w:tr>
        <w:tblPrEx/>
        <w:trPr>
          <w:trHeight w:val="408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  <w:tc>
          <w:tcPr>
            <w:shd w:val="clear" w:color="auto" w:fill="auto"/>
            <w:tcW w:w="4853" w:type="dxa"/>
            <w:textDirection w:val="lrTb"/>
            <w:noWrap w:val="false"/>
          </w:tcPr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  <w:p>
            <w:pPr>
              <w:ind w:firstLine="0"/>
              <w:jc w:val="left"/>
              <w:spacing w:line="100" w:lineRule="atLeast"/>
              <w:rPr>
                <w:color w:val="000000"/>
                <w:lang w:eastAsia="ar-SA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  <w:between w:val="none" w:color="000000" w:sz="4" w:space="0"/>
              </w:pBdr>
              <w:outlineLvl w:val="9"/>
            </w:pPr>
            <w:r>
              <w:rPr>
                <w:color w:val="000000"/>
                <w:lang w:eastAsia="ar-SA"/>
              </w:rPr>
              <w:t xml:space="preserve">М.П.</w:t>
            </w:r>
            <w:r>
              <w:rPr>
                <w:color w:val="000000"/>
                <w:lang w:eastAsia="ar-SA"/>
              </w:rPr>
            </w:r>
            <w:r>
              <w:rPr>
                <w:color w:val="000000"/>
                <w:lang w:eastAsia="ar-SA"/>
              </w:rPr>
            </w:r>
          </w:p>
        </w:tc>
      </w:tr>
    </w:tbl>
    <w:p>
      <w:pPr>
        <w:ind w:firstLine="0"/>
        <w:spacing w:before="20"/>
        <w:tabs>
          <w:tab w:val="left" w:pos="6946" w:leader="none"/>
        </w:tabs>
        <w:rPr>
          <w:color w:val="000000"/>
        </w:rPr>
        <w:outlineLvl w:val="8"/>
      </w:pPr>
      <w:r>
        <w:rPr>
          <w:color w:val="000000"/>
        </w:rPr>
      </w:r>
      <w:r>
        <w:rPr>
          <w:color w:val="000000"/>
        </w:rPr>
      </w:r>
      <w:r>
        <w:rPr>
          <w:color w:val="000000"/>
        </w:rPr>
      </w:r>
    </w:p>
    <w:p>
      <w:pPr>
        <w:pStyle w:val="831"/>
        <w:numPr>
          <w:ilvl w:val="0"/>
          <w:numId w:val="0"/>
        </w:numPr>
        <w:ind w:left="10207"/>
      </w:pPr>
      <w:r/>
      <w:r/>
    </w:p>
    <w:sectPr>
      <w:footnotePr>
        <w:numRestart w:val="eachSect"/>
      </w:footnotePr>
      <w:endnotePr/>
      <w:type w:val="nextPage"/>
      <w:pgSz w:w="11906" w:h="16838" w:orient="portrait"/>
      <w:pgMar w:top="567" w:right="709" w:bottom="567" w:left="1134" w:header="709" w:footer="709" w:gutter="0"/>
      <w:pgNumType w:start="1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Roboto">
    <w:panose1 w:val="02000000000000000000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 Unicode MS">
    <w:panose1 w:val="020B0604020202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8"/>
    </w:pPr>
    <w:r/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8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1001"/>
      </w:pPr>
      <w:r>
        <w:rPr>
          <w:rStyle w:val="1003"/>
        </w:rPr>
        <w:footnoteRef/>
      </w:r>
      <w:r>
        <w:t xml:space="preserve"> В случае</w:t>
      </w:r>
      <w:r>
        <w:t xml:space="preserve">,</w:t>
      </w:r>
      <w:r>
        <w:t xml:space="preserve"> если Поставщиком применяется упрощенная система налогообложения, т.е. Поставщик</w:t>
      </w:r>
      <w:r>
        <w:br/>
        <w:t xml:space="preserve">не признается налогоплательщиком налога на добавленную стоимость, то цена Контракта устанавливается без НДС, при этом указывается основание в соответствии с Налоговым кодексом Российской Федерации.</w:t>
      </w:r>
      <w:r/>
    </w:p>
  </w:footnote>
  <w:footnote w:id="3">
    <w:p>
      <w:pPr>
        <w:pStyle w:val="1001"/>
      </w:pPr>
      <w:r>
        <w:rPr>
          <w:rStyle w:val="1003"/>
        </w:rPr>
        <w:t xml:space="preserve">[1]</w:t>
      </w:r>
      <w:r>
        <w:t xml:space="preserve"> В случае если Поставщик освобожден от уплаты НДС, указать причину такого освобождения</w:t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docPartObj>
        <w:docPartGallery w:val="Page Numbers (Top of Page)"/>
        <w:docPartUnique w:val="true"/>
      </w:docPartObj>
      <w:rPr/>
    </w:sdtPr>
    <w:sdtContent>
      <w:p>
        <w:pPr>
          <w:pStyle w:val="1006"/>
          <w:shd w:val="nil"/>
          <w:tabs>
            <w:tab w:val="clear" w:pos="4677" w:leader="none"/>
            <w:tab w:val="clear" w:pos="9355" w:leader="none"/>
          </w:tabs>
        </w:pPr>
        <w:r>
          <w:fldChar w:fldCharType="begin"/>
        </w:r>
        <w:r>
          <w:instrText xml:space="preserve">PAGE   \* MERGEFORMAT</w:instrText>
        </w:r>
        <w:r/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1006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6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6"/>
    </w:pPr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  <w:r/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6"/>
      <w:jc w:val="left"/>
    </w:pPr>
    <w:r/>
    <w:r/>
    <w:r/>
  </w:p>
  <w:p>
    <w:pPr>
      <w:pStyle w:val="1006"/>
    </w:pPr>
    <w:r/>
    <w:r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249421928"/>
      <w:showingPlcHdr w:val="true"/>
      <w:docPartObj>
        <w:docPartGallery w:val="Page Numbers (Top of Page)"/>
        <w:docPartUnique w:val="true"/>
      </w:docPartObj>
      <w:rPr/>
    </w:sdtPr>
    <w:sdtContent>
      <w:p>
        <w:r>
          <w:t xml:space="preserve">    </w:t>
        </w:r>
        <w:r/>
        <w:r/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5.%1."/>
      <w:lvlJc w:val="left"/>
      <w:pPr>
        <w:ind w:left="142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4.2.%1."/>
      <w:lvlJc w:val="left"/>
      <w:pPr>
        <w:ind w:left="214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7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6">
    <w:multiLevelType w:val="hybridMultilevel"/>
    <w:lvl w:ilvl="0">
      <w:start w:val="1"/>
      <w:numFmt w:val="decimal"/>
      <w:pStyle w:val="829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9">
    <w:multiLevelType w:val="hybridMultilevel"/>
    <w:lvl w:ilvl="0">
      <w:start w:val="1"/>
      <w:numFmt w:val="decimal"/>
      <w:pStyle w:val="830"/>
      <w:isLgl w:val="false"/>
      <w:suff w:val="space"/>
      <w:lvlText w:val="%1."/>
      <w:lvlJc w:val="left"/>
      <w:pPr>
        <w:ind w:left="858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11">
    <w:multiLevelType w:val="hybridMultilevel"/>
    <w:lvl w:ilvl="0">
      <w:start w:val="1"/>
      <w:numFmt w:val="decimal"/>
      <w:pStyle w:val="824"/>
      <w:isLgl w:val="false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825"/>
      <w:isLgl w:val="false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826"/>
      <w:isLgl w:val="false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28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270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336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372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4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480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588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6600" w:hanging="1800"/>
      </w:pPr>
      <w:rPr>
        <w:rFonts w:hint="default"/>
      </w:r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16">
    <w:multiLevelType w:val="hybridMultilevel"/>
    <w:lvl w:ilvl="0">
      <w:start w:val="1"/>
      <w:numFmt w:val="decimal"/>
      <w:pStyle w:val="831"/>
      <w:isLgl w:val="false"/>
      <w:suff w:val="tab"/>
      <w:lvlText w:val="Приложение № %1"/>
      <w:lvlJc w:val="right"/>
      <w:pPr>
        <w:ind w:left="1056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u w:val="none"/>
        <w:vertAlign w:val="baseline"/>
        <w14:textOutline w14:w="0" w14:cap="rnd" w14:cmpd="sng" w14:algn="ctr">
          <w14:noFill/>
          <w14:prstDash w14:val="solid"/>
          <w14:bevel/>
        </w14:textOutline>
        <w14:ligatures w14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12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19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126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133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141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48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55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6264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8.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9.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9">
    <w:multiLevelType w:val="hybridMultilevel"/>
    <w:lvl w:ilvl="0">
      <w:start w:val="1"/>
      <w:numFmt w:val="bullet"/>
      <w:pStyle w:val="828"/>
      <w:isLgl w:val="false"/>
      <w:suff w:val="space"/>
      <w:lvlText w:val="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6.%1."/>
      <w:lvlJc w:val="left"/>
      <w:pPr>
        <w:ind w:left="213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2.%1."/>
      <w:lvlJc w:val="left"/>
      <w:pPr>
        <w:ind w:left="128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4.%1."/>
      <w:lvlJc w:val="left"/>
      <w:pPr>
        <w:ind w:left="1429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4.1.%2."/>
      <w:lvlJc w:val="left"/>
      <w:pPr>
        <w:ind w:left="2149" w:hanging="360"/>
      </w:pPr>
      <w:rPr>
        <w:rFonts w:hint="default"/>
      </w:r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2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508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9228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9948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10668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11388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12108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12828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13548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14268" w:hanging="360"/>
      </w:pPr>
      <w:rPr>
        <w:rFonts w:hint="default" w:ascii="Wingdings" w:hAnsi="Wingdings" w:eastAsia="Wingdings" w:cs="Wingdings"/>
      </w:rPr>
    </w:lvl>
  </w:abstractNum>
  <w:abstractNum w:abstractNumId="2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276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abstractNum w:abstractNumId="2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1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sz w:val="24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  <w:rPr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3.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ind w:left="792" w:hanging="432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</w:lvl>
  </w:abstractNum>
  <w:num w:numId="1">
    <w:abstractNumId w:val="11"/>
  </w:num>
  <w:num w:numId="2">
    <w:abstractNumId w:val="19"/>
  </w:num>
  <w:num w:numId="3">
    <w:abstractNumId w:val="6"/>
  </w:num>
  <w:num w:numId="4">
    <w:abstractNumId w:val="16"/>
  </w:num>
  <w:num w:numId="5">
    <w:abstractNumId w:val="9"/>
  </w:num>
  <w:num w:numId="6">
    <w:abstractNumId w:val="11"/>
    <w:lvlOverride w:ilvl="0">
      <w:startOverride w:val="10"/>
    </w:lvlOverride>
  </w:num>
  <w:num w:numId="7">
    <w:abstractNumId w:val="5"/>
  </w:num>
  <w:num w:numId="8">
    <w:abstractNumId w:val="6"/>
  </w:num>
  <w:num w:numId="9">
    <w:abstractNumId w:val="6"/>
  </w:num>
  <w:num w:numId="10">
    <w:abstractNumId w:val="6"/>
    <w:lvlOverride w:ilvl="0">
      <w:startOverride w:val="1"/>
    </w:lvlOverride>
  </w:num>
  <w:num w:numId="11">
    <w:abstractNumId w:val="6"/>
  </w:num>
  <w:num w:numId="12">
    <w:abstractNumId w:val="21"/>
  </w:num>
  <w:num w:numId="13">
    <w:abstractNumId w:val="8"/>
  </w:num>
  <w:num w:numId="14">
    <w:abstractNumId w:val="0"/>
  </w:num>
  <w:num w:numId="15">
    <w:abstractNumId w:val="13"/>
  </w:num>
  <w:num w:numId="16">
    <w:abstractNumId w:val="22"/>
  </w:num>
  <w:num w:numId="17">
    <w:abstractNumId w:val="2"/>
  </w:num>
  <w:num w:numId="18">
    <w:abstractNumId w:val="1"/>
  </w:num>
  <w:num w:numId="19">
    <w:abstractNumId w:val="20"/>
  </w:num>
  <w:num w:numId="20">
    <w:abstractNumId w:val="3"/>
  </w:num>
  <w:num w:numId="21">
    <w:abstractNumId w:val="12"/>
  </w:num>
  <w:num w:numId="22">
    <w:abstractNumId w:val="17"/>
  </w:num>
  <w:num w:numId="23">
    <w:abstractNumId w:val="18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6"/>
    <w:lvlOverride w:ilvl="0">
      <w:startOverride w:val="4"/>
    </w:lvlOverride>
    <w:lvlOverride w:ilvl="1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5"/>
  </w:num>
  <w:num w:numId="30">
    <w:abstractNumId w:val="4"/>
  </w:num>
  <w:num w:numId="31">
    <w:abstractNumId w:val="7"/>
  </w:num>
  <w:num w:numId="32">
    <w:abstractNumId w:val="14"/>
  </w:num>
  <w:num w:numId="33">
    <w:abstractNumId w:val="10"/>
  </w:num>
  <w:num w:numId="34">
    <w:abstractNumId w:val="23"/>
  </w:num>
  <w:num w:numId="35">
    <w:abstractNumId w:val="24"/>
  </w:num>
  <w:num w:numId="36">
    <w:abstractNumId w:val="25"/>
  </w:num>
  <w:num w:numId="37">
    <w:abstractNumId w:val="26"/>
  </w:num>
  <w:num w:numId="38">
    <w:abstractNumId w:val="27"/>
  </w:num>
  <w:num w:numId="39">
    <w:abstractNumId w:val="28"/>
  </w:num>
  <w:num w:numId="40">
    <w:abstractNumId w:val="29"/>
  </w:num>
  <w:num w:numId="41">
    <w:abstractNumId w:val="30"/>
  </w:num>
  <w:num w:numId="42">
    <w:abstractNumId w:val="31"/>
  </w:num>
  <w:num w:numId="43">
    <w:abstractNumId w:val="32"/>
  </w:num>
  <w:num w:numId="44">
    <w:abstractNumId w:val="33"/>
  </w:num>
  <w:num w:numId="45">
    <w:abstractNumId w:val="34"/>
  </w:num>
  <w:num w:numId="46">
    <w:abstractNumId w:val="35"/>
  </w:num>
  <w:num w:numId="47">
    <w:abstractNumId w:val="36"/>
  </w:num>
  <w:num w:numId="48">
    <w:abstractNumId w:val="37"/>
  </w:num>
  <w:num w:numId="49">
    <w:abstractNumId w:val="38"/>
  </w:num>
  <w:num w:numId="50">
    <w:abstractNumId w:val="39"/>
  </w:num>
  <w:num w:numId="51">
    <w:abstractNumId w:val="40"/>
  </w:num>
  <w:num w:numId="52">
    <w:abstractNumId w:val="41"/>
  </w:num>
  <w:num w:numId="53">
    <w:abstractNumId w:val="42"/>
  </w:num>
  <w:num w:numId="54">
    <w:abstractNumId w:val="43"/>
  </w:num>
  <w:num w:numId="55">
    <w:abstractNumId w:val="44"/>
  </w:num>
  <w:num w:numId="56">
    <w:abstractNumId w:val="45"/>
  </w:num>
  <w:num w:numId="57">
    <w:abstractNumId w:val="46"/>
  </w:num>
  <w:num w:numId="58">
    <w:abstractNumId w:val="47"/>
  </w:num>
  <w:num w:numId="59">
    <w:abstractNumId w:val="48"/>
  </w:num>
  <w:num w:numId="60">
    <w:abstractNumId w:val="49"/>
  </w:num>
  <w:num w:numId="61">
    <w:abstractNumId w:val="50"/>
  </w:num>
  <w:num w:numId="62">
    <w:abstractNumId w:val="51"/>
  </w:num>
  <w:num w:numId="63">
    <w:abstractNumId w:val="52"/>
  </w:num>
  <w:num w:numId="64">
    <w:abstractNumId w:val="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20">
    <w:name w:val="Quote Char"/>
    <w:link w:val="847"/>
    <w:uiPriority w:val="29"/>
    <w:rPr>
      <w:i/>
    </w:rPr>
  </w:style>
  <w:style w:type="character" w:styleId="821">
    <w:name w:val="Intense Quote Char"/>
    <w:link w:val="849"/>
    <w:uiPriority w:val="30"/>
    <w:rPr>
      <w:i/>
    </w:rPr>
  </w:style>
  <w:style w:type="paragraph" w:styleId="822" w:default="1">
    <w:name w:val="Normal"/>
    <w:qFormat/>
    <w:pPr>
      <w:ind w:firstLine="567"/>
      <w:jc w:val="both"/>
      <w:spacing w:after="0" w:line="240" w:lineRule="auto"/>
      <w:outlineLvl w:val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23">
    <w:name w:val="Heading 1"/>
    <w:basedOn w:val="822"/>
    <w:next w:val="822"/>
    <w:link w:val="993"/>
    <w:uiPriority w:val="9"/>
    <w:qFormat/>
    <w:pPr>
      <w:jc w:val="center"/>
      <w:outlineLvl w:val="0"/>
    </w:pPr>
    <w:rPr>
      <w:b/>
    </w:rPr>
  </w:style>
  <w:style w:type="paragraph" w:styleId="824">
    <w:name w:val="Heading 2"/>
    <w:basedOn w:val="825"/>
    <w:next w:val="822"/>
    <w:link w:val="995"/>
    <w:uiPriority w:val="9"/>
    <w:unhideWhenUsed/>
    <w:qFormat/>
    <w:pPr>
      <w:numPr>
        <w:ilvl w:val="0"/>
      </w:numPr>
      <w:jc w:val="center"/>
      <w:spacing w:before="240" w:after="240"/>
      <w:outlineLvl w:val="1"/>
    </w:pPr>
    <w:rPr>
      <w:b/>
      <w:bCs/>
    </w:rPr>
  </w:style>
  <w:style w:type="paragraph" w:styleId="825">
    <w:name w:val="Heading 3"/>
    <w:basedOn w:val="822"/>
    <w:next w:val="822"/>
    <w:link w:val="996"/>
    <w:uiPriority w:val="9"/>
    <w:unhideWhenUsed/>
    <w:qFormat/>
    <w:pPr>
      <w:numPr>
        <w:ilvl w:val="1"/>
        <w:numId w:val="1"/>
      </w:numPr>
      <w:contextualSpacing/>
      <w:ind w:left="0" w:firstLine="567"/>
      <w:outlineLvl w:val="2"/>
    </w:pPr>
  </w:style>
  <w:style w:type="paragraph" w:styleId="826">
    <w:name w:val="Heading 4"/>
    <w:basedOn w:val="825"/>
    <w:next w:val="822"/>
    <w:link w:val="998"/>
    <w:uiPriority w:val="9"/>
    <w:unhideWhenUsed/>
    <w:qFormat/>
    <w:pPr>
      <w:numPr>
        <w:ilvl w:val="2"/>
      </w:numPr>
      <w:ind w:left="0" w:firstLine="737"/>
      <w:outlineLvl w:val="3"/>
    </w:pPr>
  </w:style>
  <w:style w:type="paragraph" w:styleId="827">
    <w:name w:val="Heading 5"/>
    <w:basedOn w:val="826"/>
    <w:next w:val="822"/>
    <w:link w:val="1004"/>
    <w:uiPriority w:val="9"/>
    <w:unhideWhenUsed/>
    <w:qFormat/>
    <w:pPr>
      <w:numPr>
        <w:ilvl w:val="0"/>
        <w:numId w:val="0"/>
      </w:numPr>
      <w:ind w:firstLine="567"/>
      <w:outlineLvl w:val="4"/>
    </w:pPr>
  </w:style>
  <w:style w:type="paragraph" w:styleId="828">
    <w:name w:val="Heading 6"/>
    <w:basedOn w:val="827"/>
    <w:next w:val="822"/>
    <w:link w:val="1005"/>
    <w:uiPriority w:val="9"/>
    <w:unhideWhenUsed/>
    <w:qFormat/>
    <w:pPr>
      <w:numPr>
        <w:ilvl w:val="0"/>
        <w:numId w:val="2"/>
      </w:numPr>
      <w:ind w:left="993" w:hanging="219"/>
      <w:outlineLvl w:val="5"/>
    </w:pPr>
  </w:style>
  <w:style w:type="paragraph" w:styleId="829">
    <w:name w:val="Heading 7"/>
    <w:basedOn w:val="997"/>
    <w:next w:val="822"/>
    <w:link w:val="1016"/>
    <w:uiPriority w:val="9"/>
    <w:unhideWhenUsed/>
    <w:qFormat/>
    <w:pPr>
      <w:numPr>
        <w:ilvl w:val="0"/>
        <w:numId w:val="8"/>
      </w:numPr>
      <w:jc w:val="left"/>
      <w:spacing w:before="240" w:after="240"/>
      <w:outlineLvl w:val="6"/>
    </w:pPr>
    <w:rPr>
      <w:b/>
      <w:bCs/>
    </w:rPr>
  </w:style>
  <w:style w:type="paragraph" w:styleId="830">
    <w:name w:val="Heading 8"/>
    <w:basedOn w:val="825"/>
    <w:next w:val="822"/>
    <w:link w:val="1017"/>
    <w:uiPriority w:val="9"/>
    <w:unhideWhenUsed/>
    <w:qFormat/>
    <w:pPr>
      <w:numPr>
        <w:ilvl w:val="0"/>
        <w:numId w:val="5"/>
      </w:numPr>
      <w:ind w:left="0" w:firstLine="567"/>
      <w:outlineLvl w:val="7"/>
    </w:pPr>
  </w:style>
  <w:style w:type="paragraph" w:styleId="831">
    <w:name w:val="Heading 9"/>
    <w:basedOn w:val="822"/>
    <w:next w:val="822"/>
    <w:link w:val="1018"/>
    <w:uiPriority w:val="9"/>
    <w:unhideWhenUsed/>
    <w:qFormat/>
    <w:pPr>
      <w:numPr>
        <w:ilvl w:val="0"/>
        <w:numId w:val="4"/>
      </w:numPr>
      <w:ind w:left="8505" w:firstLine="0"/>
      <w:jc w:val="right"/>
      <w:spacing w:before="20"/>
      <w:tabs>
        <w:tab w:val="left" w:pos="6946" w:leader="none"/>
      </w:tabs>
      <w:outlineLvl w:val="8"/>
    </w:pPr>
    <w:rPr>
      <w:color w:val="000000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 w:customStyle="1">
    <w:name w:val="Heading 1 Char"/>
    <w:basedOn w:val="832"/>
    <w:uiPriority w:val="9"/>
    <w:rPr>
      <w:rFonts w:ascii="Arial" w:hAnsi="Arial" w:eastAsia="Arial" w:cs="Arial"/>
      <w:sz w:val="40"/>
      <w:szCs w:val="40"/>
    </w:rPr>
  </w:style>
  <w:style w:type="character" w:styleId="836" w:customStyle="1">
    <w:name w:val="Heading 2 Char"/>
    <w:basedOn w:val="832"/>
    <w:uiPriority w:val="9"/>
    <w:rPr>
      <w:rFonts w:ascii="Arial" w:hAnsi="Arial" w:eastAsia="Arial" w:cs="Arial"/>
      <w:sz w:val="34"/>
    </w:rPr>
  </w:style>
  <w:style w:type="character" w:styleId="837" w:customStyle="1">
    <w:name w:val="Heading 3 Char"/>
    <w:basedOn w:val="832"/>
    <w:uiPriority w:val="9"/>
    <w:rPr>
      <w:rFonts w:ascii="Arial" w:hAnsi="Arial" w:eastAsia="Arial" w:cs="Arial"/>
      <w:sz w:val="30"/>
      <w:szCs w:val="30"/>
    </w:rPr>
  </w:style>
  <w:style w:type="character" w:styleId="838" w:customStyle="1">
    <w:name w:val="Heading 4 Char"/>
    <w:basedOn w:val="832"/>
    <w:uiPriority w:val="9"/>
    <w:rPr>
      <w:rFonts w:ascii="Arial" w:hAnsi="Arial" w:eastAsia="Arial" w:cs="Arial"/>
      <w:b/>
      <w:bCs/>
      <w:sz w:val="26"/>
      <w:szCs w:val="26"/>
    </w:rPr>
  </w:style>
  <w:style w:type="character" w:styleId="839" w:customStyle="1">
    <w:name w:val="Heading 5 Char"/>
    <w:basedOn w:val="832"/>
    <w:uiPriority w:val="9"/>
    <w:rPr>
      <w:rFonts w:ascii="Arial" w:hAnsi="Arial" w:eastAsia="Arial" w:cs="Arial"/>
      <w:b/>
      <w:bCs/>
      <w:sz w:val="24"/>
      <w:szCs w:val="24"/>
    </w:rPr>
  </w:style>
  <w:style w:type="character" w:styleId="840" w:customStyle="1">
    <w:name w:val="Heading 6 Char"/>
    <w:basedOn w:val="832"/>
    <w:uiPriority w:val="9"/>
    <w:rPr>
      <w:rFonts w:ascii="Arial" w:hAnsi="Arial" w:eastAsia="Arial" w:cs="Arial"/>
      <w:b/>
      <w:bCs/>
      <w:sz w:val="22"/>
      <w:szCs w:val="22"/>
    </w:rPr>
  </w:style>
  <w:style w:type="character" w:styleId="841" w:customStyle="1">
    <w:name w:val="Heading 7 Char"/>
    <w:basedOn w:val="8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2" w:customStyle="1">
    <w:name w:val="Heading 8 Char"/>
    <w:basedOn w:val="832"/>
    <w:uiPriority w:val="9"/>
    <w:rPr>
      <w:rFonts w:ascii="Arial" w:hAnsi="Arial" w:eastAsia="Arial" w:cs="Arial"/>
      <w:i/>
      <w:iCs/>
      <w:sz w:val="22"/>
      <w:szCs w:val="22"/>
    </w:rPr>
  </w:style>
  <w:style w:type="character" w:styleId="843" w:customStyle="1">
    <w:name w:val="Heading 9 Char"/>
    <w:basedOn w:val="832"/>
    <w:uiPriority w:val="9"/>
    <w:rPr>
      <w:rFonts w:ascii="Arial" w:hAnsi="Arial" w:eastAsia="Arial" w:cs="Arial"/>
      <w:i/>
      <w:iCs/>
      <w:sz w:val="21"/>
      <w:szCs w:val="21"/>
    </w:rPr>
  </w:style>
  <w:style w:type="paragraph" w:styleId="844">
    <w:name w:val="No Spacing"/>
    <w:uiPriority w:val="1"/>
    <w:qFormat/>
    <w:pPr>
      <w:spacing w:after="0" w:line="240" w:lineRule="auto"/>
    </w:pPr>
  </w:style>
  <w:style w:type="character" w:styleId="845" w:customStyle="1">
    <w:name w:val="Title Char"/>
    <w:basedOn w:val="832"/>
    <w:uiPriority w:val="10"/>
    <w:rPr>
      <w:sz w:val="48"/>
      <w:szCs w:val="48"/>
    </w:rPr>
  </w:style>
  <w:style w:type="character" w:styleId="846" w:customStyle="1">
    <w:name w:val="Subtitle Char"/>
    <w:basedOn w:val="832"/>
    <w:uiPriority w:val="11"/>
    <w:rPr>
      <w:sz w:val="24"/>
      <w:szCs w:val="24"/>
    </w:rPr>
  </w:style>
  <w:style w:type="paragraph" w:styleId="847">
    <w:name w:val="Quote"/>
    <w:basedOn w:val="822"/>
    <w:next w:val="822"/>
    <w:link w:val="848"/>
    <w:uiPriority w:val="29"/>
    <w:qFormat/>
    <w:pPr>
      <w:ind w:left="720" w:right="720"/>
    </w:pPr>
    <w:rPr>
      <w:i/>
    </w:rPr>
  </w:style>
  <w:style w:type="character" w:styleId="848" w:customStyle="1">
    <w:name w:val="Цитата 2 Знак"/>
    <w:link w:val="847"/>
    <w:uiPriority w:val="29"/>
    <w:rPr>
      <w:i/>
    </w:rPr>
  </w:style>
  <w:style w:type="paragraph" w:styleId="849">
    <w:name w:val="Intense Quote"/>
    <w:basedOn w:val="822"/>
    <w:next w:val="822"/>
    <w:link w:val="85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0" w:customStyle="1">
    <w:name w:val="Выделенная цитата Знак"/>
    <w:link w:val="849"/>
    <w:uiPriority w:val="30"/>
    <w:rPr>
      <w:i/>
    </w:rPr>
  </w:style>
  <w:style w:type="character" w:styleId="851" w:customStyle="1">
    <w:name w:val="Header Char"/>
    <w:basedOn w:val="832"/>
    <w:uiPriority w:val="99"/>
  </w:style>
  <w:style w:type="character" w:styleId="852" w:customStyle="1">
    <w:name w:val="Footer Char"/>
    <w:basedOn w:val="832"/>
    <w:uiPriority w:val="99"/>
  </w:style>
  <w:style w:type="paragraph" w:styleId="853">
    <w:name w:val="Caption"/>
    <w:basedOn w:val="822"/>
    <w:next w:val="822"/>
    <w:link w:val="854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54" w:customStyle="1">
    <w:name w:val="Caption Char"/>
    <w:uiPriority w:val="35"/>
  </w:style>
  <w:style w:type="table" w:styleId="855" w:customStyle="1">
    <w:name w:val="Table Grid Light"/>
    <w:basedOn w:val="83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6" w:customStyle="1">
    <w:name w:val="Plain Table 1"/>
    <w:basedOn w:val="83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7" w:customStyle="1">
    <w:name w:val="Plain Table 2"/>
    <w:basedOn w:val="8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8" w:customStyle="1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59" w:customStyle="1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1" w:customStyle="1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 w:customStyle="1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 w:customStyle="1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 w:customStyle="1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 w:customStyle="1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3" w:customStyle="1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84" w:customStyle="1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5" w:customStyle="1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6" w:customStyle="1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7" w:customStyle="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88" w:customStyle="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89" w:customStyle="1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0" w:customStyle="1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91" w:customStyle="1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7" w:customStyle="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898" w:customStyle="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99" w:customStyle="1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0" w:customStyle="1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1" w:customStyle="1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02" w:customStyle="1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03" w:customStyle="1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4" w:customStyle="1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5" w:customStyle="1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6" w:customStyle="1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7" w:customStyle="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18" w:customStyle="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19" w:customStyle="1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20" w:customStyle="1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21" w:customStyle="1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22" w:customStyle="1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23" w:customStyle="1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4" w:customStyle="1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5" w:customStyle="1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6" w:customStyle="1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39" w:customStyle="1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0" w:customStyle="1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 w:customStyle="1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2" w:customStyle="1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3" w:customStyle="1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4" w:customStyle="1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5" w:customStyle="1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6" w:customStyle="1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47" w:customStyle="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48" w:customStyle="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49" w:customStyle="1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50" w:customStyle="1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51" w:customStyle="1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52" w:customStyle="1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3" w:customStyle="1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4" w:customStyle="1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5" w:customStyle="1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6" w:customStyle="1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ned - Accent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0" w:customStyle="1">
    <w:name w:val="Lined - Accent 1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61" w:customStyle="1">
    <w:name w:val="Lined - Accent 2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2" w:customStyle="1">
    <w:name w:val="Lined - Accent 3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3" w:customStyle="1">
    <w:name w:val="Lined - Accent 4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4" w:customStyle="1">
    <w:name w:val="Lined - Accent 5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65" w:customStyle="1">
    <w:name w:val="Lined - Accent 6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6" w:customStyle="1">
    <w:name w:val="Bordered &amp; Lined - Accent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7" w:customStyle="1">
    <w:name w:val="Bordered &amp; Lined - Accent 1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68" w:customStyle="1">
    <w:name w:val="Bordered &amp; Lined - Accent 2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9" w:customStyle="1">
    <w:name w:val="Bordered &amp; Lined - Accent 3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70" w:customStyle="1">
    <w:name w:val="Bordered &amp; Lined - Accent 4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1" w:customStyle="1">
    <w:name w:val="Bordered &amp; Lined - Accent 5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72" w:customStyle="1">
    <w:name w:val="Bordered &amp; Lined - Accent 6"/>
    <w:basedOn w:val="83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3" w:customStyle="1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4" w:customStyle="1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75" w:customStyle="1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6" w:customStyle="1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7" w:customStyle="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78" w:customStyle="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79" w:customStyle="1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80" w:customStyle="1">
    <w:name w:val="Footnote Text Char"/>
    <w:uiPriority w:val="99"/>
    <w:rPr>
      <w:sz w:val="18"/>
    </w:rPr>
  </w:style>
  <w:style w:type="character" w:styleId="981" w:customStyle="1">
    <w:name w:val="Endnote Text Char"/>
    <w:uiPriority w:val="99"/>
    <w:rPr>
      <w:sz w:val="20"/>
    </w:rPr>
  </w:style>
  <w:style w:type="paragraph" w:styleId="982">
    <w:name w:val="toc 1"/>
    <w:basedOn w:val="822"/>
    <w:next w:val="822"/>
    <w:uiPriority w:val="39"/>
    <w:unhideWhenUsed/>
    <w:pPr>
      <w:ind w:firstLine="0"/>
      <w:spacing w:after="57"/>
    </w:pPr>
  </w:style>
  <w:style w:type="paragraph" w:styleId="983">
    <w:name w:val="toc 2"/>
    <w:basedOn w:val="822"/>
    <w:next w:val="822"/>
    <w:uiPriority w:val="39"/>
    <w:unhideWhenUsed/>
    <w:pPr>
      <w:ind w:left="283" w:firstLine="0"/>
      <w:spacing w:after="57"/>
    </w:pPr>
  </w:style>
  <w:style w:type="paragraph" w:styleId="984">
    <w:name w:val="toc 3"/>
    <w:basedOn w:val="822"/>
    <w:next w:val="822"/>
    <w:uiPriority w:val="39"/>
    <w:unhideWhenUsed/>
    <w:pPr>
      <w:ind w:left="567" w:firstLine="0"/>
      <w:spacing w:after="57"/>
    </w:pPr>
  </w:style>
  <w:style w:type="paragraph" w:styleId="985">
    <w:name w:val="toc 4"/>
    <w:basedOn w:val="822"/>
    <w:next w:val="822"/>
    <w:uiPriority w:val="39"/>
    <w:unhideWhenUsed/>
    <w:pPr>
      <w:ind w:left="850" w:firstLine="0"/>
      <w:spacing w:after="57"/>
    </w:pPr>
  </w:style>
  <w:style w:type="paragraph" w:styleId="986">
    <w:name w:val="toc 5"/>
    <w:basedOn w:val="822"/>
    <w:next w:val="822"/>
    <w:uiPriority w:val="39"/>
    <w:unhideWhenUsed/>
    <w:pPr>
      <w:ind w:left="1134" w:firstLine="0"/>
      <w:spacing w:after="57"/>
    </w:pPr>
  </w:style>
  <w:style w:type="paragraph" w:styleId="987">
    <w:name w:val="toc 6"/>
    <w:basedOn w:val="822"/>
    <w:next w:val="822"/>
    <w:uiPriority w:val="39"/>
    <w:unhideWhenUsed/>
    <w:pPr>
      <w:ind w:left="1417" w:firstLine="0"/>
      <w:spacing w:after="57"/>
    </w:pPr>
  </w:style>
  <w:style w:type="paragraph" w:styleId="988">
    <w:name w:val="toc 7"/>
    <w:basedOn w:val="822"/>
    <w:next w:val="822"/>
    <w:uiPriority w:val="39"/>
    <w:unhideWhenUsed/>
    <w:pPr>
      <w:ind w:left="1701" w:firstLine="0"/>
      <w:spacing w:after="57"/>
    </w:pPr>
  </w:style>
  <w:style w:type="paragraph" w:styleId="989">
    <w:name w:val="toc 8"/>
    <w:basedOn w:val="822"/>
    <w:next w:val="822"/>
    <w:uiPriority w:val="39"/>
    <w:unhideWhenUsed/>
    <w:pPr>
      <w:ind w:left="1984" w:firstLine="0"/>
      <w:spacing w:after="57"/>
    </w:pPr>
  </w:style>
  <w:style w:type="paragraph" w:styleId="990">
    <w:name w:val="toc 9"/>
    <w:basedOn w:val="822"/>
    <w:next w:val="822"/>
    <w:uiPriority w:val="39"/>
    <w:unhideWhenUsed/>
    <w:pPr>
      <w:ind w:left="2268" w:firstLine="0"/>
      <w:spacing w:after="57"/>
    </w:pPr>
  </w:style>
  <w:style w:type="paragraph" w:styleId="991">
    <w:name w:val="TOC Heading"/>
    <w:uiPriority w:val="39"/>
    <w:unhideWhenUsed/>
  </w:style>
  <w:style w:type="paragraph" w:styleId="992">
    <w:name w:val="table of figures"/>
    <w:basedOn w:val="822"/>
    <w:next w:val="822"/>
    <w:uiPriority w:val="99"/>
    <w:unhideWhenUsed/>
  </w:style>
  <w:style w:type="character" w:styleId="993" w:customStyle="1">
    <w:name w:val="Заголовок 1 Знак"/>
    <w:basedOn w:val="832"/>
    <w:link w:val="823"/>
    <w:uiPriority w:val="9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table" w:styleId="994">
    <w:name w:val="Table Grid"/>
    <w:basedOn w:val="8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995" w:customStyle="1">
    <w:name w:val="Заголовок 2 Знак"/>
    <w:basedOn w:val="832"/>
    <w:link w:val="824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996" w:customStyle="1">
    <w:name w:val="Заголовок 3 Знак"/>
    <w:basedOn w:val="832"/>
    <w:link w:val="825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7">
    <w:name w:val="List Paragraph"/>
    <w:basedOn w:val="822"/>
    <w:uiPriority w:val="34"/>
    <w:qFormat/>
    <w:pPr>
      <w:contextualSpacing/>
      <w:ind w:left="720"/>
    </w:pPr>
  </w:style>
  <w:style w:type="character" w:styleId="998" w:customStyle="1">
    <w:name w:val="Заголовок 4 Знак"/>
    <w:basedOn w:val="832"/>
    <w:link w:val="826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9">
    <w:name w:val="Subtitle"/>
    <w:basedOn w:val="822"/>
    <w:next w:val="822"/>
    <w:link w:val="1000"/>
    <w:uiPriority w:val="11"/>
    <w:qFormat/>
    <w:pPr>
      <w:numPr>
        <w:ilvl w:val="1"/>
      </w:numPr>
      <w:ind w:firstLine="567"/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  <w:sz w:val="22"/>
      <w:szCs w:val="22"/>
    </w:rPr>
  </w:style>
  <w:style w:type="character" w:styleId="1000" w:customStyle="1">
    <w:name w:val="Подзаголовок Знак"/>
    <w:basedOn w:val="832"/>
    <w:link w:val="999"/>
    <w:uiPriority w:val="11"/>
    <w:rPr>
      <w:rFonts w:eastAsiaTheme="minorEastAsia"/>
      <w:color w:val="5a5a5a" w:themeColor="text1" w:themeTint="A5"/>
      <w:spacing w:val="15"/>
      <w:lang w:eastAsia="ru-RU"/>
    </w:rPr>
  </w:style>
  <w:style w:type="paragraph" w:styleId="1001">
    <w:name w:val="footnote text"/>
    <w:basedOn w:val="822"/>
    <w:link w:val="1002"/>
    <w:uiPriority w:val="99"/>
    <w:unhideWhenUsed/>
    <w:rPr>
      <w:sz w:val="20"/>
      <w:szCs w:val="20"/>
    </w:rPr>
  </w:style>
  <w:style w:type="character" w:styleId="1002" w:customStyle="1">
    <w:name w:val="Текст сноски Знак"/>
    <w:basedOn w:val="832"/>
    <w:link w:val="1001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3">
    <w:name w:val="footnote reference"/>
    <w:basedOn w:val="832"/>
    <w:uiPriority w:val="99"/>
    <w:unhideWhenUsed/>
    <w:rPr>
      <w:vertAlign w:val="superscript"/>
    </w:rPr>
  </w:style>
  <w:style w:type="character" w:styleId="1004" w:customStyle="1">
    <w:name w:val="Заголовок 5 Знак"/>
    <w:basedOn w:val="832"/>
    <w:link w:val="827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05" w:customStyle="1">
    <w:name w:val="Заголовок 6 Знак"/>
    <w:basedOn w:val="832"/>
    <w:link w:val="82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006">
    <w:name w:val="Header"/>
    <w:basedOn w:val="822"/>
    <w:link w:val="1007"/>
    <w:uiPriority w:val="99"/>
    <w:unhideWhenUsed/>
    <w:pPr>
      <w:jc w:val="center"/>
      <w:tabs>
        <w:tab w:val="center" w:pos="4677" w:leader="none"/>
        <w:tab w:val="right" w:pos="9355" w:leader="none"/>
      </w:tabs>
    </w:pPr>
  </w:style>
  <w:style w:type="character" w:styleId="1007" w:customStyle="1">
    <w:name w:val="Верхний колонтитул Знак"/>
    <w:link w:val="1006"/>
    <w:uiPriority w:val="99"/>
  </w:style>
  <w:style w:type="paragraph" w:styleId="1008">
    <w:name w:val="Footer"/>
    <w:basedOn w:val="822"/>
    <w:link w:val="1009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1009" w:customStyle="1">
    <w:name w:val="Нижний колонтитул Знак"/>
    <w:basedOn w:val="832"/>
    <w:link w:val="1008"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1010" w:customStyle="1">
    <w:name w:val="6"/>
    <w:basedOn w:val="833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StyleRowBandSize w:val="1"/>
      <w:tblStyleColBandSize w:val="1"/>
    </w:tblPr>
  </w:style>
  <w:style w:type="paragraph" w:styleId="1011">
    <w:name w:val="endnote text"/>
    <w:basedOn w:val="822"/>
    <w:link w:val="1012"/>
    <w:uiPriority w:val="99"/>
    <w:semiHidden/>
    <w:unhideWhenUsed/>
    <w:rPr>
      <w:sz w:val="20"/>
      <w:szCs w:val="20"/>
    </w:rPr>
  </w:style>
  <w:style w:type="character" w:styleId="1012" w:customStyle="1">
    <w:name w:val="Текст концевой сноски Знак"/>
    <w:basedOn w:val="832"/>
    <w:link w:val="1011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13">
    <w:name w:val="endnote reference"/>
    <w:basedOn w:val="832"/>
    <w:uiPriority w:val="99"/>
    <w:semiHidden/>
    <w:unhideWhenUsed/>
    <w:rPr>
      <w:vertAlign w:val="superscript"/>
    </w:rPr>
  </w:style>
  <w:style w:type="paragraph" w:styleId="1014">
    <w:name w:val="Title"/>
    <w:basedOn w:val="822"/>
    <w:next w:val="822"/>
    <w:link w:val="1015"/>
    <w:uiPriority w:val="10"/>
    <w:qFormat/>
    <w:pPr>
      <w:jc w:val="center"/>
      <w:spacing w:before="240"/>
    </w:pPr>
    <w:rPr>
      <w:b/>
    </w:rPr>
  </w:style>
  <w:style w:type="character" w:styleId="1015" w:customStyle="1">
    <w:name w:val="Название Знак"/>
    <w:basedOn w:val="832"/>
    <w:link w:val="1014"/>
    <w:uiPriority w:val="10"/>
    <w:rPr>
      <w:rFonts w:ascii="Times New Roman" w:hAnsi="Times New Roman" w:eastAsia="Times New Roman" w:cs="Times New Roman"/>
      <w:b/>
      <w:sz w:val="24"/>
      <w:szCs w:val="24"/>
      <w:lang w:eastAsia="ru-RU"/>
    </w:rPr>
  </w:style>
  <w:style w:type="character" w:styleId="1016" w:customStyle="1">
    <w:name w:val="Заголовок 7 Знак"/>
    <w:basedOn w:val="832"/>
    <w:link w:val="829"/>
    <w:uiPriority w:val="9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1017" w:customStyle="1">
    <w:name w:val="Заголовок 8 Знак"/>
    <w:basedOn w:val="832"/>
    <w:link w:val="830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1018" w:customStyle="1">
    <w:name w:val="Заголовок 9 Знак"/>
    <w:basedOn w:val="832"/>
    <w:link w:val="831"/>
    <w:uiPriority w:val="9"/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1019">
    <w:name w:val="Balloon Text"/>
    <w:basedOn w:val="822"/>
    <w:link w:val="102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20" w:customStyle="1">
    <w:name w:val="Текст выноски Знак"/>
    <w:basedOn w:val="832"/>
    <w:link w:val="101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21" w:customStyle="1">
    <w:name w:val="head21"/>
    <w:basedOn w:val="822"/>
    <w:pPr>
      <w:ind w:firstLine="0"/>
      <w:jc w:val="left"/>
      <w:spacing w:line="100" w:lineRule="atLeast"/>
      <w:outlineLvl w:val="9"/>
    </w:pPr>
    <w:rPr>
      <w:sz w:val="20"/>
      <w:szCs w:val="20"/>
      <w:lang w:eastAsia="ar-SA"/>
    </w:rPr>
  </w:style>
  <w:style w:type="character" w:styleId="1022">
    <w:name w:val="annotation reference"/>
    <w:basedOn w:val="832"/>
    <w:uiPriority w:val="99"/>
    <w:semiHidden/>
    <w:unhideWhenUsed/>
    <w:rPr>
      <w:sz w:val="16"/>
      <w:szCs w:val="16"/>
    </w:rPr>
  </w:style>
  <w:style w:type="paragraph" w:styleId="1023">
    <w:name w:val="annotation text"/>
    <w:basedOn w:val="822"/>
    <w:link w:val="1024"/>
    <w:uiPriority w:val="99"/>
    <w:semiHidden/>
    <w:unhideWhenUsed/>
    <w:rPr>
      <w:sz w:val="20"/>
      <w:szCs w:val="20"/>
    </w:rPr>
  </w:style>
  <w:style w:type="character" w:styleId="1024" w:customStyle="1">
    <w:name w:val="Текст примечания Знак"/>
    <w:basedOn w:val="832"/>
    <w:link w:val="1023"/>
    <w:uiPriority w:val="99"/>
    <w:semiHidden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25">
    <w:name w:val="annotation subject"/>
    <w:basedOn w:val="1023"/>
    <w:next w:val="1023"/>
    <w:link w:val="1026"/>
    <w:uiPriority w:val="99"/>
    <w:semiHidden/>
    <w:unhideWhenUsed/>
    <w:rPr>
      <w:b/>
      <w:bCs/>
    </w:rPr>
  </w:style>
  <w:style w:type="character" w:styleId="1026" w:customStyle="1">
    <w:name w:val="Тема примечания Знак"/>
    <w:basedOn w:val="1024"/>
    <w:link w:val="1025"/>
    <w:uiPriority w:val="99"/>
    <w:semiHidden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02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1028" w:customStyle="1">
    <w:name w:val="Заголовок 3;Подпункт ГК"/>
    <w:basedOn w:val="822"/>
    <w:next w:val="822"/>
    <w:link w:val="1029"/>
    <w:uiPriority w:val="9"/>
    <w:unhideWhenUsed/>
    <w:qFormat/>
    <w:pPr>
      <w:contextualSpacing/>
      <w:outlineLvl w:val="2"/>
    </w:pPr>
  </w:style>
  <w:style w:type="character" w:styleId="1029" w:customStyle="1">
    <w:name w:val="Заголовок 3 Знак;Подпункт ГК Знак"/>
    <w:link w:val="1028"/>
    <w:uiPriority w:val="9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1.xml" /><Relationship Id="rId16" Type="http://schemas.openxmlformats.org/officeDocument/2006/relationships/footer" Target="footer2.xml" /><Relationship Id="rId17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_rels/header5.xml.rels><?xml version="1.0" encoding="UTF-8" standalone="yes"?><Relationships xmlns="http://schemas.openxmlformats.org/package/2006/relationships"></Relationships>
</file>

<file path=word/_rels/header6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535FA-73AA-42B0-A22C-6BA2D01BC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МИКЕРОВ Сергей Сергеевич</dc:creator>
  <cp:keywords/>
  <dc:description/>
  <cp:lastModifiedBy>kvartalnovavs</cp:lastModifiedBy>
  <cp:revision>89</cp:revision>
  <dcterms:created xsi:type="dcterms:W3CDTF">2023-04-26T08:59:00Z</dcterms:created>
  <dcterms:modified xsi:type="dcterms:W3CDTF">2026-10-22T11:21:03Z</dcterms:modified>
</cp:coreProperties>
</file>