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077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75"/>
        <w:gridCol w:w="297"/>
        <w:gridCol w:w="174"/>
        <w:gridCol w:w="296"/>
        <w:gridCol w:w="175"/>
        <w:gridCol w:w="435"/>
        <w:gridCol w:w="510"/>
        <w:gridCol w:w="13"/>
        <w:gridCol w:w="51"/>
        <w:gridCol w:w="409"/>
        <w:gridCol w:w="13"/>
        <w:gridCol w:w="286"/>
        <w:gridCol w:w="174"/>
        <w:gridCol w:w="114"/>
        <w:gridCol w:w="161"/>
        <w:gridCol w:w="574"/>
        <w:gridCol w:w="96"/>
        <w:gridCol w:w="236"/>
        <w:gridCol w:w="236"/>
        <w:gridCol w:w="40"/>
        <w:gridCol w:w="256"/>
        <w:gridCol w:w="81"/>
        <w:gridCol w:w="237"/>
        <w:gridCol w:w="266"/>
        <w:gridCol w:w="210"/>
        <w:gridCol w:w="49"/>
        <w:gridCol w:w="183"/>
        <w:gridCol w:w="108"/>
        <w:gridCol w:w="24"/>
        <w:gridCol w:w="210"/>
        <w:gridCol w:w="20"/>
        <w:gridCol w:w="80"/>
        <w:gridCol w:w="118"/>
        <w:gridCol w:w="118"/>
        <w:gridCol w:w="136"/>
        <w:gridCol w:w="49"/>
        <w:gridCol w:w="51"/>
        <w:gridCol w:w="236"/>
        <w:gridCol w:w="249"/>
        <w:gridCol w:w="131"/>
        <w:gridCol w:w="131"/>
        <w:gridCol w:w="249"/>
        <w:gridCol w:w="263"/>
        <w:gridCol w:w="472"/>
        <w:gridCol w:w="473"/>
        <w:gridCol w:w="473"/>
        <w:gridCol w:w="472"/>
        <w:gridCol w:w="407"/>
        <w:gridCol w:w="407"/>
        <w:gridCol w:w="49"/>
      </w:tblGrid>
      <w:tr w:rsidR="00470507" w:rsidTr="00C3566E">
        <w:trPr>
          <w:trHeight w:val="80"/>
        </w:trPr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-1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14"/>
            </w:pPr>
            <w:r w:rsidRPr="00CE57D5">
              <w:t xml:space="preserve">ДОГОВОР </w:t>
            </w:r>
            <w:r w:rsidRPr="00071196">
              <w:t xml:space="preserve">№ </w:t>
            </w:r>
            <w:r w:rsidR="00071196">
              <w:t>_________</w:t>
            </w:r>
          </w:p>
          <w:p w:rsidR="00470507" w:rsidRDefault="001F13D4" w:rsidP="00071196">
            <w:pPr>
              <w:pStyle w:val="1CStyle14"/>
            </w:pPr>
            <w:r>
              <w:t>на оказание услуг по техническому обслуживанию и ремонту</w:t>
            </w:r>
            <w:r>
              <w:br/>
              <w:t xml:space="preserve">объектов сетей </w:t>
            </w:r>
            <w:proofErr w:type="spellStart"/>
            <w:r>
              <w:t>газопотребления</w:t>
            </w:r>
            <w:proofErr w:type="spellEnd"/>
            <w:r>
              <w:t xml:space="preserve"> и аварийно-диспетчерскому</w:t>
            </w:r>
            <w:r>
              <w:br/>
              <w:t>обеспечению</w:t>
            </w:r>
          </w:p>
          <w:p w:rsidR="007A2C1D" w:rsidRDefault="007A2C1D" w:rsidP="00071196">
            <w:pPr>
              <w:pStyle w:val="1CStyle14"/>
            </w:pPr>
            <w:r>
              <w:t xml:space="preserve">ИКЗ </w:t>
            </w:r>
            <w:r w:rsidRPr="00760CDF">
              <w:t>26 11654005672 165501001 0005 000 0000 244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3778" w:type="dxa"/>
            <w:gridSpan w:val="16"/>
            <w:shd w:val="clear" w:color="FFFFFF" w:fill="auto"/>
            <w:vAlign w:val="bottom"/>
          </w:tcPr>
          <w:p w:rsidR="00470507" w:rsidRDefault="001F13D4">
            <w:pPr>
              <w:pStyle w:val="1CStyle16"/>
              <w:jc w:val="left"/>
            </w:pPr>
            <w:proofErr w:type="spellStart"/>
            <w:r>
              <w:t>г.Казань</w:t>
            </w:r>
            <w:proofErr w:type="spellEnd"/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380" w:type="dxa"/>
            <w:gridSpan w:val="2"/>
            <w:shd w:val="clear" w:color="FFFFFF" w:fill="auto"/>
            <w:vAlign w:val="bottom"/>
          </w:tcPr>
          <w:p w:rsidR="00470507" w:rsidRDefault="001F13D4">
            <w:pPr>
              <w:pStyle w:val="1CStyle17"/>
            </w:pPr>
            <w:r>
              <w:t>«</w:t>
            </w:r>
          </w:p>
        </w:tc>
        <w:tc>
          <w:tcPr>
            <w:tcW w:w="38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18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470507" w:rsidRDefault="001F13D4">
            <w:pPr>
              <w:pStyle w:val="1CStyle19"/>
              <w:jc w:val="left"/>
            </w:pPr>
            <w:r>
              <w:t>»</w:t>
            </w:r>
          </w:p>
        </w:tc>
        <w:tc>
          <w:tcPr>
            <w:tcW w:w="1418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20"/>
            </w:pPr>
          </w:p>
        </w:tc>
        <w:tc>
          <w:tcPr>
            <w:tcW w:w="472" w:type="dxa"/>
            <w:shd w:val="clear" w:color="FFFFFF" w:fill="auto"/>
            <w:vAlign w:val="bottom"/>
          </w:tcPr>
          <w:p w:rsidR="00470507" w:rsidRDefault="001F13D4">
            <w:pPr>
              <w:pStyle w:val="1CStyle21"/>
            </w:pPr>
            <w:r>
              <w:t>20</w:t>
            </w:r>
          </w:p>
        </w:tc>
        <w:tc>
          <w:tcPr>
            <w:tcW w:w="407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1F13D4" w:rsidP="001F13D4">
            <w:pPr>
              <w:pStyle w:val="1CStyle22"/>
              <w:rPr>
                <w:lang w:val="en-US"/>
              </w:rPr>
            </w:pPr>
            <w:r>
              <w:t>26</w:t>
            </w:r>
          </w:p>
        </w:tc>
        <w:tc>
          <w:tcPr>
            <w:tcW w:w="456" w:type="dxa"/>
            <w:gridSpan w:val="2"/>
            <w:shd w:val="clear" w:color="FFFFFF" w:fill="auto"/>
            <w:vAlign w:val="bottom"/>
          </w:tcPr>
          <w:p w:rsidR="00470507" w:rsidRDefault="001F13D4">
            <w:pPr>
              <w:pStyle w:val="1CStyle5"/>
              <w:jc w:val="left"/>
            </w:pPr>
            <w:r>
              <w:t>г.</w:t>
            </w: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CD25D9" w:rsidRDefault="001F13D4" w:rsidP="00CD25D9">
            <w:pPr>
              <w:pStyle w:val="1CStyle23"/>
            </w:pPr>
            <w:r>
              <w:t xml:space="preserve">    </w:t>
            </w:r>
            <w:r w:rsidR="00071196">
              <w:t xml:space="preserve">   </w:t>
            </w:r>
            <w:r>
              <w:t xml:space="preserve"> </w:t>
            </w:r>
            <w:r w:rsidR="00CD25D9">
              <w:t>_________________________________,</w:t>
            </w:r>
            <w:r>
              <w:t xml:space="preserve"> именуемое в дальнейшем «Исполнитель» в </w:t>
            </w:r>
            <w:r w:rsidR="00CD25D9">
              <w:t>________________________________.,</w:t>
            </w:r>
            <w:r>
              <w:t xml:space="preserve"> действующего на основании </w:t>
            </w:r>
            <w:r w:rsidR="00CD25D9">
              <w:t>_____________________</w:t>
            </w:r>
          </w:p>
          <w:p w:rsidR="00470507" w:rsidRDefault="00CD25D9" w:rsidP="00071196">
            <w:pPr>
              <w:pStyle w:val="1CStyle23"/>
            </w:pPr>
            <w:r>
              <w:t xml:space="preserve">      </w:t>
            </w:r>
            <w:r w:rsidR="001F13D4">
              <w:t xml:space="preserve"> и </w:t>
            </w:r>
            <w:r w:rsidR="006435AD">
              <w:t xml:space="preserve">ФКУ СИЗО-1 </w:t>
            </w:r>
            <w:r w:rsidR="001F13D4">
              <w:t xml:space="preserve">УФСИН России по Республике Татарстан, </w:t>
            </w:r>
            <w:r w:rsidR="006435AD">
              <w:t xml:space="preserve">в лице </w:t>
            </w:r>
            <w:proofErr w:type="spellStart"/>
            <w:r w:rsidR="006435AD">
              <w:t>врио</w:t>
            </w:r>
            <w:proofErr w:type="spellEnd"/>
            <w:r w:rsidR="006435AD">
              <w:t xml:space="preserve"> начальника </w:t>
            </w:r>
            <w:r w:rsidR="001F13D4">
              <w:t>именуемое в дальнейшем «Заказчик», в лице</w:t>
            </w:r>
            <w:r w:rsidR="006435AD">
              <w:t xml:space="preserve"> </w:t>
            </w:r>
            <w:proofErr w:type="spellStart"/>
            <w:r w:rsidR="006435AD">
              <w:t>врио</w:t>
            </w:r>
            <w:proofErr w:type="spellEnd"/>
            <w:r w:rsidR="006435AD">
              <w:t xml:space="preserve"> начальника Сагдеева </w:t>
            </w:r>
            <w:proofErr w:type="spellStart"/>
            <w:r w:rsidR="006435AD">
              <w:t>Айнура</w:t>
            </w:r>
            <w:proofErr w:type="spellEnd"/>
            <w:r w:rsidR="006435AD">
              <w:t xml:space="preserve"> Рашидовича</w:t>
            </w:r>
            <w:r w:rsidR="001F13D4">
              <w:t>, дей</w:t>
            </w:r>
            <w:r w:rsidR="006435AD">
              <w:t>ствующего на основании Устава</w:t>
            </w:r>
            <w:r w:rsidR="001F13D4">
              <w:t xml:space="preserve">, </w:t>
            </w:r>
            <w:r>
              <w:t xml:space="preserve">Приказа </w:t>
            </w:r>
            <w:r w:rsidR="001F13D4">
              <w:t>с другой стороны, именуемые в дальнейшем «Стороны»,</w:t>
            </w:r>
            <w:r w:rsidR="00071196">
              <w:t xml:space="preserve"> </w:t>
            </w:r>
            <w:r w:rsidR="00071196" w:rsidRPr="00071196">
              <w:t xml:space="preserve">на основании пункта 4 части 1 статьи 93  Федерального закона от 05.04.2013 N 44-ФЗ "О контрактной системе в сфере закупок товаров, работ, услуг для обеспечения государственных и муниципальных нужд", на основании проведённой закупочной сессии № _____________________________________ </w:t>
            </w:r>
            <w:r w:rsidR="00071196" w:rsidRPr="00071196">
              <w:br/>
              <w:t xml:space="preserve">от ___________________на едином </w:t>
            </w:r>
            <w:proofErr w:type="spellStart"/>
            <w:r w:rsidR="00071196" w:rsidRPr="00071196">
              <w:t>агрегаторе</w:t>
            </w:r>
            <w:proofErr w:type="spellEnd"/>
            <w:r w:rsidR="00071196" w:rsidRPr="00071196">
              <w:t xml:space="preserve"> торговли заключили настоящий договор  </w:t>
            </w:r>
            <w:r w:rsidR="00071196" w:rsidRPr="00071196">
              <w:br/>
              <w:t>о нижеследующем: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-1"/>
            </w:pPr>
            <w:r>
              <w:t>I. ПРЕДМЕТ ДОГОВОРА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1.1 Исполнитель принимает на себя обязательства по оказанию услуг по техническому обслуживанию и ремонту объектов сетей </w:t>
            </w:r>
            <w:proofErr w:type="spellStart"/>
            <w:r>
              <w:t>газопотребления</w:t>
            </w:r>
            <w:proofErr w:type="spellEnd"/>
            <w:r>
              <w:t>, указанных ниже, и аварийно-диспетчерскому обеспечению, а Заказчик, в установленном Договором порядке, принимает и оплачивает оказанные Исполнителем услуги.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470507">
            <w:pPr>
              <w:pStyle w:val="1CStyle24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70507" w:rsidRDefault="001F13D4">
            <w:pPr>
              <w:pStyle w:val="1CStyle25"/>
            </w:pPr>
            <w:r>
              <w:t>Наименование объектов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70507" w:rsidRPr="00C3566E" w:rsidRDefault="001F13D4" w:rsidP="00C3566E">
            <w:pPr>
              <w:pStyle w:val="1CStyle26"/>
              <w:rPr>
                <w:sz w:val="22"/>
              </w:rPr>
            </w:pPr>
            <w:proofErr w:type="spellStart"/>
            <w:r w:rsidRPr="00C3566E">
              <w:rPr>
                <w:sz w:val="22"/>
              </w:rPr>
              <w:t>Ед.изм</w:t>
            </w:r>
            <w:proofErr w:type="spellEnd"/>
            <w:r w:rsidRPr="00C3566E">
              <w:rPr>
                <w:sz w:val="22"/>
              </w:rPr>
              <w:t>.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70507" w:rsidRPr="00C3566E" w:rsidRDefault="001F13D4" w:rsidP="00C3566E">
            <w:pPr>
              <w:pStyle w:val="1CStyle27"/>
              <w:rPr>
                <w:sz w:val="22"/>
              </w:rPr>
            </w:pPr>
            <w:r w:rsidRPr="00C3566E">
              <w:rPr>
                <w:sz w:val="22"/>
              </w:rPr>
              <w:t>Кол-во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70507" w:rsidRDefault="001F13D4">
            <w:pPr>
              <w:pStyle w:val="1CStyle28"/>
            </w:pPr>
            <w:r>
              <w:t>Характеристики газопроводов, ГИУ, газового оборудования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B77DE4" w:rsidRDefault="00C3566E" w:rsidP="00C3566E">
            <w:pPr>
              <w:pStyle w:val="1CStyle29"/>
              <w:jc w:val="left"/>
              <w:rPr>
                <w:szCs w:val="24"/>
              </w:rPr>
            </w:pPr>
            <w:r>
              <w:rPr>
                <w:szCs w:val="24"/>
              </w:rPr>
              <w:t>Обход и осмотр трассы</w:t>
            </w:r>
            <w:r w:rsidR="00B77DE4">
              <w:rPr>
                <w:szCs w:val="24"/>
              </w:rPr>
              <w:t xml:space="preserve"> 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1км ГП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0,092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B77DE4">
              <w:t>Полиэтиленовый ПГП НД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 xml:space="preserve">Обход и осмотр трассы 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1км ГП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0,002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Стальной ПГП НД до 15 лет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Осмотр технического состояния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1км ГП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0,004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Надземный газопровод НД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Проверка на загазованность в зимний период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3566E">
              <w:rPr>
                <w:rFonts w:ascii="Times New Roman" w:hAnsi="Times New Roman" w:cs="Times New Roman"/>
                <w:sz w:val="22"/>
              </w:rPr>
              <w:t>контр.труб</w:t>
            </w:r>
            <w:proofErr w:type="spellEnd"/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2,000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Контрольная труба НД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Проверка на загазованность в летний  период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3566E">
              <w:rPr>
                <w:rFonts w:ascii="Times New Roman" w:hAnsi="Times New Roman" w:cs="Times New Roman"/>
                <w:sz w:val="22"/>
              </w:rPr>
              <w:t>контр.труб</w:t>
            </w:r>
            <w:proofErr w:type="spellEnd"/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2,000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Контрольная труба НД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Техническое обслуживание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задвижка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6,000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Задвижка d свыше 50 до 100мм на НГП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C3566E">
            <w:pPr>
              <w:pStyle w:val="1CStyle29"/>
              <w:jc w:val="left"/>
            </w:pPr>
            <w:r w:rsidRPr="00C3566E">
              <w:t>Проверка исправности ИФС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фланец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1,000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ИФС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Технический осмотр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1км ГП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0,048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Внутренний газопровод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Техническое обслуживание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прибор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2,000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Сигнализатор загазованности бытовой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Техническое обслуживание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кран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7,000</w:t>
            </w:r>
          </w:p>
        </w:tc>
        <w:tc>
          <w:tcPr>
            <w:tcW w:w="3727" w:type="dxa"/>
            <w:gridSpan w:val="11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 w:rsidRPr="00C3566E">
              <w:t>Кран в котельной при d газ-да до 40мм</w:t>
            </w:r>
          </w:p>
        </w:tc>
        <w:tc>
          <w:tcPr>
            <w:tcW w:w="4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C3566E" w:rsidTr="00C3566E">
        <w:trPr>
          <w:trHeight w:val="1392"/>
        </w:trPr>
        <w:tc>
          <w:tcPr>
            <w:tcW w:w="4821" w:type="dxa"/>
            <w:gridSpan w:val="21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3566E" w:rsidRDefault="00C3566E" w:rsidP="00B77DE4">
            <w:pPr>
              <w:pStyle w:val="1CStyle29"/>
              <w:jc w:val="left"/>
            </w:pPr>
            <w:r w:rsidRPr="00C3566E">
              <w:t>Техническое обслуживание</w:t>
            </w:r>
          </w:p>
        </w:tc>
        <w:tc>
          <w:tcPr>
            <w:tcW w:w="1134" w:type="dxa"/>
            <w:gridSpan w:val="7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3566E">
              <w:rPr>
                <w:rFonts w:ascii="Times New Roman" w:hAnsi="Times New Roman" w:cs="Times New Roman"/>
                <w:sz w:val="22"/>
              </w:rPr>
              <w:t>кран</w:t>
            </w:r>
          </w:p>
        </w:tc>
        <w:tc>
          <w:tcPr>
            <w:tcW w:w="1042" w:type="dxa"/>
            <w:gridSpan w:val="10"/>
            <w:tcBorders>
              <w:top w:val="single" w:sz="5" w:space="0" w:color="auto"/>
              <w:left w:val="single" w:sz="5" w:space="0" w:color="auto"/>
              <w:right w:val="single" w:sz="4" w:space="0" w:color="auto"/>
            </w:tcBorders>
            <w:shd w:val="clear" w:color="FFFFFF" w:fill="auto"/>
          </w:tcPr>
          <w:p w:rsidR="00C3566E" w:rsidRPr="00C3566E" w:rsidRDefault="00C3566E" w:rsidP="00C3566E">
            <w:pPr>
              <w:pStyle w:val="TableContents"/>
              <w:rPr>
                <w:sz w:val="22"/>
                <w:szCs w:val="22"/>
              </w:rPr>
            </w:pPr>
            <w:r w:rsidRPr="00C3566E">
              <w:rPr>
                <w:sz w:val="22"/>
                <w:szCs w:val="22"/>
              </w:rPr>
              <w:t>6,000</w:t>
            </w:r>
          </w:p>
        </w:tc>
        <w:tc>
          <w:tcPr>
            <w:tcW w:w="372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C3566E" w:rsidRDefault="00B77DE4" w:rsidP="00C3566E">
            <w:pPr>
              <w:pStyle w:val="1CStyle32"/>
              <w:jc w:val="left"/>
            </w:pPr>
            <w:r>
              <w:t>Кра</w:t>
            </w:r>
            <w:r w:rsidRPr="00C3566E">
              <w:t>н в котельной при d газ-да св. 40мм</w:t>
            </w:r>
          </w:p>
        </w:tc>
        <w:tc>
          <w:tcPr>
            <w:tcW w:w="49" w:type="dxa"/>
            <w:tcBorders>
              <w:left w:val="single" w:sz="4" w:space="0" w:color="auto"/>
            </w:tcBorders>
            <w:shd w:val="clear" w:color="FFFFFF" w:fill="auto"/>
            <w:vAlign w:val="bottom"/>
          </w:tcPr>
          <w:p w:rsidR="00C3566E" w:rsidRDefault="00C3566E" w:rsidP="00C3566E">
            <w:pPr>
              <w:pStyle w:val="1CStyle33"/>
              <w:jc w:val="left"/>
            </w:pPr>
          </w:p>
        </w:tc>
      </w:tr>
      <w:tr w:rsidR="00470507" w:rsidTr="00C3566E">
        <w:tc>
          <w:tcPr>
            <w:tcW w:w="275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4"/>
              <w:jc w:val="left"/>
            </w:pPr>
          </w:p>
        </w:tc>
        <w:tc>
          <w:tcPr>
            <w:tcW w:w="942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5"/>
              <w:jc w:val="left"/>
            </w:pPr>
          </w:p>
        </w:tc>
        <w:tc>
          <w:tcPr>
            <w:tcW w:w="945" w:type="dxa"/>
            <w:gridSpan w:val="2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6"/>
              <w:jc w:val="left"/>
            </w:pPr>
          </w:p>
        </w:tc>
        <w:tc>
          <w:tcPr>
            <w:tcW w:w="946" w:type="dxa"/>
            <w:gridSpan w:val="6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5"/>
              <w:jc w:val="left"/>
            </w:pPr>
          </w:p>
        </w:tc>
        <w:tc>
          <w:tcPr>
            <w:tcW w:w="945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5"/>
              <w:jc w:val="left"/>
            </w:pPr>
          </w:p>
        </w:tc>
        <w:tc>
          <w:tcPr>
            <w:tcW w:w="768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7"/>
              <w:jc w:val="left"/>
            </w:pPr>
          </w:p>
        </w:tc>
        <w:tc>
          <w:tcPr>
            <w:tcW w:w="1134" w:type="dxa"/>
            <w:gridSpan w:val="7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8"/>
              <w:jc w:val="left"/>
            </w:pPr>
          </w:p>
        </w:tc>
        <w:tc>
          <w:tcPr>
            <w:tcW w:w="1042" w:type="dxa"/>
            <w:gridSpan w:val="10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7"/>
              <w:jc w:val="left"/>
            </w:pPr>
          </w:p>
        </w:tc>
        <w:tc>
          <w:tcPr>
            <w:tcW w:w="1023" w:type="dxa"/>
            <w:gridSpan w:val="5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9"/>
              <w:jc w:val="left"/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9"/>
              <w:jc w:val="left"/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35"/>
              <w:jc w:val="left"/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40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rPr>
          <w:trHeight w:val="164"/>
        </w:trPr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1.2.  Адрес объекта: </w:t>
            </w:r>
            <w:r>
              <w:rPr>
                <w:b/>
              </w:rPr>
              <w:t xml:space="preserve">РТ, </w:t>
            </w:r>
            <w:proofErr w:type="spellStart"/>
            <w:r>
              <w:rPr>
                <w:b/>
              </w:rPr>
              <w:t>г.Казань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ул.Гудованцева</w:t>
            </w:r>
            <w:proofErr w:type="spellEnd"/>
            <w:r>
              <w:rPr>
                <w:b/>
              </w:rPr>
              <w:t>, 130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41"/>
            </w:pPr>
            <w:r>
              <w:t>Примечание:</w:t>
            </w:r>
            <w:r>
              <w:br/>
              <w:t xml:space="preserve">Границы раздела эксплуатационной ответственности и обязательств Исполнителя и  Заказчика по обеспечению условий безопасной эксплуатации газопроводов, газоиспользующих установок и газового </w:t>
            </w:r>
            <w:r>
              <w:lastRenderedPageBreak/>
              <w:t>оборудования оформляются «Актом разграничения эксплуатационной ответственности» (Приложение № 2), с приложением схемы границ раздела технического обслуживания по Договору (с указанием конечных точек подключения потребителя газа).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41"/>
              <w:jc w:val="left"/>
            </w:pPr>
            <w:r>
              <w:lastRenderedPageBreak/>
              <w:t>1.3. При исполнении обязательств по настоящему Договору Стороны руководствуются требованиями следующих нормативных актов: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>Федеральным Законом от 31.03.1999г. № 69-ФЗ «О газоснабжении в Российской Федерации»;</w:t>
            </w:r>
          </w:p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>Федеральным Законом от 21.07.1997г. №116-ФЗ «О промышленной безопасности опасных производственных объектов»;</w:t>
            </w:r>
          </w:p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 xml:space="preserve">Правилами безопасности сетей газораспределения и </w:t>
            </w:r>
            <w:proofErr w:type="spellStart"/>
            <w:r>
              <w:t>газопотребления</w:t>
            </w:r>
            <w:proofErr w:type="spellEnd"/>
            <w:r>
              <w:t xml:space="preserve">», утверждёнными Приказом </w:t>
            </w:r>
            <w:proofErr w:type="spellStart"/>
            <w:r>
              <w:t>Ростехнадзора</w:t>
            </w:r>
            <w:proofErr w:type="spellEnd"/>
            <w:r>
              <w:t xml:space="preserve"> от 15.12.2020г. № 531;</w:t>
            </w:r>
          </w:p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 xml:space="preserve">«Техническим регламентом о безопасности сетей газораспределения и </w:t>
            </w:r>
            <w:proofErr w:type="spellStart"/>
            <w:r>
              <w:t>газопотребления</w:t>
            </w:r>
            <w:proofErr w:type="spellEnd"/>
            <w:r>
              <w:t>», утверждённым постановлением Правительства РФ от 29.10.2010г. № 870;</w:t>
            </w:r>
          </w:p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 xml:space="preserve">ГОСТ Р 58095.4-2021 Национальный стандарт Российской Федерации. «Системы газораспределительные. Требования к сетям </w:t>
            </w:r>
            <w:proofErr w:type="spellStart"/>
            <w:r>
              <w:t>газопотребления</w:t>
            </w:r>
            <w:proofErr w:type="spellEnd"/>
            <w:r>
              <w:t>. Часть 4. Эксплуатация.»;</w:t>
            </w:r>
          </w:p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>ГОСТ 34741-2021 Межгосударственный стандарт. «Системы газораспределительные. Требования к эксплуатации сетей газораспределения природного газа»;</w:t>
            </w:r>
          </w:p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>ГОСТ 34670-2020 Межгосударственный стандарт. «Системы газораспределительные. Пункты редуцирования газа. Основные положения»;</w:t>
            </w:r>
          </w:p>
          <w:p w:rsidR="00470507" w:rsidRDefault="001F13D4">
            <w:pPr>
              <w:pStyle w:val="1CStyle41"/>
              <w:numPr>
                <w:ilvl w:val="0"/>
                <w:numId w:val="1"/>
              </w:numPr>
              <w:outlineLvl w:val="0"/>
            </w:pPr>
            <w:r>
              <w:t>ГОСТ 34011-2024 Межгосударственный стандарт. «Системы газораспределительные. Пункты газорегуляторные блочные. Пункты редуцирования газа шкафные. Общие технические требования».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-1"/>
            </w:pPr>
            <w:r>
              <w:t>II. ПРАВА И ОБЯЗАННОСТИ СТОРОН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  <w:jc w:val="left"/>
            </w:pPr>
            <w:r>
              <w:t xml:space="preserve">2.1. Исполнитель обязуется: </w:t>
            </w:r>
          </w:p>
          <w:p w:rsidR="00470507" w:rsidRDefault="001F13D4">
            <w:pPr>
              <w:pStyle w:val="1CStyle23"/>
            </w:pPr>
            <w:r>
              <w:t>2.1.1. Осуществлять обязательства по Договору с надлежащим качеством, в объеме и с периодичностью, соответствующими требованиям нормативно-технической документации, настоящего Договора, нормативно-правовым актам, при условии обеспечения сотрудникам Исполнителя доступа к объектам Заказчика.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2.1.2. Обеспечивать соблюдение своими работниками безопасных методов труда и требований правил пожарной безопасности.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2.1.3. Согласовывать с Заказчиком графики выполнения регламентных работ по эксплуатации сетей </w:t>
            </w:r>
            <w:proofErr w:type="spellStart"/>
            <w:r>
              <w:t>газопотребления</w:t>
            </w:r>
            <w:proofErr w:type="spellEnd"/>
            <w:r>
              <w:t>, предусмотренных Договором.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2.1.4. При поступлении аварийной заявки от Заказчика о наличии запаха газа в помещении проинструктировать заявителя о необходимых мерах безопасности.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2.1.4.1. Прибыть (аварийная бригада аварийно-диспетчерской службы Исполнителя) на место аварии в возможно короткий срок, но не позднее, чем через 1 час после получения оперативной информации (аварийной заявки).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2.1.4.2. При поступлении аварийной заявки о взрыве, пожаре, загазованности помещений Заказчика выехать (аварийная бригада аварийно-диспетчерской службы Исполнителя) к месту произошедшей аварии не позднее, чем через 5 мин после поступления информации.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2.1.4.3. При локализации и ликвидации аварии на объекте Заказчика обеспечить восстановление заданного режима работы газового оборудования и максимально возможной в аварийной ситуации подачи газа Заказчику.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2.2. Исполнитель вправе: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2.2.1.Определять время для исполнения обязательств по Договору с учетом требований нормативно-технической документации, настоящего Договора и нормативно-правовых актов.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2.2.2. Выдавать Заказчику уведомления об устранении выявленных нарушений по эксплуатации Объекта.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2.2.3. Отключать газоиспользующее оборудование Заказчика с установкой заглушки на подводящем газопроводе и составлением акта отключения при выявлении в результате его технического обслуживания: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- самовольной газификации или переустройства сетей </w:t>
            </w:r>
            <w:proofErr w:type="spellStart"/>
            <w:r>
              <w:t>газопотребления</w:t>
            </w:r>
            <w:proofErr w:type="spellEnd"/>
            <w:r>
              <w:t>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lastRenderedPageBreak/>
              <w:t>- необходимости замены газоиспользующего оборудования (при наличии неустранимых в процессе ремонта неисправностей и утечек газа);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 утечек газа, неисправностей автоматики безопасности и других неисправностей, которые могут повлечь за собой аварию, при отсутствии технической возможности их незамедлительного устранения;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 отсутствия или нарушения тяги в дымоходах;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 нарушения герметичности дымоотвода газоиспользующего оборудования;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 отсутствия условий обеспечения притока воздуха для сжигания газа.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После устранения выявленных нарушений и неисправностей Исполнитель подключает газоиспользующее оборудование к сети </w:t>
            </w:r>
            <w:proofErr w:type="spellStart"/>
            <w:r>
              <w:t>газопотребления</w:t>
            </w:r>
            <w:proofErr w:type="spellEnd"/>
            <w:r>
              <w:t>. Подключение газоиспользующего оборудования осуществляется за счет средств Заказчика, после зачисления денежных средств на расчетный счет Исполнителя за работу по отключению и подключению.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2.3.   Заказчик обязуется: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2.3.1.Назначить ответственного за безопасную эксплуатацию объектов сетей </w:t>
            </w:r>
            <w:proofErr w:type="spellStart"/>
            <w:r>
              <w:t>газопотребления</w:t>
            </w:r>
            <w:proofErr w:type="spellEnd"/>
            <w:r>
              <w:t>, прошедших проверку знаний правил безопасности.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2.3.2.В течение всего срока эксплуатации, иметь и хранить: проектную и строительную документацию на введённые в эксплуатацию объекты сетей </w:t>
            </w:r>
            <w:proofErr w:type="spellStart"/>
            <w:r>
              <w:t>газопотребления</w:t>
            </w:r>
            <w:proofErr w:type="spellEnd"/>
            <w:r>
              <w:t xml:space="preserve">; акты приемки объектов сетей </w:t>
            </w:r>
            <w:proofErr w:type="spellStart"/>
            <w:r>
              <w:t>газопотребления</w:t>
            </w:r>
            <w:proofErr w:type="spellEnd"/>
            <w:r>
              <w:t>; разрешение на первичный пуск газа и акт ввода в эксплуатацию.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2.3.3. Обеспечивать свободный доступ персонала Исполнителя (по предъявлению удостоверения) для технического обслуживания и ремонта газопроводов, газоиспользующих установок и газового оборудования, указанных в пункте 1.1. Договора, а также аварийно-диспетчерского обеспечения. В случае непредставления доступа для оказания услуг, Исполнитель не несет ответственности за последствия и возможный ущерб, возникший у Заказчика в связи с неисполнением Исполнителем условий Договора.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2.3.4. В случае аварии немедленно ставить в известность Исполнителя и допускать его представителя к осмотру места аварии.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2.3.5. Письменно уведомить Исполнителя в течение 5 (пяти) рабочих дней о прекращении права на объект (собственность, аренда, пользование). </w:t>
            </w:r>
            <w:proofErr w:type="spellStart"/>
            <w:r>
              <w:t>Неуведомление</w:t>
            </w:r>
            <w:proofErr w:type="spellEnd"/>
            <w:r>
              <w:t>/несвоевременное уведомление не освобождает Заказчика от оплаты услуг по Договору.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2.3.6. Выполнять указания Исполнителя, содержащиеся в уведомлениях об устранении выявленных нарушений. До устранения нарушений Исполнитель вправе приостановить оказание услуг по настоящему Договору. В это время Исполнитель не несет ответственности за возможное причинение вреда Заказчику или третьим лицам. О приостановлении оказания услуг по настоящему Договору Исполнитель уведомляет Заказчика, Федеральную службу по экологическому, технологическому и атомному надзору (</w:t>
            </w:r>
            <w:proofErr w:type="spellStart"/>
            <w:r>
              <w:t>Ростехнадзор</w:t>
            </w:r>
            <w:proofErr w:type="spellEnd"/>
            <w:r>
              <w:t xml:space="preserve"> по РТ), поставщика газа. Об устранении выявленных нарушений Заказчик обязуется уведомить в письменном виде Исполнителя для возобновления оказания услуг по Договору.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2.3.7. Учитывать ограничения (обременения) земельных участков, входящих в охранные зоны газопроводов и газового оборудования, установленные действующими нормативно-правовыми актами.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2.3.8. Производить оплату согласно условиям настоящего Договора.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2.3.9. Осуществлять: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 контроль за состоянием уплотнений подземных вводов и выходов инженерных коммуникаций через наружные конструкции здания;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-проверку технического состояния и восстановление работоспособности вентиляционных систем и дымоходов зданий и помещений с установленным газоиспользующим оборудованием;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-приостановку работы потенциально-аварийного газоиспользующего оборудования в общественных и административных зданиях;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-установку и последующее обслуживание, не реже одного раза в год, систем контроля загазованности и уровня содержания окиси углерода в помещениях с установленным газоиспользующим оборудованием;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- ремонт зданий ГРП, отопления, вентиляции, освещения, </w:t>
            </w:r>
            <w:proofErr w:type="spellStart"/>
            <w:r>
              <w:t>молниезащиты</w:t>
            </w:r>
            <w:proofErr w:type="spellEnd"/>
            <w:r>
              <w:t xml:space="preserve"> по требованию Исполнителя (при наличии данных объектов).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2.4. Заказчик вправе: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lastRenderedPageBreak/>
              <w:t>2.4.1. Проверять ход и качество оказания услуг, оказываемых Исполнителем, не вмешиваясь в его деятельность.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2.4.2. Подписывать Акт приема-сдачи оказанных Исполнителем услуг.</w:t>
            </w:r>
          </w:p>
          <w:p w:rsidR="00071196" w:rsidRDefault="00071196">
            <w:pPr>
              <w:pStyle w:val="1CStyle23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-1"/>
            </w:pPr>
            <w:r>
              <w:t>III. РЕМОНТ ОБЪЕКТОВ СЕТЕЙ ГАЗОРАСПРЕДЕЛЕНИЯ И ГАЗОПОТРЕБЛЕНИЯ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3.1. Ремонт газопроводов, замена или ремонт газоиспользующих установок, газового оборудования производятся на основании ремонтных заявок Заказчика, оформленных в результате проведения Исполнителем технического обслуживания, или при выявлении дефектов и неисправностей Заказчиком самостоятельно.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Исполнитель должен начать работу по ремонту газопроводов не позднее, чем через один календарный день после регистрации ремонтной заявки; работу по ремонту газоиспользующих установок, газового оборудования не позднее, чем через три рабочих дня после регистрации ремонтной заявки.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3.2. Неисправности газопроводов, газоиспользующих установок и газового оборудования, которые могут привести к аварии или создают угрозу безопасности людей, устраняются Исполнителем в аварийном порядке.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3.3. Неисправности, выявленные в гарантийный срок службы газоиспользующих установок, газового оборудования, должны устраняться аккредитованными сервисными службами (центрами) от поставщиков данного оборудования.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3.4. Остановка газоиспользующих установок предприятий и котельных для ремонта производится после получения письменного разрешения ответственного за безопасную эксплуатацию газоиспользующего оборудования, за исключением аварийного останова.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3.5. Сроки проведения текущего ремонта иных технологических устройств определяются Исполнителем самостоятельно исходя из характера неисправностей и условий обеспечения их безопасной эксплуатации с учетом требований нормативно-технической документации и настоящего Договора.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-1"/>
            </w:pPr>
            <w:r>
              <w:t>IV. СТОИМОСТЬ УСЛУГ И ПОРЯДОК РАСЧЕТОВ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2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3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4.1. Заказчик оплачивает, оказанные в соответствии с настоящим Договором услуги, согласно «Прейскуранту на услуги ООО «Газпром </w:t>
            </w:r>
            <w:proofErr w:type="spellStart"/>
            <w:r>
              <w:t>трансгаз</w:t>
            </w:r>
            <w:proofErr w:type="spellEnd"/>
            <w:r>
              <w:t xml:space="preserve"> Казань» по приемке, техническому обслуживанию и ремонтно-восстановительным работам газораспределительных систем с 01.01.2026» (I); «Прейскуранту на услуги ООО «Газпром </w:t>
            </w:r>
            <w:proofErr w:type="spellStart"/>
            <w:r>
              <w:t>трансгаз</w:t>
            </w:r>
            <w:proofErr w:type="spellEnd"/>
            <w:r>
              <w:t xml:space="preserve"> Казань» по техническому обслуживанию и ремонту внутренних газопроводов, газоиспользующих установок и бытового газового оборудования административных, общественных непроизводственного назначения зданий, а также по ремонту внутридомового и (или) внутриквартирного газового оборудования в многоквартирном доме, внутридомового газового оборудования в жилом доме с 01.01.2026» (II), введённым в действие приказом ООО «Газпром </w:t>
            </w:r>
            <w:proofErr w:type="spellStart"/>
            <w:r>
              <w:t>трансгаз</w:t>
            </w:r>
            <w:proofErr w:type="spellEnd"/>
            <w:r>
              <w:t xml:space="preserve"> Казань» от 03.12.2025г. № 967.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B77DE4">
        <w:tc>
          <w:tcPr>
            <w:tcW w:w="10724" w:type="dxa"/>
            <w:gridSpan w:val="49"/>
            <w:shd w:val="clear" w:color="auto" w:fill="auto"/>
            <w:vAlign w:val="bottom"/>
          </w:tcPr>
          <w:p w:rsidR="00470507" w:rsidRPr="00B77DE4" w:rsidRDefault="001F13D4">
            <w:pPr>
              <w:pStyle w:val="1CStyle23"/>
            </w:pPr>
            <w:r w:rsidRPr="00B77DE4">
              <w:t xml:space="preserve">4.2. Расчет стоимости оказываемых услуг по настоящему договору приведен в </w:t>
            </w:r>
            <w:r w:rsidRPr="00B77DE4">
              <w:rPr>
                <w:color w:val="000000" w:themeColor="text1"/>
              </w:rPr>
              <w:t>Приложении № 1.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6435AD" w:rsidP="006435AD">
            <w:pPr>
              <w:pStyle w:val="1CStyle23"/>
            </w:pPr>
            <w:r>
              <w:t>С</w:t>
            </w:r>
            <w:r w:rsidR="001F13D4">
              <w:t xml:space="preserve">тоимость </w:t>
            </w:r>
            <w:r>
              <w:t>раб</w:t>
            </w:r>
            <w:r w:rsidR="001F13D4">
              <w:t>от</w:t>
            </w:r>
            <w:r>
              <w:t xml:space="preserve"> за 3 месяца</w:t>
            </w:r>
            <w:r w:rsidR="001F13D4">
              <w:t xml:space="preserve"> составляет </w:t>
            </w:r>
            <w:r>
              <w:rPr>
                <w:b/>
              </w:rPr>
              <w:t>15 420,37</w:t>
            </w:r>
            <w:r w:rsidR="001F13D4">
              <w:rPr>
                <w:b/>
              </w:rPr>
              <w:t xml:space="preserve"> руб., в </w:t>
            </w:r>
            <w:proofErr w:type="spellStart"/>
            <w:r w:rsidR="001F13D4">
              <w:rPr>
                <w:b/>
              </w:rPr>
              <w:t>т.ч</w:t>
            </w:r>
            <w:proofErr w:type="spellEnd"/>
            <w:r w:rsidR="001F13D4">
              <w:rPr>
                <w:b/>
              </w:rPr>
              <w:t xml:space="preserve">. НДС </w:t>
            </w:r>
            <w:r>
              <w:rPr>
                <w:b/>
              </w:rPr>
              <w:t>3 392,48</w:t>
            </w:r>
            <w:r w:rsidR="001F13D4">
              <w:rPr>
                <w:b/>
              </w:rPr>
              <w:t xml:space="preserve"> руб. </w:t>
            </w:r>
            <w:r w:rsidR="001F13D4">
              <w:t>по ставке в соответствии с законодательством Российской Федерации о налогах и сборах.</w:t>
            </w:r>
            <w:r w:rsidR="00CD25D9">
              <w:t xml:space="preserve"> </w:t>
            </w:r>
            <w:r w:rsidR="00CD25D9" w:rsidRPr="00CD25D9">
              <w:rPr>
                <w:b/>
              </w:rPr>
              <w:t>Итого: 18 812 рублей 85 копеек.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4.3. Тарифы на услуги Исполнителя утверждаются не менее чем на один год. В случае утверждения нового прейскуранта, цена Договора пересчитывается Исполнителем по новым тарифам в одностороннем порядке. Об изменении цены Договора Исполнитель уведомляет Заказчика не позднее, чем за 10 календарных дней.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4.4. Готовые узлы, запасные части и детали, заменяемые при выполнении ремонта, дополнительно оплачиваются по действующим ценам, либо приобретаются Заказчиком самостоятельно, при отсутствии их у Исполнителя.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4.5. Оплата услуг по настоящему Договору производится Заказчиком на расчетный счет Исполнителя в течение 10 (десяти) рабочих дней с момента подписания сторонами Акта приема-сдачи оказанных услуг на основании выставленных счета и счета-фактуры. Датой оплаты считается дата зачисления денежных средств на расчетный счет Исполнителя.</w:t>
            </w:r>
          </w:p>
          <w:p w:rsidR="009532AB" w:rsidRDefault="009532AB">
            <w:pPr>
              <w:pStyle w:val="1CStyle23"/>
            </w:pPr>
            <w:r>
              <w:t>4.6. Источник финансирования: Федеральный бюджет.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470507">
            <w:pPr>
              <w:pStyle w:val="1CStyle-1"/>
              <w:jc w:val="left"/>
            </w:pPr>
          </w:p>
          <w:p w:rsidR="006435AD" w:rsidRDefault="006435AD">
            <w:pPr>
              <w:pStyle w:val="1CStyle-1"/>
            </w:pPr>
          </w:p>
          <w:p w:rsidR="00470507" w:rsidRDefault="001F13D4">
            <w:pPr>
              <w:pStyle w:val="1CStyle-1"/>
            </w:pPr>
            <w:r>
              <w:t>V.    ПОРЯДОК СДАЧИ УСЛУГ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2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3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5.1. После оказания услуг, в соответствии с согласованным с Заказчиком графиком, акт приема-сдачи оказанных услуг и счет-фактура направляются Исполнителем Заказчику до 5 числа месяца, следующего за расчетным.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5.2. Заказчик обязуется подписывать Акт приема-сдачи оказанных услуг в течение 5 (пяти) рабочих дней с момента получения и один подписанный экземпляр возвратить Исполнителю. В случае немотивированного отказа от подписания Акта приема-сдачи оказанных услуг, невозвращения подписанного экземпляра Исполнителю в течение 5 (пяти) рабочих дней с момента его получения, услуги считаются оказанными, а Акт приема-сдачи оказанных услуг принятым Сторонами в редакции Исполнителя.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5.3. В случае мотивированного отказа Заказчика от подписания Акта приема-сдачи оказанных услуг, сторонами составляется двусторонний акт с перечнем необходимых доработок и сроков их выполнения.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-1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-1"/>
            </w:pPr>
            <w:r>
              <w:t>VI. ОТВЕТСТВЕННОСТЬ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6.1. За качество оказываемых услуг несет ответственность Исполнитель.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6.2. За неудовлетворительное состояние газопроводов, газоиспользующих установок и газового оборудования ответственность несет Заказчик.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6.3. При невыполнении Заказчиком обязательств, предусмотренных п. 2.3.9. договора и создание аварийных ситуаций, Исполнитель прекращает техническое обслуживание. Ответственность за негативные последствия, вызванные прекращением технического обслуживания, возлагается на Заказчика.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6.4. В случае несвоевременной оплаты счетов Заказчик уплачивает пени в размере 0,1 % от суммы задолженности за каждый день просрочки.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6.5. По всем спорным вопросам стороны руководствуются действующим законодательством РФ и РТ. Изменения в нормативных актах обязательны для сторон с момента введения их в действие.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6.6.  Настоящий Договор может быть расторгнут Исполнителем, с последующим отключением объектов газоснабжения, в случае невыполнения Заказчиком: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- требований действующих правил по вопросам эксплуатации объектов сетей </w:t>
            </w:r>
            <w:proofErr w:type="spellStart"/>
            <w:r>
              <w:t>газопотребления</w:t>
            </w:r>
            <w:proofErr w:type="spellEnd"/>
            <w:r>
              <w:t>, содержания в технически исправном состоянии и замены устаревших и износившихся газоиспользующих установок, газового оборудования;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- условий настоящего Договора, в результате чего происходят неоднократные срывы оказания услуг, предусмотренных п. 1.1;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При невыполнении Заказчиком обязательств, предусмотренных настоящим Договором, Исполнитель уведомляет Поставщика газа, Федеральную службу по экологическому, технологическому и атомному надзору (</w:t>
            </w:r>
            <w:proofErr w:type="spellStart"/>
            <w:r>
              <w:t>Ростехнадзор</w:t>
            </w:r>
            <w:proofErr w:type="spellEnd"/>
            <w:r>
              <w:t xml:space="preserve"> по РТ) и после письменного предупреждения Заказчика, расторгает Договор с последующим отключением объектов газоснабжения.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6.7. Досрочное расторжение Договора не освобождает Заказчика от оплаты фактически оказанных услуг по настоящему Договору.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-1"/>
            </w:pPr>
            <w:r>
              <w:t>VII. ПРОЧИЕ УСЛОВИЯ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470507" w:rsidRDefault="00470507">
            <w:pPr>
              <w:pStyle w:val="1CStyle42"/>
              <w:jc w:val="left"/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470507" w:rsidRDefault="00470507">
            <w:pPr>
              <w:pStyle w:val="1CStyle44"/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470507" w:rsidRDefault="00470507">
            <w:pPr>
              <w:pStyle w:val="1CStyle44"/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470507" w:rsidRDefault="00470507">
            <w:pPr>
              <w:pStyle w:val="1CStyle45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470507" w:rsidRDefault="00470507">
            <w:pPr>
              <w:pStyle w:val="1CStyle46"/>
            </w:pPr>
          </w:p>
        </w:tc>
        <w:tc>
          <w:tcPr>
            <w:tcW w:w="472" w:type="dxa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470507" w:rsidRDefault="00470507">
            <w:pPr>
              <w:pStyle w:val="1CStyle43"/>
              <w:jc w:val="left"/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1F13D4" w:rsidRDefault="001F13D4">
            <w:pPr>
              <w:pStyle w:val="1CStyle23"/>
            </w:pPr>
            <w:r>
              <w:t xml:space="preserve">7.1. Настоящий Договор считается заключенным с даты его подписания обеими Сторонами и действует с 1 </w:t>
            </w:r>
            <w:r w:rsidR="00CD25D9">
              <w:t>апреля</w:t>
            </w:r>
            <w:r>
              <w:t xml:space="preserve"> 2026г. по 31 декабря 2026г., а в части оплаты – до полного исполнения Сторонами своих обязательств.</w:t>
            </w:r>
          </w:p>
          <w:p w:rsidR="00470507" w:rsidRDefault="001F13D4">
            <w:pPr>
              <w:pStyle w:val="1CStyle23"/>
            </w:pPr>
            <w:r>
              <w:t>7.2. Договор считается пролонгированным на последующий год, если за месяц до окончания срока не последует заявление одной из сторон о расторжении или изменении условий Договора. Количество пролонгаций не ограничено.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lastRenderedPageBreak/>
              <w:t>Данный пункт не распространяет свое действие на учреждения с казначейской формой исполнения бюджета.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7.3. Для учреждений с казначейской формой исполнения бюджета: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Лимит финансирования –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Источник финансирования -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7.4. В случае изменения наименования, юридического адреса, реквизитов или реорганизации, Сторона, у которой произошли такие изменения, обязана известить о таких изменениях другую Сторону в письменном виде в течение 10 (десяти) рабочих дней с момента изменения.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7.5. Ни одна из Сторон не имеет права передавать свои права и обязанности по Договору третьим лицам без письменного согласия другой Стороны.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7.6. Все изменения и дополнения к Договору действительны только в том случае, если они совершены в письменном виде за надлежащими подписями обеих Сторон, за исключением случаев, предусмотренных пунктами 4.1. и 7.4. настоящего Договора.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7.7. Все споры, разногласия и требования, возникающие из настоящего Договора или в связи с ним, в том числе связанные с его заключением, вступлением в силу, изменением, исполнением, нарушением, прекращением и действительностью подлежат разрешению посредством арбитража, администрируемого Арбитражным центром при Автономной некоммерческой организацией «Национальный институт развития арбитража в топливно-энергетическом комплексе» (далее — Арбитражный центр при АНО НИРА ТЭК) в соответствии с регламентом и правилами арбитража, действующими на момент подачи искового заявления.</w:t>
            </w:r>
            <w:r>
              <w:br/>
              <w:t>Документы и материалы при администрировании арбитража Арбитражным центром при АНО НИРА ТЭК могут направляться по следующим адресам электронной почты: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23"/>
            </w:pPr>
          </w:p>
        </w:tc>
        <w:tc>
          <w:tcPr>
            <w:tcW w:w="471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7"/>
            </w:pPr>
          </w:p>
        </w:tc>
        <w:tc>
          <w:tcPr>
            <w:tcW w:w="1889" w:type="dxa"/>
            <w:gridSpan w:val="7"/>
            <w:shd w:val="clear" w:color="FFFFFF" w:fill="auto"/>
            <w:vAlign w:val="bottom"/>
          </w:tcPr>
          <w:p w:rsidR="00470507" w:rsidRDefault="001F13D4">
            <w:pPr>
              <w:pStyle w:val="1CStyle57"/>
            </w:pPr>
            <w:r>
              <w:t>Исполнитель:</w:t>
            </w:r>
          </w:p>
        </w:tc>
        <w:tc>
          <w:tcPr>
            <w:tcW w:w="8089" w:type="dxa"/>
            <w:gridSpan w:val="3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58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23"/>
            </w:pPr>
          </w:p>
        </w:tc>
        <w:tc>
          <w:tcPr>
            <w:tcW w:w="471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7"/>
            </w:pPr>
          </w:p>
        </w:tc>
        <w:tc>
          <w:tcPr>
            <w:tcW w:w="1416" w:type="dxa"/>
            <w:gridSpan w:val="4"/>
            <w:shd w:val="clear" w:color="FFFFFF" w:fill="auto"/>
            <w:vAlign w:val="bottom"/>
          </w:tcPr>
          <w:p w:rsidR="00470507" w:rsidRDefault="001F13D4">
            <w:pPr>
              <w:pStyle w:val="1CStyle57"/>
            </w:pPr>
            <w:r>
              <w:t>Заказчик:</w:t>
            </w:r>
          </w:p>
        </w:tc>
        <w:tc>
          <w:tcPr>
            <w:tcW w:w="8562" w:type="dxa"/>
            <w:gridSpan w:val="4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58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 w:rsidP="00071196">
            <w:pPr>
              <w:pStyle w:val="1CStyle23"/>
            </w:pPr>
            <w:r>
              <w:t>Арбитры для разрешения спора могут выбираться (назначаться) только из рекомендованного списка арбитров Арбитражного центра при АНО НИРА ТЭК.</w:t>
            </w:r>
            <w:r>
              <w:br/>
              <w:t>В случае рассмотрения заявления об отводе или прекращении полномочий арбитра Президиумом Арбитражного центра при АНО НИРА ТЭК и отказа в его удовлетворении рассмотрение данного вопроса государственным судом исключается.</w:t>
            </w:r>
            <w:r w:rsidR="00071196">
              <w:t xml:space="preserve"> </w:t>
            </w:r>
            <w:r>
              <w:t>Вынесенное третейским судом постановление о наличии у него компетенции в качестве вопроса предварительного характера не подлежит обжалованию в государственном суде.</w:t>
            </w:r>
            <w:r w:rsidR="00071196">
              <w:t xml:space="preserve"> </w:t>
            </w:r>
            <w:r>
              <w:t>Арбитражное решение является окончательным.</w:t>
            </w:r>
            <w:r w:rsidR="00071196">
              <w:t xml:space="preserve"> </w:t>
            </w:r>
            <w:r>
              <w:t>Заявление о выдаче исполнительного листа на принудительное исполнение решения третейского суда по выбору стороны арбитража, в пользу которой принято решение третейского суда, может быть подано в компетентный суд по адресу или месту жительства должника, по месту нахождения имущества должника, если адрес или место жительства должника неизвестны, а также в компетентный суд, на территории которого принято решение третейского суда, либо в компетентный суд по адресу стороны арбитража, в пользу которой принято решение третейского суда.».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7.8. В случае невозвращения подписанного экземпляра настоящего Договора Исполнителю в течение 30 (тридцати) календарных дней с момента получения Заказчиком, настоящий Договор считается незаключенным.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 xml:space="preserve">7.9. Стороны констатируют, что УФСИН России по Республике Татарстан ознакомлено с Кодексом корпоративной этики ООО «Газпром </w:t>
            </w:r>
            <w:proofErr w:type="spellStart"/>
            <w:r>
              <w:t>трансгаз</w:t>
            </w:r>
            <w:proofErr w:type="spellEnd"/>
            <w:r>
              <w:t xml:space="preserve"> Казань», размещенным на сайте https://kazan-tr.gazprom.ru/social/kodeks-korporativnoj-ehtiki/, согласен с содержащимися в нем рекомендуемыми для соблюдения принципами и правилами делового поведения в части, не противоречащей существу имеющихся договорных обязательств и применимому праву.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23"/>
            </w:pPr>
            <w:r>
              <w:t>7.10. Юридические адреса и реквизиты сторон:</w:t>
            </w:r>
          </w:p>
          <w:p w:rsidR="00071196" w:rsidRDefault="00071196">
            <w:pPr>
              <w:pStyle w:val="1CStyle23"/>
            </w:pPr>
          </w:p>
          <w:p w:rsidR="00071196" w:rsidRPr="00071196" w:rsidRDefault="00071196" w:rsidP="00071196">
            <w:pPr>
              <w:pStyle w:val="1CStyle23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8</w:t>
            </w:r>
            <w:r w:rsidRPr="00071196">
              <w:rPr>
                <w:b/>
              </w:rPr>
              <w:t>. Антикоррупционная оговорка</w:t>
            </w:r>
          </w:p>
          <w:p w:rsidR="00071196" w:rsidRPr="00071196" w:rsidRDefault="00071196" w:rsidP="00071196">
            <w:pPr>
              <w:pStyle w:val="1CStyle23"/>
            </w:pPr>
            <w:r>
              <w:t>8</w:t>
            </w:r>
            <w:r w:rsidRPr="00071196">
              <w:t xml:space="preserve">.1. При исполнении своих обязательств по настоящему договору, Стороны, </w:t>
            </w:r>
            <w:r w:rsidRPr="00071196">
              <w:br/>
              <w:t xml:space="preserve">их аффилированные лица, работники или посредники не выплачивают, не предлагают выплатить </w:t>
            </w:r>
            <w:r w:rsidRPr="00071196">
              <w:br/>
              <w:t xml:space="preserve">и не разрешают выплату каких-либо денежных средств или ценностей, прямо или косвенно, любым </w:t>
            </w:r>
            <w:r w:rsidRPr="00071196">
              <w:lastRenderedPageBreak/>
              <w:t>лицам, для оказания влияния на действия или решения этих лиц с целью получить какие-либо неправомерные преимущества или иные неправомерные цели.</w:t>
            </w:r>
          </w:p>
          <w:p w:rsidR="00071196" w:rsidRPr="00071196" w:rsidRDefault="00071196" w:rsidP="00071196">
            <w:pPr>
              <w:pStyle w:val="1CStyle23"/>
            </w:pPr>
            <w:r>
              <w:t>8</w:t>
            </w:r>
            <w:r w:rsidRPr="00071196">
              <w:t xml:space="preserve">.2. При исполнении своих обязательств по настоящему договору, Стороны, </w:t>
            </w:r>
            <w:r w:rsidRPr="00071196">
              <w:br/>
              <w:t xml:space="preserve">их аффилированные лица, работники или посредники не осуществляют действия, квалифицируемые применимым для целей настоящего Государственного договора законодательством, </w:t>
            </w:r>
            <w:r w:rsidRPr="00071196">
              <w:br/>
              <w:t>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(отмыванию)доходов, полученных преступным путем.</w:t>
            </w:r>
          </w:p>
          <w:p w:rsidR="00071196" w:rsidRPr="00071196" w:rsidRDefault="00071196" w:rsidP="00071196">
            <w:pPr>
              <w:pStyle w:val="1CStyle23"/>
            </w:pPr>
            <w:r>
              <w:t>8</w:t>
            </w:r>
            <w:r w:rsidRPr="00071196">
              <w:t>.3. В случае возникновения у Стороны подозрений, что произошло или может произойти нарушение каких-либ</w:t>
            </w:r>
            <w:r>
              <w:t>о положений пункта 8.1, 8</w:t>
            </w:r>
            <w:r w:rsidRPr="00071196">
              <w:t>.2 договора, соответствующая Сторона обязуется уведомить об этом другую Сторону в письменной форме.</w:t>
            </w:r>
          </w:p>
          <w:p w:rsidR="00071196" w:rsidRPr="00071196" w:rsidRDefault="00071196" w:rsidP="00071196">
            <w:pPr>
              <w:pStyle w:val="1CStyle23"/>
            </w:pPr>
            <w:r w:rsidRPr="00071196">
      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</w:t>
            </w:r>
            <w:r>
              <w:t>х-либо положений пункта 8.1, 8</w:t>
            </w:r>
            <w:r w:rsidRPr="00071196">
              <w:t xml:space="preserve">.2 договора контрагентом, </w:t>
            </w:r>
            <w:r w:rsidRPr="00071196">
              <w:br/>
              <w:t xml:space="preserve">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</w:t>
            </w:r>
            <w:r w:rsidRPr="00071196">
              <w:br/>
              <w:t xml:space="preserve">по настоящему договору до получения подтверждения, что нарушения не произошло </w:t>
            </w:r>
            <w:r w:rsidRPr="00071196">
              <w:br/>
              <w:t xml:space="preserve">или не произойдет. Это подтверждение должно быть направлено в течение десяти рабочих дней </w:t>
            </w:r>
            <w:r w:rsidRPr="00071196">
              <w:br/>
              <w:t>с даты направления письменного уведомления.</w:t>
            </w:r>
          </w:p>
          <w:p w:rsidR="00071196" w:rsidRDefault="00071196" w:rsidP="00071196">
            <w:pPr>
              <w:pStyle w:val="1CStyle23"/>
            </w:pPr>
            <w:r>
              <w:t>8</w:t>
            </w:r>
            <w:r w:rsidRPr="00071196">
              <w:t>.4. В случае нарушения одной Стороной обязательств воздержива</w:t>
            </w:r>
            <w:r>
              <w:t xml:space="preserve">ться от запрещенных </w:t>
            </w:r>
            <w:r>
              <w:br/>
              <w:t>в пункте 8.1, 8</w:t>
            </w:r>
            <w:r w:rsidRPr="00071196">
              <w:t xml:space="preserve">.2 настоящего договора действий и/или неполучения другой Стороной </w:t>
            </w:r>
            <w:r w:rsidRPr="00071196">
              <w:br/>
              <w:t xml:space="preserve">в установленный законодательством срок подтверждения, что нарушения не произошло или </w:t>
            </w:r>
            <w:r w:rsidRPr="00071196">
              <w:br/>
              <w:t xml:space="preserve">не произойдет, другая Сторона имеет право отказаться от исполнения Государственного договора </w:t>
            </w:r>
            <w:r w:rsidRPr="00071196">
              <w:br/>
              <w:t>в одностороннем порядке полностью или в части, направив письменное уведомление о расторжении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4053" w:type="dxa"/>
            <w:gridSpan w:val="17"/>
            <w:shd w:val="clear" w:color="FFFFFF" w:fill="auto"/>
            <w:vAlign w:val="bottom"/>
          </w:tcPr>
          <w:p w:rsidR="00470507" w:rsidRDefault="001F13D4">
            <w:pPr>
              <w:pStyle w:val="1CStyle59"/>
              <w:jc w:val="left"/>
            </w:pPr>
            <w:r>
              <w:t>ИСПОЛНИТЕЛЬ:</w:t>
            </w: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9910" w:type="dxa"/>
            <w:gridSpan w:val="47"/>
            <w:shd w:val="clear" w:color="FFFFFF" w:fill="auto"/>
            <w:vAlign w:val="bottom"/>
          </w:tcPr>
          <w:p w:rsidR="00470507" w:rsidRDefault="00470507">
            <w:pPr>
              <w:pStyle w:val="1CStyle6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9910" w:type="dxa"/>
            <w:gridSpan w:val="47"/>
            <w:shd w:val="clear" w:color="FFFFFF" w:fill="auto"/>
            <w:vAlign w:val="bottom"/>
          </w:tcPr>
          <w:p w:rsidR="00470507" w:rsidRDefault="001F13D4" w:rsidP="00CD25D9">
            <w:pPr>
              <w:pStyle w:val="1CStyle60"/>
              <w:jc w:val="left"/>
            </w:pPr>
            <w:r>
              <w:t xml:space="preserve"> </w:t>
            </w: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9910" w:type="dxa"/>
            <w:gridSpan w:val="47"/>
            <w:shd w:val="clear" w:color="FFFFFF" w:fill="auto"/>
            <w:vAlign w:val="bottom"/>
          </w:tcPr>
          <w:p w:rsidR="00470507" w:rsidRDefault="00470507">
            <w:pPr>
              <w:pStyle w:val="1CStyle6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9910" w:type="dxa"/>
            <w:gridSpan w:val="47"/>
            <w:shd w:val="clear" w:color="FFFFFF" w:fill="auto"/>
            <w:vAlign w:val="bottom"/>
          </w:tcPr>
          <w:p w:rsidR="00470507" w:rsidRDefault="00470507">
            <w:pPr>
              <w:pStyle w:val="1CStyle6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9910" w:type="dxa"/>
            <w:gridSpan w:val="47"/>
            <w:shd w:val="clear" w:color="FFFFFF" w:fill="auto"/>
            <w:vAlign w:val="bottom"/>
          </w:tcPr>
          <w:p w:rsidR="00470507" w:rsidRDefault="00470507">
            <w:pPr>
              <w:pStyle w:val="1CStyle6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9910" w:type="dxa"/>
            <w:gridSpan w:val="47"/>
            <w:shd w:val="clear" w:color="FFFFFF" w:fill="auto"/>
            <w:vAlign w:val="bottom"/>
          </w:tcPr>
          <w:p w:rsidR="00470507" w:rsidRDefault="00470507">
            <w:pPr>
              <w:pStyle w:val="1CStyle6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9910" w:type="dxa"/>
            <w:gridSpan w:val="47"/>
            <w:shd w:val="clear" w:color="FFFFFF" w:fill="auto"/>
            <w:vAlign w:val="bottom"/>
          </w:tcPr>
          <w:p w:rsidR="00470507" w:rsidRDefault="00470507">
            <w:pPr>
              <w:pStyle w:val="1CStyle6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2162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59"/>
              <w:jc w:val="left"/>
            </w:pPr>
          </w:p>
          <w:p w:rsidR="00470507" w:rsidRDefault="00470507">
            <w:pPr>
              <w:pStyle w:val="1CStyle59"/>
              <w:jc w:val="left"/>
            </w:pPr>
          </w:p>
          <w:p w:rsidR="00470507" w:rsidRDefault="00470507">
            <w:pPr>
              <w:pStyle w:val="1CStyle59"/>
              <w:jc w:val="left"/>
            </w:pPr>
          </w:p>
          <w:p w:rsidR="00470507" w:rsidRDefault="00470507">
            <w:pPr>
              <w:pStyle w:val="1CStyle59"/>
              <w:jc w:val="left"/>
            </w:pPr>
          </w:p>
          <w:p w:rsidR="00470507" w:rsidRDefault="001F13D4">
            <w:pPr>
              <w:pStyle w:val="1CStyle59"/>
              <w:jc w:val="left"/>
            </w:pPr>
            <w:r>
              <w:t>ЗАКАЗЧИК:</w:t>
            </w:r>
          </w:p>
        </w:tc>
        <w:tc>
          <w:tcPr>
            <w:tcW w:w="8562" w:type="dxa"/>
            <w:gridSpan w:val="42"/>
            <w:shd w:val="clear" w:color="FFFFFF" w:fill="auto"/>
            <w:vAlign w:val="bottom"/>
          </w:tcPr>
          <w:p w:rsidR="00470507" w:rsidRDefault="00470507">
            <w:pPr>
              <w:pStyle w:val="1CStyle61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Pr="00CE57D5" w:rsidRDefault="00CE57D5" w:rsidP="00CE57D5">
            <w:pPr>
              <w:jc w:val="both"/>
            </w:pPr>
            <w:r w:rsidRPr="00CE57D5">
              <w:rPr>
                <w:rFonts w:ascii="Times New Roman" w:eastAsia="Times New Roman" w:hAnsi="Times New Roman"/>
                <w:sz w:val="24"/>
                <w:szCs w:val="28"/>
              </w:rPr>
              <w:t>Федеральное Казенное Учреждение «Следственный изолятор №1 Управления Федеральной Службы Исполнения Наказаний по Республике Татарстан»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 w:rsidP="00CE57D5">
            <w:pPr>
              <w:pStyle w:val="1CStyle15"/>
              <w:jc w:val="left"/>
            </w:pPr>
            <w:r>
              <w:t xml:space="preserve">420111, Татарстан </w:t>
            </w:r>
            <w:proofErr w:type="spellStart"/>
            <w:r>
              <w:t>Респ</w:t>
            </w:r>
            <w:proofErr w:type="spellEnd"/>
            <w:r>
              <w:t xml:space="preserve">., Казань г., </w:t>
            </w:r>
            <w:proofErr w:type="spellStart"/>
            <w:r w:rsidR="00CE57D5">
              <w:t>Гудованцева</w:t>
            </w:r>
            <w:proofErr w:type="spellEnd"/>
            <w:r>
              <w:t xml:space="preserve"> ул., </w:t>
            </w:r>
            <w:r w:rsidR="00CE57D5">
              <w:t>130</w:t>
            </w:r>
            <w:r>
              <w:t xml:space="preserve"> д.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15"/>
              <w:jc w:val="left"/>
            </w:pPr>
            <w:r>
              <w:t xml:space="preserve">ИНН/КПП </w:t>
            </w:r>
            <w:r w:rsidR="00CE57D5" w:rsidRPr="00CE57D5">
              <w:rPr>
                <w:rFonts w:eastAsia="Times New Roman"/>
                <w:szCs w:val="28"/>
              </w:rPr>
              <w:t>1654005672</w:t>
            </w:r>
            <w:r>
              <w:t xml:space="preserve"> / </w:t>
            </w:r>
            <w:r w:rsidR="00CE57D5" w:rsidRPr="00CE57D5">
              <w:rPr>
                <w:szCs w:val="28"/>
              </w:rPr>
              <w:t>168301001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15"/>
              <w:jc w:val="left"/>
            </w:pPr>
            <w:r>
              <w:t xml:space="preserve">ОКТМО </w:t>
            </w:r>
            <w:r w:rsidR="00CE57D5" w:rsidRPr="00CE57D5">
              <w:rPr>
                <w:rFonts w:eastAsia="Times New Roman"/>
                <w:szCs w:val="28"/>
              </w:rPr>
              <w:t>92701000</w:t>
            </w:r>
          </w:p>
          <w:p w:rsidR="00470507" w:rsidRDefault="001F13D4">
            <w:pPr>
              <w:pStyle w:val="1CStyle15"/>
              <w:jc w:val="left"/>
            </w:pPr>
            <w:r>
              <w:t xml:space="preserve">ОКПО </w:t>
            </w:r>
            <w:r w:rsidR="00CE57D5" w:rsidRPr="00CE57D5">
              <w:rPr>
                <w:rFonts w:eastAsia="Times New Roman"/>
                <w:szCs w:val="28"/>
              </w:rPr>
              <w:t>08561844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15"/>
              <w:jc w:val="left"/>
            </w:pPr>
            <w:r>
              <w:t xml:space="preserve">ОКЦ №1 Волго-Вятского ГУ Банка России//УФК по Нижегородской области, </w:t>
            </w:r>
            <w:proofErr w:type="spellStart"/>
            <w:r>
              <w:t>г.Нижний</w:t>
            </w:r>
            <w:proofErr w:type="spellEnd"/>
            <w:r>
              <w:t xml:space="preserve"> Новгород</w:t>
            </w:r>
          </w:p>
          <w:p w:rsidR="00470507" w:rsidRDefault="001F13D4">
            <w:pPr>
              <w:pStyle w:val="1CStyle15"/>
              <w:jc w:val="left"/>
            </w:pPr>
            <w:r>
              <w:t>БИК 012202102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1F13D4">
            <w:pPr>
              <w:pStyle w:val="1CStyle15"/>
              <w:jc w:val="left"/>
            </w:pPr>
            <w:r>
              <w:t>КС (казначейский счет): 03211643000000013233</w:t>
            </w:r>
          </w:p>
          <w:p w:rsidR="00470507" w:rsidRDefault="001F13D4">
            <w:pPr>
              <w:pStyle w:val="1CStyle15"/>
              <w:jc w:val="left"/>
            </w:pPr>
            <w:r>
              <w:t>ЕКС: 40102810745370000024</w:t>
            </w:r>
          </w:p>
          <w:p w:rsidR="00470507" w:rsidRDefault="001F13D4">
            <w:pPr>
              <w:pStyle w:val="1CStyle15"/>
              <w:jc w:val="left"/>
            </w:pPr>
            <w:r>
              <w:t xml:space="preserve">Лицевой счет УФК: </w:t>
            </w:r>
            <w:r w:rsidR="00CE57D5" w:rsidRPr="00CE57D5">
              <w:rPr>
                <w:rFonts w:eastAsia="Times New Roman"/>
                <w:szCs w:val="28"/>
              </w:rPr>
              <w:t>03111522610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c>
          <w:tcPr>
            <w:tcW w:w="10724" w:type="dxa"/>
            <w:gridSpan w:val="49"/>
            <w:shd w:val="clear" w:color="FFFFFF" w:fill="auto"/>
            <w:vAlign w:val="bottom"/>
          </w:tcPr>
          <w:p w:rsidR="00470507" w:rsidRDefault="00470507" w:rsidP="00CE57D5">
            <w:pPr>
              <w:jc w:val="both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4546" w:type="dxa"/>
            <w:gridSpan w:val="20"/>
            <w:shd w:val="clear" w:color="FFFFFF" w:fill="auto"/>
            <w:vAlign w:val="bottom"/>
          </w:tcPr>
          <w:p w:rsidR="00470507" w:rsidRDefault="00470507">
            <w:pPr>
              <w:pStyle w:val="1CStyle62"/>
              <w:jc w:val="left"/>
            </w:pPr>
          </w:p>
          <w:p w:rsidR="00470507" w:rsidRDefault="001F13D4">
            <w:pPr>
              <w:pStyle w:val="1CStyle62"/>
              <w:jc w:val="left"/>
            </w:pPr>
            <w:r>
              <w:br/>
            </w:r>
          </w:p>
          <w:p w:rsidR="00470507" w:rsidRDefault="00470507">
            <w:pPr>
              <w:pStyle w:val="1CStyle62"/>
              <w:jc w:val="left"/>
            </w:pPr>
          </w:p>
          <w:p w:rsidR="00470507" w:rsidRDefault="00470507">
            <w:pPr>
              <w:pStyle w:val="1CStyle6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334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236" w:type="dxa"/>
            <w:gridSpan w:val="3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3727" w:type="dxa"/>
            <w:gridSpan w:val="11"/>
            <w:shd w:val="clear" w:color="FFFFFF" w:fill="auto"/>
            <w:vAlign w:val="bottom"/>
          </w:tcPr>
          <w:p w:rsidR="00470507" w:rsidRDefault="006435AD">
            <w:pPr>
              <w:pStyle w:val="1CStyle4"/>
              <w:jc w:val="left"/>
            </w:pPr>
            <w:proofErr w:type="spellStart"/>
            <w:r>
              <w:t>Врио</w:t>
            </w:r>
            <w:proofErr w:type="spellEnd"/>
            <w:r>
              <w:t xml:space="preserve"> н</w:t>
            </w:r>
            <w:r w:rsidR="001F13D4">
              <w:t>ачальник</w:t>
            </w:r>
            <w:r>
              <w:t>а</w:t>
            </w:r>
            <w:r w:rsidR="001F13D4">
              <w:t xml:space="preserve"> УФСИН России по Республике Татарстан</w:t>
            </w:r>
          </w:p>
          <w:p w:rsidR="00470507" w:rsidRDefault="00470507">
            <w:pPr>
              <w:pStyle w:val="1CStyle4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4546" w:type="dxa"/>
            <w:gridSpan w:val="20"/>
            <w:shd w:val="clear" w:color="FFFFFF" w:fill="auto"/>
            <w:vAlign w:val="bottom"/>
          </w:tcPr>
          <w:p w:rsidR="00470507" w:rsidRDefault="00470507">
            <w:pPr>
              <w:pStyle w:val="1CStyle6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3727" w:type="dxa"/>
            <w:gridSpan w:val="11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4053" w:type="dxa"/>
            <w:gridSpan w:val="17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CD25D9">
            <w:pPr>
              <w:pStyle w:val="1CStyle63"/>
            </w:pPr>
            <w:r>
              <w:t>/ФИО</w:t>
            </w:r>
          </w:p>
        </w:tc>
        <w:tc>
          <w:tcPr>
            <w:tcW w:w="236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64"/>
            </w:pPr>
          </w:p>
        </w:tc>
        <w:tc>
          <w:tcPr>
            <w:tcW w:w="236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470507">
            <w:pPr>
              <w:pStyle w:val="1CStyle64"/>
            </w:pPr>
          </w:p>
        </w:tc>
        <w:tc>
          <w:tcPr>
            <w:tcW w:w="296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65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372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70507" w:rsidRDefault="006435AD" w:rsidP="006435AD">
            <w:pPr>
              <w:pStyle w:val="1CStyle66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А.Р.Сагд</w:t>
            </w:r>
            <w:r w:rsidR="001F13D4">
              <w:rPr>
                <w:b/>
              </w:rPr>
              <w:t>еев</w:t>
            </w:r>
            <w:proofErr w:type="spellEnd"/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4053" w:type="dxa"/>
            <w:gridSpan w:val="17"/>
            <w:shd w:val="clear" w:color="FFFFFF" w:fill="auto"/>
            <w:vAlign w:val="bottom"/>
          </w:tcPr>
          <w:p w:rsidR="00470507" w:rsidRDefault="001F13D4">
            <w:pPr>
              <w:pStyle w:val="1CStyle-1"/>
            </w:pPr>
            <w:r>
              <w:t>ИСПОЛНИТЕЛЬ</w:t>
            </w: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3727" w:type="dxa"/>
            <w:gridSpan w:val="11"/>
            <w:shd w:val="clear" w:color="FFFFFF" w:fill="auto"/>
            <w:vAlign w:val="bottom"/>
          </w:tcPr>
          <w:p w:rsidR="00470507" w:rsidRDefault="001F13D4">
            <w:pPr>
              <w:pStyle w:val="1CStyle67"/>
            </w:pPr>
            <w:r>
              <w:t>ЗАКАЗЧИК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4053" w:type="dxa"/>
            <w:gridSpan w:val="17"/>
            <w:shd w:val="clear" w:color="FFFFFF" w:fill="auto"/>
            <w:vAlign w:val="bottom"/>
          </w:tcPr>
          <w:p w:rsidR="00470507" w:rsidRDefault="001F13D4">
            <w:pPr>
              <w:pStyle w:val="1CStyle68"/>
            </w:pPr>
            <w:r>
              <w:t>М.П</w:t>
            </w: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3727" w:type="dxa"/>
            <w:gridSpan w:val="11"/>
            <w:shd w:val="clear" w:color="FFFFFF" w:fill="auto"/>
            <w:vAlign w:val="bottom"/>
          </w:tcPr>
          <w:p w:rsidR="00470507" w:rsidRDefault="001F13D4">
            <w:pPr>
              <w:pStyle w:val="1CStyle69"/>
            </w:pPr>
            <w:r>
              <w:t>М.П</w:t>
            </w: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c>
          <w:tcPr>
            <w:tcW w:w="275" w:type="dxa"/>
            <w:shd w:val="clear" w:color="FFFFFF" w:fill="auto"/>
            <w:vAlign w:val="bottom"/>
          </w:tcPr>
          <w:p w:rsidR="00470507" w:rsidRDefault="00470507">
            <w:pPr>
              <w:pStyle w:val="1CStyle15"/>
              <w:jc w:val="left"/>
            </w:pPr>
          </w:p>
        </w:tc>
        <w:tc>
          <w:tcPr>
            <w:tcW w:w="9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1"/>
              <w:jc w:val="left"/>
            </w:pPr>
          </w:p>
        </w:tc>
        <w:tc>
          <w:tcPr>
            <w:tcW w:w="946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  <w:p w:rsidR="00470507" w:rsidRDefault="00470507">
            <w:pPr>
              <w:pStyle w:val="1CStyle0"/>
              <w:jc w:val="left"/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768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13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042" w:type="dxa"/>
            <w:gridSpan w:val="10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1023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rPr>
          <w:gridAfter w:val="24"/>
          <w:wAfter w:w="5109" w:type="dxa"/>
        </w:trPr>
        <w:tc>
          <w:tcPr>
            <w:tcW w:w="1652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3753" w:type="dxa"/>
            <w:gridSpan w:val="18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470507" w:rsidRDefault="00470507">
            <w:pPr>
              <w:pStyle w:val="1CStyle56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 w:rsidTr="00C3566E">
        <w:trPr>
          <w:gridAfter w:val="19"/>
          <w:wAfter w:w="4564" w:type="dxa"/>
        </w:trPr>
        <w:tc>
          <w:tcPr>
            <w:tcW w:w="572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3"/>
              <w:jc w:val="left"/>
            </w:pPr>
          </w:p>
        </w:tc>
        <w:tc>
          <w:tcPr>
            <w:tcW w:w="1654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996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735" w:type="dxa"/>
            <w:gridSpan w:val="2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1182" w:type="dxa"/>
            <w:gridSpan w:val="7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840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470507" w:rsidRDefault="00470507">
            <w:pPr>
              <w:pStyle w:val="1CStyle56"/>
              <w:jc w:val="left"/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rPr>
          <w:gridAfter w:val="24"/>
          <w:wAfter w:w="5109" w:type="dxa"/>
        </w:trPr>
        <w:tc>
          <w:tcPr>
            <w:tcW w:w="1652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996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73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1182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840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470507" w:rsidRDefault="00470507">
            <w:pPr>
              <w:pStyle w:val="1CStyle56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rPr>
          <w:gridAfter w:val="24"/>
          <w:wAfter w:w="5109" w:type="dxa"/>
        </w:trPr>
        <w:tc>
          <w:tcPr>
            <w:tcW w:w="1652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2"/>
              <w:jc w:val="left"/>
            </w:pPr>
          </w:p>
        </w:tc>
        <w:tc>
          <w:tcPr>
            <w:tcW w:w="996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735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4"/>
              <w:jc w:val="left"/>
            </w:pPr>
          </w:p>
        </w:tc>
        <w:tc>
          <w:tcPr>
            <w:tcW w:w="1182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0"/>
              <w:jc w:val="left"/>
            </w:pPr>
          </w:p>
        </w:tc>
        <w:tc>
          <w:tcPr>
            <w:tcW w:w="840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5"/>
              <w:jc w:val="left"/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470507" w:rsidRDefault="00470507">
            <w:pPr>
              <w:pStyle w:val="1CStyle56"/>
              <w:jc w:val="left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rPr>
          <w:gridAfter w:val="14"/>
          <w:wAfter w:w="4063" w:type="dxa"/>
        </w:trPr>
        <w:tc>
          <w:tcPr>
            <w:tcW w:w="10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3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759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8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  <w:tr w:rsidR="00470507">
        <w:trPr>
          <w:gridAfter w:val="14"/>
          <w:wAfter w:w="4063" w:type="dxa"/>
        </w:trPr>
        <w:tc>
          <w:tcPr>
            <w:tcW w:w="1042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133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3"/>
            </w:pPr>
          </w:p>
        </w:tc>
        <w:tc>
          <w:tcPr>
            <w:tcW w:w="759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2"/>
            </w:pPr>
          </w:p>
        </w:tc>
        <w:tc>
          <w:tcPr>
            <w:tcW w:w="1023" w:type="dxa"/>
            <w:gridSpan w:val="4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6"/>
            <w:shd w:val="clear" w:color="FFFFFF" w:fill="auto"/>
            <w:vAlign w:val="bottom"/>
          </w:tcPr>
          <w:p w:rsidR="00470507" w:rsidRDefault="00470507">
            <w:pPr>
              <w:pStyle w:val="1CStyle4"/>
            </w:pPr>
          </w:p>
        </w:tc>
        <w:tc>
          <w:tcPr>
            <w:tcW w:w="945" w:type="dxa"/>
            <w:gridSpan w:val="5"/>
            <w:shd w:val="clear" w:color="FFFFFF" w:fill="auto"/>
            <w:vAlign w:val="bottom"/>
          </w:tcPr>
          <w:p w:rsidR="00470507" w:rsidRDefault="00470507">
            <w:pPr>
              <w:pStyle w:val="1CStyle0"/>
            </w:pPr>
          </w:p>
        </w:tc>
        <w:tc>
          <w:tcPr>
            <w:tcW w:w="814" w:type="dxa"/>
            <w:gridSpan w:val="8"/>
            <w:shd w:val="clear" w:color="FFFFFF" w:fill="auto"/>
            <w:vAlign w:val="bottom"/>
          </w:tcPr>
          <w:p w:rsidR="00470507" w:rsidRDefault="00470507">
            <w:pPr>
              <w:pStyle w:val="1CStyle5"/>
            </w:pPr>
          </w:p>
        </w:tc>
        <w:tc>
          <w:tcPr>
            <w:tcW w:w="49" w:type="dxa"/>
            <w:shd w:val="clear" w:color="FFFFFF" w:fill="auto"/>
            <w:vAlign w:val="bottom"/>
          </w:tcPr>
          <w:p w:rsidR="00470507" w:rsidRDefault="00470507">
            <w:pPr>
              <w:pStyle w:val="1CStyle6"/>
            </w:pPr>
          </w:p>
        </w:tc>
      </w:tr>
    </w:tbl>
    <w:p w:rsidR="00470507" w:rsidRDefault="00470507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C3566E" w:rsidRDefault="00C3566E"/>
    <w:p w:rsidR="007A2C1D" w:rsidRDefault="007A2C1D"/>
    <w:p w:rsidR="007A2C1D" w:rsidRDefault="007A2C1D"/>
    <w:p w:rsidR="007A2C1D" w:rsidRDefault="007A2C1D"/>
    <w:p w:rsidR="00C3566E" w:rsidRDefault="00C3566E"/>
    <w:p w:rsidR="00C3566E" w:rsidRDefault="00C3566E"/>
    <w:p w:rsidR="00C3566E" w:rsidRDefault="00C3566E"/>
    <w:p w:rsidR="00C3566E" w:rsidRDefault="00C3566E"/>
    <w:p w:rsidR="00C3566E" w:rsidRPr="00C3566E" w:rsidRDefault="00C3566E" w:rsidP="00C3566E">
      <w:pPr>
        <w:tabs>
          <w:tab w:val="left" w:pos="6059"/>
        </w:tabs>
        <w:spacing w:line="240" w:lineRule="auto"/>
        <w:contextualSpacing/>
        <w:rPr>
          <w:rFonts w:ascii="Times New Roman" w:hAnsi="Times New Roman" w:cs="Times New Roman"/>
        </w:rPr>
      </w:pPr>
      <w:r>
        <w:lastRenderedPageBreak/>
        <w:tab/>
      </w:r>
      <w:r w:rsidRPr="00C3566E">
        <w:rPr>
          <w:rFonts w:ascii="Times New Roman" w:hAnsi="Times New Roman" w:cs="Times New Roman"/>
        </w:rPr>
        <w:t>Приложение №1</w:t>
      </w:r>
    </w:p>
    <w:p w:rsidR="00C3566E" w:rsidRPr="00C3566E" w:rsidRDefault="00C3566E" w:rsidP="00C3566E">
      <w:pPr>
        <w:tabs>
          <w:tab w:val="left" w:pos="6059"/>
        </w:tabs>
        <w:spacing w:line="240" w:lineRule="auto"/>
        <w:contextualSpacing/>
        <w:rPr>
          <w:rFonts w:ascii="Times New Roman" w:hAnsi="Times New Roman" w:cs="Times New Roman"/>
        </w:rPr>
      </w:pPr>
      <w:r w:rsidRPr="00C3566E">
        <w:rPr>
          <w:rFonts w:ascii="Times New Roman" w:hAnsi="Times New Roman" w:cs="Times New Roman"/>
        </w:rPr>
        <w:tab/>
        <w:t xml:space="preserve">К договору №_____ </w:t>
      </w:r>
      <w:proofErr w:type="spellStart"/>
      <w:r w:rsidRPr="00C3566E">
        <w:rPr>
          <w:rFonts w:ascii="Times New Roman" w:hAnsi="Times New Roman" w:cs="Times New Roman"/>
        </w:rPr>
        <w:t>от________г</w:t>
      </w:r>
      <w:proofErr w:type="spellEnd"/>
      <w:r w:rsidRPr="00C3566E">
        <w:rPr>
          <w:rFonts w:ascii="Times New Roman" w:hAnsi="Times New Roman" w:cs="Times New Roman"/>
        </w:rPr>
        <w:t>.</w:t>
      </w:r>
    </w:p>
    <w:p w:rsidR="00C3566E" w:rsidRDefault="00C3566E">
      <w:r>
        <w:tab/>
      </w:r>
      <w:r>
        <w:tab/>
      </w:r>
      <w:r>
        <w:tab/>
      </w:r>
    </w:p>
    <w:p w:rsidR="00C3566E" w:rsidRPr="00C3566E" w:rsidRDefault="00C3566E">
      <w:pPr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  <w:t xml:space="preserve">                                 </w:t>
      </w:r>
      <w:r w:rsidRPr="00C3566E">
        <w:rPr>
          <w:rFonts w:ascii="Times New Roman" w:hAnsi="Times New Roman" w:cs="Times New Roman"/>
          <w:b/>
          <w:sz w:val="24"/>
        </w:rPr>
        <w:t>Спецификация</w:t>
      </w:r>
    </w:p>
    <w:p w:rsidR="00C3566E" w:rsidRDefault="00C3566E"/>
    <w:tbl>
      <w:tblPr>
        <w:tblW w:w="10370" w:type="dxa"/>
        <w:tblInd w:w="-4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2689"/>
        <w:gridCol w:w="2693"/>
        <w:gridCol w:w="1276"/>
        <w:gridCol w:w="851"/>
        <w:gridCol w:w="850"/>
        <w:gridCol w:w="1276"/>
      </w:tblGrid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66E" w:rsidRDefault="00C3566E" w:rsidP="00887BC5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C3566E" w:rsidRDefault="00C3566E" w:rsidP="00887BC5">
            <w:pPr>
              <w:pStyle w:val="TableContents"/>
              <w:rPr>
                <w:sz w:val="24"/>
              </w:rPr>
            </w:pPr>
            <w:proofErr w:type="spellStart"/>
            <w:r>
              <w:rPr>
                <w:sz w:val="24"/>
              </w:rPr>
              <w:t>пп</w:t>
            </w:r>
            <w:proofErr w:type="spellEnd"/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66E" w:rsidRDefault="00C3566E" w:rsidP="00887BC5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Наименование работ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66E" w:rsidRDefault="00C3566E" w:rsidP="00887BC5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Наименование оборудования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Цена за единицу, рублей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Кол-во обору-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Сумма технического</w:t>
            </w:r>
          </w:p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обслужива-ия</w:t>
            </w:r>
            <w:proofErr w:type="spellEnd"/>
            <w:r>
              <w:rPr>
                <w:sz w:val="24"/>
              </w:rPr>
              <w:t>, рублей</w:t>
            </w: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Обход и осмотр трассы</w:t>
            </w:r>
            <w:bookmarkStart w:id="0" w:name="_GoBack"/>
            <w:bookmarkEnd w:id="0"/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Полиэтиленовый ПГП НД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1км ГП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0,092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Обход и осмотр трассы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Стальной ПГП НД до 15 лет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1км ГП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0,002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Осмотр технического состояния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Надземный газопровод НД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1км ГП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0,004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Проверка на загазованность в зимний период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Контрольная труба НД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контр.труб</w:t>
            </w:r>
            <w:proofErr w:type="spellEnd"/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2,000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Проверка на загазованность в летний  период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Контрольная труба НД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контр.труб</w:t>
            </w:r>
            <w:proofErr w:type="spellEnd"/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2,000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Техническое обслуживание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Задвижка d свыше 50 до 100мм на НГП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задвижка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6,000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Проверка исправности ИФС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ИФС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фланец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1,000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Технический осмотр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Внутренний газопровод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1км ГП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0,048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Техническое обслуживание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Сигнализатор загазованности бытовой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прибор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2,000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Техническое обслуживание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Кран в котельной при d газ-да до 40мм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кран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7,000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  <w:tr w:rsidR="00C3566E" w:rsidTr="00C3566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68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Техническое обслуживание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Кран в котельной при d газ-да св. 40мм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left"/>
              <w:rPr>
                <w:sz w:val="24"/>
              </w:rPr>
            </w:pPr>
            <w:r>
              <w:rPr>
                <w:sz w:val="24"/>
              </w:rPr>
              <w:t>кран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  <w:r>
              <w:rPr>
                <w:sz w:val="24"/>
              </w:rPr>
              <w:t>6,000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3566E" w:rsidRDefault="00C3566E" w:rsidP="00887BC5">
            <w:pPr>
              <w:pStyle w:val="TableContents"/>
              <w:jc w:val="right"/>
              <w:rPr>
                <w:sz w:val="24"/>
              </w:rPr>
            </w:pPr>
          </w:p>
        </w:tc>
      </w:tr>
    </w:tbl>
    <w:p w:rsidR="00C3566E" w:rsidRDefault="00C3566E"/>
    <w:tbl>
      <w:tblPr>
        <w:tblW w:w="9523" w:type="dxa"/>
        <w:tblInd w:w="-144" w:type="dxa"/>
        <w:tblLook w:val="0000" w:firstRow="0" w:lastRow="0" w:firstColumn="0" w:lastColumn="0" w:noHBand="0" w:noVBand="0"/>
      </w:tblPr>
      <w:tblGrid>
        <w:gridCol w:w="4497"/>
        <w:gridCol w:w="5026"/>
      </w:tblGrid>
      <w:tr w:rsidR="00C3566E" w:rsidTr="00B77DE4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4497" w:type="dxa"/>
          </w:tcPr>
          <w:p w:rsidR="00C3566E" w:rsidRPr="00C3566E" w:rsidRDefault="00C3566E" w:rsidP="00C356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566E">
              <w:rPr>
                <w:rFonts w:ascii="Times New Roman" w:hAnsi="Times New Roman" w:cs="Times New Roman"/>
                <w:b/>
                <w:sz w:val="24"/>
              </w:rPr>
              <w:t>Исполнитель</w:t>
            </w:r>
          </w:p>
        </w:tc>
        <w:tc>
          <w:tcPr>
            <w:tcW w:w="5026" w:type="dxa"/>
          </w:tcPr>
          <w:p w:rsidR="00C3566E" w:rsidRPr="00C3566E" w:rsidRDefault="00C3566E" w:rsidP="00C356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566E">
              <w:rPr>
                <w:rFonts w:ascii="Times New Roman" w:hAnsi="Times New Roman" w:cs="Times New Roman"/>
                <w:b/>
                <w:sz w:val="24"/>
              </w:rPr>
              <w:t>Заказчик</w:t>
            </w:r>
          </w:p>
          <w:p w:rsidR="00C3566E" w:rsidRPr="00C3566E" w:rsidRDefault="00C3566E" w:rsidP="00C3566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C3566E">
              <w:rPr>
                <w:rFonts w:ascii="Times New Roman" w:hAnsi="Times New Roman" w:cs="Times New Roman"/>
                <w:sz w:val="24"/>
              </w:rPr>
              <w:t>ФКУ СИЗО-1 УФСИН России по Республике Татарстан</w:t>
            </w:r>
          </w:p>
        </w:tc>
      </w:tr>
      <w:tr w:rsidR="00C3566E" w:rsidTr="00B77DE4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4497" w:type="dxa"/>
          </w:tcPr>
          <w:p w:rsidR="00C3566E" w:rsidRPr="00C3566E" w:rsidRDefault="00C3566E" w:rsidP="00C3566E">
            <w:pPr>
              <w:rPr>
                <w:rFonts w:ascii="Times New Roman" w:hAnsi="Times New Roman" w:cs="Times New Roman"/>
              </w:rPr>
            </w:pPr>
          </w:p>
          <w:p w:rsidR="00C3566E" w:rsidRPr="00C3566E" w:rsidRDefault="00C3566E" w:rsidP="00C3566E">
            <w:pPr>
              <w:rPr>
                <w:rFonts w:ascii="Times New Roman" w:hAnsi="Times New Roman" w:cs="Times New Roman"/>
              </w:rPr>
            </w:pPr>
            <w:r w:rsidRPr="00C3566E">
              <w:rPr>
                <w:rFonts w:ascii="Times New Roman" w:hAnsi="Times New Roman" w:cs="Times New Roman"/>
              </w:rPr>
              <w:t>____________________________/ФИО</w:t>
            </w:r>
          </w:p>
        </w:tc>
        <w:tc>
          <w:tcPr>
            <w:tcW w:w="5026" w:type="dxa"/>
          </w:tcPr>
          <w:p w:rsidR="00C3566E" w:rsidRPr="00C3566E" w:rsidRDefault="00C3566E" w:rsidP="00C3566E">
            <w:pPr>
              <w:rPr>
                <w:rFonts w:ascii="Times New Roman" w:hAnsi="Times New Roman" w:cs="Times New Roman"/>
              </w:rPr>
            </w:pPr>
          </w:p>
          <w:p w:rsidR="00C3566E" w:rsidRPr="00C3566E" w:rsidRDefault="00C3566E" w:rsidP="00C3566E">
            <w:pPr>
              <w:rPr>
                <w:rFonts w:ascii="Times New Roman" w:hAnsi="Times New Roman" w:cs="Times New Roman"/>
              </w:rPr>
            </w:pPr>
            <w:r w:rsidRPr="00C3566E">
              <w:rPr>
                <w:rFonts w:ascii="Times New Roman" w:hAnsi="Times New Roman" w:cs="Times New Roman"/>
              </w:rPr>
              <w:t>___________________________/А.Р. Сагдеев</w:t>
            </w:r>
          </w:p>
        </w:tc>
      </w:tr>
    </w:tbl>
    <w:p w:rsidR="00C3566E" w:rsidRDefault="00C3566E"/>
    <w:sectPr w:rsidR="00C3566E" w:rsidSect="00C3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618" w:rsidRDefault="00052618">
      <w:pPr>
        <w:spacing w:after="0" w:line="240" w:lineRule="auto"/>
      </w:pPr>
      <w:r>
        <w:separator/>
      </w:r>
    </w:p>
  </w:endnote>
  <w:endnote w:type="continuationSeparator" w:id="0">
    <w:p w:rsidR="00052618" w:rsidRDefault="00052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618" w:rsidRDefault="00052618">
      <w:pPr>
        <w:spacing w:after="0" w:line="240" w:lineRule="auto"/>
      </w:pPr>
      <w:r>
        <w:separator/>
      </w:r>
    </w:p>
  </w:footnote>
  <w:footnote w:type="continuationSeparator" w:id="0">
    <w:p w:rsidR="00052618" w:rsidRDefault="00052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F6049"/>
    <w:multiLevelType w:val="hybridMultilevel"/>
    <w:tmpl w:val="44C252D0"/>
    <w:lvl w:ilvl="0" w:tplc="5A48DABE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6C36B9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9A6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49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E077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D67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2A3E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7086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90B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507"/>
    <w:rsid w:val="00052618"/>
    <w:rsid w:val="00071196"/>
    <w:rsid w:val="00080B79"/>
    <w:rsid w:val="001F13D4"/>
    <w:rsid w:val="002E4CAA"/>
    <w:rsid w:val="004071B6"/>
    <w:rsid w:val="00470507"/>
    <w:rsid w:val="006435AD"/>
    <w:rsid w:val="007564E8"/>
    <w:rsid w:val="00796797"/>
    <w:rsid w:val="007A2C1D"/>
    <w:rsid w:val="009532AB"/>
    <w:rsid w:val="00B25F4F"/>
    <w:rsid w:val="00B77DE4"/>
    <w:rsid w:val="00C3566E"/>
    <w:rsid w:val="00CD25D9"/>
    <w:rsid w:val="00CE57D5"/>
    <w:rsid w:val="00CF106C"/>
    <w:rsid w:val="00F6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85DF"/>
  <w15:docId w15:val="{88C27297-925F-4BFD-B36B-7DCDF608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6">
    <w:name w:val="1CStyle6"/>
    <w:pPr>
      <w:jc w:val="center"/>
    </w:pPr>
    <w:rPr>
      <w:rFonts w:ascii="Times New Roman" w:hAnsi="Times New Roman"/>
      <w:sz w:val="24"/>
    </w:rPr>
  </w:style>
  <w:style w:type="paragraph" w:customStyle="1" w:styleId="1CStyle4">
    <w:name w:val="1CStyle4"/>
    <w:pPr>
      <w:jc w:val="center"/>
    </w:pPr>
    <w:rPr>
      <w:rFonts w:ascii="Times New Roman" w:hAnsi="Times New Roman"/>
      <w:sz w:val="24"/>
    </w:rPr>
  </w:style>
  <w:style w:type="paragraph" w:customStyle="1" w:styleId="1CStyle44">
    <w:name w:val="1CStyle44"/>
    <w:pPr>
      <w:jc w:val="center"/>
    </w:pPr>
    <w:rPr>
      <w:rFonts w:ascii="Times New Roman" w:hAnsi="Times New Roman"/>
      <w:sz w:val="24"/>
    </w:rPr>
  </w:style>
  <w:style w:type="paragraph" w:customStyle="1" w:styleId="1CStyle5">
    <w:name w:val="1CStyle5"/>
    <w:pPr>
      <w:jc w:val="center"/>
    </w:pPr>
    <w:rPr>
      <w:rFonts w:ascii="Times New Roman" w:hAnsi="Times New Roman"/>
      <w:sz w:val="24"/>
    </w:rPr>
  </w:style>
  <w:style w:type="paragraph" w:customStyle="1" w:styleId="1CStyle56">
    <w:name w:val="1CStyle56"/>
    <w:pPr>
      <w:jc w:val="center"/>
    </w:pPr>
    <w:rPr>
      <w:rFonts w:ascii="Times New Roman" w:hAnsi="Times New Roman"/>
      <w:sz w:val="24"/>
    </w:rPr>
  </w:style>
  <w:style w:type="paragraph" w:customStyle="1" w:styleId="1CStyle2">
    <w:name w:val="1CStyle2"/>
    <w:pPr>
      <w:jc w:val="center"/>
    </w:pPr>
    <w:rPr>
      <w:rFonts w:ascii="Times New Roman" w:hAnsi="Times New Roman"/>
      <w:sz w:val="24"/>
    </w:rPr>
  </w:style>
  <w:style w:type="paragraph" w:customStyle="1" w:styleId="1CStyle45">
    <w:name w:val="1CStyle45"/>
    <w:pPr>
      <w:jc w:val="center"/>
    </w:pPr>
    <w:rPr>
      <w:rFonts w:ascii="Times New Roman" w:hAnsi="Times New Roman"/>
      <w:sz w:val="24"/>
    </w:rPr>
  </w:style>
  <w:style w:type="paragraph" w:customStyle="1" w:styleId="1CStyle46">
    <w:name w:val="1CStyle46"/>
    <w:pPr>
      <w:jc w:val="center"/>
    </w:pPr>
    <w:rPr>
      <w:rFonts w:ascii="Times New Roman" w:hAnsi="Times New Roman"/>
      <w:sz w:val="24"/>
    </w:rPr>
  </w:style>
  <w:style w:type="paragraph" w:customStyle="1" w:styleId="1CStyle59">
    <w:name w:val="1CStyle59"/>
    <w:pPr>
      <w:jc w:val="center"/>
    </w:pPr>
    <w:rPr>
      <w:rFonts w:ascii="Times New Roman" w:hAnsi="Times New Roman"/>
      <w:b/>
      <w:sz w:val="24"/>
    </w:rPr>
  </w:style>
  <w:style w:type="paragraph" w:customStyle="1" w:styleId="1CStyle15">
    <w:name w:val="1CStyle15"/>
    <w:pPr>
      <w:jc w:val="center"/>
    </w:pPr>
    <w:rPr>
      <w:rFonts w:ascii="Times New Roman" w:hAnsi="Times New Roman"/>
      <w:sz w:val="24"/>
    </w:rPr>
  </w:style>
  <w:style w:type="paragraph" w:customStyle="1" w:styleId="1CStyle16">
    <w:name w:val="1CStyle16"/>
    <w:pPr>
      <w:jc w:val="center"/>
    </w:pPr>
    <w:rPr>
      <w:rFonts w:ascii="Times New Roman" w:hAnsi="Times New Roman"/>
      <w:sz w:val="24"/>
      <w:u w:val="single"/>
    </w:rPr>
  </w:style>
  <w:style w:type="paragraph" w:customStyle="1" w:styleId="1CStyle0">
    <w:name w:val="1CStyle0"/>
    <w:pPr>
      <w:jc w:val="center"/>
    </w:pPr>
    <w:rPr>
      <w:rFonts w:ascii="Times New Roman" w:hAnsi="Times New Roman"/>
      <w:sz w:val="24"/>
    </w:rPr>
  </w:style>
  <w:style w:type="paragraph" w:customStyle="1" w:styleId="1CStyle61">
    <w:name w:val="1CStyle61"/>
    <w:pPr>
      <w:jc w:val="center"/>
    </w:pPr>
    <w:rPr>
      <w:rFonts w:ascii="Times New Roman" w:hAnsi="Times New Roman"/>
      <w:sz w:val="24"/>
    </w:rPr>
  </w:style>
  <w:style w:type="paragraph" w:customStyle="1" w:styleId="1CStyle19">
    <w:name w:val="1CStyle19"/>
    <w:pPr>
      <w:jc w:val="center"/>
    </w:pPr>
    <w:rPr>
      <w:rFonts w:ascii="Times New Roman" w:hAnsi="Times New Roman"/>
      <w:sz w:val="24"/>
    </w:rPr>
  </w:style>
  <w:style w:type="paragraph" w:customStyle="1" w:styleId="1CStyle43">
    <w:name w:val="1CStyle43"/>
    <w:pPr>
      <w:jc w:val="center"/>
    </w:pPr>
    <w:rPr>
      <w:rFonts w:ascii="Times New Roman" w:hAnsi="Times New Roman"/>
      <w:sz w:val="24"/>
    </w:rPr>
  </w:style>
  <w:style w:type="paragraph" w:customStyle="1" w:styleId="1CStyle1">
    <w:name w:val="1CStyle1"/>
    <w:pPr>
      <w:jc w:val="center"/>
    </w:pPr>
    <w:rPr>
      <w:rFonts w:ascii="Times New Roman" w:hAnsi="Times New Roman"/>
      <w:sz w:val="24"/>
    </w:rPr>
  </w:style>
  <w:style w:type="paragraph" w:customStyle="1" w:styleId="1CStyle42">
    <w:name w:val="1CStyle42"/>
    <w:pPr>
      <w:jc w:val="center"/>
    </w:pPr>
    <w:rPr>
      <w:rFonts w:ascii="Times New Roman" w:hAnsi="Times New Roman"/>
      <w:sz w:val="24"/>
    </w:rPr>
  </w:style>
  <w:style w:type="paragraph" w:customStyle="1" w:styleId="1CStyle3">
    <w:name w:val="1CStyle3"/>
    <w:pPr>
      <w:jc w:val="center"/>
    </w:pPr>
    <w:rPr>
      <w:rFonts w:ascii="Times New Roman" w:hAnsi="Times New Roman"/>
      <w:sz w:val="24"/>
    </w:rPr>
  </w:style>
  <w:style w:type="paragraph" w:customStyle="1" w:styleId="1CStyle33">
    <w:name w:val="1CStyle33"/>
    <w:pPr>
      <w:jc w:val="center"/>
    </w:pPr>
    <w:rPr>
      <w:rFonts w:ascii="Times New Roman" w:hAnsi="Times New Roman"/>
      <w:sz w:val="24"/>
    </w:rPr>
  </w:style>
  <w:style w:type="paragraph" w:customStyle="1" w:styleId="1CStyle39">
    <w:name w:val="1CStyle39"/>
    <w:pPr>
      <w:jc w:val="center"/>
    </w:pPr>
    <w:rPr>
      <w:rFonts w:ascii="Times New Roman" w:hAnsi="Times New Roman"/>
      <w:sz w:val="24"/>
    </w:rPr>
  </w:style>
  <w:style w:type="paragraph" w:customStyle="1" w:styleId="1CStyle40">
    <w:name w:val="1CStyle40"/>
    <w:pPr>
      <w:jc w:val="center"/>
    </w:pPr>
    <w:rPr>
      <w:rFonts w:ascii="Times New Roman" w:hAnsi="Times New Roman"/>
      <w:sz w:val="24"/>
    </w:rPr>
  </w:style>
  <w:style w:type="paragraph" w:customStyle="1" w:styleId="1CStyle37">
    <w:name w:val="1CStyle37"/>
    <w:pPr>
      <w:jc w:val="center"/>
    </w:pPr>
    <w:rPr>
      <w:rFonts w:ascii="Times New Roman" w:hAnsi="Times New Roman"/>
      <w:sz w:val="24"/>
    </w:rPr>
  </w:style>
  <w:style w:type="paragraph" w:customStyle="1" w:styleId="1CStyle34">
    <w:name w:val="1CStyle34"/>
    <w:pPr>
      <w:jc w:val="center"/>
    </w:pPr>
    <w:rPr>
      <w:rFonts w:ascii="Times New Roman" w:hAnsi="Times New Roman"/>
      <w:sz w:val="24"/>
    </w:rPr>
  </w:style>
  <w:style w:type="paragraph" w:customStyle="1" w:styleId="1CStyle35">
    <w:name w:val="1CStyle35"/>
    <w:pPr>
      <w:jc w:val="center"/>
    </w:pPr>
    <w:rPr>
      <w:rFonts w:ascii="Times New Roman" w:hAnsi="Times New Roman"/>
      <w:sz w:val="24"/>
    </w:rPr>
  </w:style>
  <w:style w:type="paragraph" w:customStyle="1" w:styleId="1CStyle36">
    <w:name w:val="1CStyle36"/>
    <w:pPr>
      <w:jc w:val="center"/>
    </w:pPr>
    <w:rPr>
      <w:rFonts w:ascii="Times New Roman" w:hAnsi="Times New Roman"/>
      <w:sz w:val="24"/>
    </w:rPr>
  </w:style>
  <w:style w:type="paragraph" w:customStyle="1" w:styleId="1CStyle38">
    <w:name w:val="1CStyle38"/>
    <w:pPr>
      <w:jc w:val="center"/>
    </w:pPr>
    <w:rPr>
      <w:rFonts w:ascii="Times New Roman" w:hAnsi="Times New Roman"/>
      <w:sz w:val="24"/>
    </w:rPr>
  </w:style>
  <w:style w:type="paragraph" w:customStyle="1" w:styleId="1CStyle70">
    <w:name w:val="1CStyle70"/>
    <w:pPr>
      <w:jc w:val="center"/>
    </w:pPr>
    <w:rPr>
      <w:rFonts w:ascii="Times New Roman" w:hAnsi="Times New Roman"/>
      <w:sz w:val="24"/>
      <w:u w:val="single"/>
    </w:rPr>
  </w:style>
  <w:style w:type="paragraph" w:customStyle="1" w:styleId="1CStyle66">
    <w:name w:val="1CStyle66"/>
    <w:pPr>
      <w:jc w:val="center"/>
    </w:pPr>
    <w:rPr>
      <w:rFonts w:ascii="Times New Roman" w:hAnsi="Times New Roman"/>
      <w:sz w:val="24"/>
    </w:rPr>
  </w:style>
  <w:style w:type="paragraph" w:customStyle="1" w:styleId="1CStyle10">
    <w:name w:val="1CStyle10"/>
    <w:pPr>
      <w:jc w:val="center"/>
    </w:pPr>
    <w:rPr>
      <w:rFonts w:ascii="Times New Roman" w:hAnsi="Times New Roman"/>
      <w:b/>
      <w:sz w:val="24"/>
    </w:rPr>
  </w:style>
  <w:style w:type="paragraph" w:customStyle="1" w:styleId="1CStyle17">
    <w:name w:val="1CStyle17"/>
    <w:pPr>
      <w:jc w:val="right"/>
    </w:pPr>
    <w:rPr>
      <w:rFonts w:ascii="Times New Roman" w:hAnsi="Times New Roman"/>
      <w:sz w:val="24"/>
    </w:rPr>
  </w:style>
  <w:style w:type="paragraph" w:customStyle="1" w:styleId="1CStyle21">
    <w:name w:val="1CStyle21"/>
    <w:pPr>
      <w:jc w:val="right"/>
    </w:pPr>
    <w:rPr>
      <w:rFonts w:ascii="Times New Roman" w:hAnsi="Times New Roman"/>
      <w:sz w:val="24"/>
    </w:rPr>
  </w:style>
  <w:style w:type="paragraph" w:customStyle="1" w:styleId="1CStyle47">
    <w:name w:val="1CStyle47"/>
    <w:pPr>
      <w:jc w:val="right"/>
    </w:pPr>
    <w:rPr>
      <w:rFonts w:ascii="Times New Roman" w:hAnsi="Times New Roman"/>
      <w:sz w:val="24"/>
    </w:rPr>
  </w:style>
  <w:style w:type="paragraph" w:customStyle="1" w:styleId="1CStyle-1">
    <w:name w:val="1CStyle-1"/>
    <w:pPr>
      <w:jc w:val="center"/>
    </w:pPr>
    <w:rPr>
      <w:rFonts w:ascii="Times New Roman" w:hAnsi="Times New Roman"/>
      <w:b/>
      <w:sz w:val="24"/>
    </w:rPr>
  </w:style>
  <w:style w:type="paragraph" w:customStyle="1" w:styleId="1CStyle68">
    <w:name w:val="1CStyle68"/>
    <w:pPr>
      <w:jc w:val="center"/>
    </w:pPr>
    <w:rPr>
      <w:rFonts w:ascii="Times New Roman" w:hAnsi="Times New Roman"/>
      <w:sz w:val="24"/>
    </w:rPr>
  </w:style>
  <w:style w:type="paragraph" w:customStyle="1" w:styleId="1CStyle9">
    <w:name w:val="1CStyle9"/>
    <w:pPr>
      <w:jc w:val="right"/>
    </w:pPr>
    <w:rPr>
      <w:rFonts w:ascii="Times New Roman" w:hAnsi="Times New Roman"/>
      <w:b/>
      <w:sz w:val="24"/>
    </w:rPr>
  </w:style>
  <w:style w:type="paragraph" w:customStyle="1" w:styleId="1CStyle71">
    <w:name w:val="1CStyle71"/>
    <w:pPr>
      <w:jc w:val="center"/>
    </w:pPr>
    <w:rPr>
      <w:rFonts w:ascii="Times New Roman" w:hAnsi="Times New Roman"/>
      <w:sz w:val="24"/>
    </w:rPr>
  </w:style>
  <w:style w:type="paragraph" w:customStyle="1" w:styleId="1CStyle67">
    <w:name w:val="1CStyle67"/>
    <w:pPr>
      <w:jc w:val="center"/>
    </w:pPr>
    <w:rPr>
      <w:rFonts w:ascii="Times New Roman" w:hAnsi="Times New Roman"/>
      <w:b/>
      <w:sz w:val="24"/>
    </w:rPr>
  </w:style>
  <w:style w:type="paragraph" w:customStyle="1" w:styleId="1CStyle69">
    <w:name w:val="1CStyle69"/>
    <w:pPr>
      <w:jc w:val="center"/>
    </w:pPr>
    <w:rPr>
      <w:rFonts w:ascii="Times New Roman" w:hAnsi="Times New Roman"/>
      <w:sz w:val="24"/>
    </w:rPr>
  </w:style>
  <w:style w:type="paragraph" w:customStyle="1" w:styleId="1CStyle20">
    <w:name w:val="1CStyle20"/>
    <w:pPr>
      <w:jc w:val="center"/>
    </w:pPr>
    <w:rPr>
      <w:rFonts w:ascii="Times New Roman" w:hAnsi="Times New Roman"/>
      <w:sz w:val="24"/>
    </w:rPr>
  </w:style>
  <w:style w:type="paragraph" w:customStyle="1" w:styleId="1CStyle49">
    <w:name w:val="1CStyle49"/>
    <w:pPr>
      <w:jc w:val="center"/>
    </w:pPr>
    <w:rPr>
      <w:rFonts w:ascii="Times New Roman" w:hAnsi="Times New Roman"/>
      <w:sz w:val="24"/>
    </w:rPr>
  </w:style>
  <w:style w:type="paragraph" w:customStyle="1" w:styleId="1CStyle30">
    <w:name w:val="1CStyle30"/>
    <w:pPr>
      <w:jc w:val="center"/>
    </w:pPr>
    <w:rPr>
      <w:rFonts w:ascii="Times New Roman" w:hAnsi="Times New Roman"/>
      <w:sz w:val="24"/>
    </w:rPr>
  </w:style>
  <w:style w:type="paragraph" w:customStyle="1" w:styleId="1CStyle27">
    <w:name w:val="1CStyle27"/>
    <w:pPr>
      <w:jc w:val="center"/>
    </w:pPr>
    <w:rPr>
      <w:rFonts w:ascii="Times New Roman" w:hAnsi="Times New Roman"/>
      <w:sz w:val="24"/>
    </w:rPr>
  </w:style>
  <w:style w:type="paragraph" w:customStyle="1" w:styleId="1CStyle25">
    <w:name w:val="1CStyle25"/>
    <w:pPr>
      <w:jc w:val="center"/>
    </w:pPr>
    <w:rPr>
      <w:rFonts w:ascii="Times New Roman" w:hAnsi="Times New Roman"/>
      <w:sz w:val="24"/>
    </w:rPr>
  </w:style>
  <w:style w:type="paragraph" w:customStyle="1" w:styleId="1CStyle31">
    <w:name w:val="1CStyle31"/>
    <w:pPr>
      <w:jc w:val="center"/>
    </w:pPr>
    <w:rPr>
      <w:rFonts w:ascii="Times New Roman" w:hAnsi="Times New Roman"/>
      <w:sz w:val="24"/>
    </w:rPr>
  </w:style>
  <w:style w:type="paragraph" w:customStyle="1" w:styleId="1CStyle26">
    <w:name w:val="1CStyle26"/>
    <w:pPr>
      <w:jc w:val="center"/>
    </w:pPr>
    <w:rPr>
      <w:rFonts w:ascii="Times New Roman" w:hAnsi="Times New Roman"/>
      <w:sz w:val="24"/>
    </w:rPr>
  </w:style>
  <w:style w:type="paragraph" w:customStyle="1" w:styleId="1CStyle60">
    <w:name w:val="1CStyle60"/>
    <w:pPr>
      <w:jc w:val="center"/>
    </w:pPr>
    <w:rPr>
      <w:rFonts w:ascii="Times New Roman" w:hAnsi="Times New Roman"/>
      <w:sz w:val="24"/>
    </w:rPr>
  </w:style>
  <w:style w:type="paragraph" w:customStyle="1" w:styleId="1CStyle62">
    <w:name w:val="1CStyle62"/>
    <w:pPr>
      <w:jc w:val="center"/>
    </w:pPr>
    <w:rPr>
      <w:rFonts w:ascii="Times New Roman" w:hAnsi="Times New Roman"/>
      <w:sz w:val="24"/>
    </w:rPr>
  </w:style>
  <w:style w:type="paragraph" w:customStyle="1" w:styleId="1CStyle53">
    <w:name w:val="1CStyle53"/>
    <w:pPr>
      <w:jc w:val="center"/>
    </w:pPr>
    <w:rPr>
      <w:rFonts w:ascii="Times New Roman" w:hAnsi="Times New Roman"/>
      <w:sz w:val="24"/>
    </w:rPr>
  </w:style>
  <w:style w:type="paragraph" w:customStyle="1" w:styleId="1CStyle23">
    <w:name w:val="1CStyle23"/>
    <w:pPr>
      <w:jc w:val="both"/>
    </w:pPr>
    <w:rPr>
      <w:rFonts w:ascii="Times New Roman" w:hAnsi="Times New Roman"/>
      <w:sz w:val="24"/>
    </w:rPr>
  </w:style>
  <w:style w:type="paragraph" w:customStyle="1" w:styleId="1CStyle24">
    <w:name w:val="1CStyle24"/>
    <w:pPr>
      <w:jc w:val="center"/>
    </w:pPr>
    <w:rPr>
      <w:rFonts w:ascii="Times New Roman" w:hAnsi="Times New Roman"/>
      <w:sz w:val="24"/>
    </w:rPr>
  </w:style>
  <w:style w:type="paragraph" w:customStyle="1" w:styleId="1CStyle65">
    <w:name w:val="1CStyle65"/>
    <w:pPr>
      <w:jc w:val="right"/>
    </w:pPr>
    <w:rPr>
      <w:rFonts w:ascii="Times New Roman" w:hAnsi="Times New Roman"/>
      <w:b/>
      <w:sz w:val="24"/>
    </w:rPr>
  </w:style>
  <w:style w:type="paragraph" w:customStyle="1" w:styleId="1CStyle57">
    <w:name w:val="1CStyle57"/>
    <w:pPr>
      <w:jc w:val="both"/>
    </w:pPr>
    <w:rPr>
      <w:rFonts w:ascii="Times New Roman" w:hAnsi="Times New Roman"/>
      <w:sz w:val="24"/>
    </w:rPr>
  </w:style>
  <w:style w:type="paragraph" w:customStyle="1" w:styleId="1CStyle54">
    <w:name w:val="1CStyle54"/>
    <w:pPr>
      <w:jc w:val="both"/>
    </w:pPr>
    <w:rPr>
      <w:rFonts w:ascii="Times New Roman" w:hAnsi="Times New Roman"/>
      <w:sz w:val="24"/>
    </w:rPr>
  </w:style>
  <w:style w:type="paragraph" w:customStyle="1" w:styleId="1CStyle52">
    <w:name w:val="1CStyle52"/>
    <w:pPr>
      <w:jc w:val="both"/>
    </w:pPr>
    <w:rPr>
      <w:rFonts w:ascii="Times New Roman" w:hAnsi="Times New Roman"/>
      <w:sz w:val="24"/>
    </w:rPr>
  </w:style>
  <w:style w:type="paragraph" w:customStyle="1" w:styleId="1CStyle50">
    <w:name w:val="1CStyle50"/>
    <w:pPr>
      <w:jc w:val="center"/>
    </w:pPr>
    <w:rPr>
      <w:rFonts w:ascii="Times New Roman" w:hAnsi="Times New Roman"/>
      <w:sz w:val="24"/>
    </w:rPr>
  </w:style>
  <w:style w:type="paragraph" w:customStyle="1" w:styleId="1CStyle64">
    <w:name w:val="1CStyle64"/>
    <w:pPr>
      <w:jc w:val="right"/>
    </w:pPr>
    <w:rPr>
      <w:rFonts w:ascii="Times New Roman" w:hAnsi="Times New Roman"/>
      <w:b/>
      <w:sz w:val="24"/>
    </w:rPr>
  </w:style>
  <w:style w:type="paragraph" w:customStyle="1" w:styleId="1CStyle58">
    <w:name w:val="1CStyle58"/>
    <w:pPr>
      <w:jc w:val="both"/>
    </w:pPr>
    <w:rPr>
      <w:rFonts w:ascii="Times New Roman" w:hAnsi="Times New Roman"/>
      <w:sz w:val="24"/>
    </w:rPr>
  </w:style>
  <w:style w:type="paragraph" w:customStyle="1" w:styleId="1CStyle63">
    <w:name w:val="1CStyle63"/>
    <w:pPr>
      <w:jc w:val="right"/>
    </w:pPr>
    <w:rPr>
      <w:rFonts w:ascii="Times New Roman" w:hAnsi="Times New Roman"/>
      <w:b/>
      <w:sz w:val="24"/>
    </w:rPr>
  </w:style>
  <w:style w:type="paragraph" w:customStyle="1" w:styleId="1CStyle29">
    <w:name w:val="1CStyle29"/>
    <w:pPr>
      <w:jc w:val="center"/>
    </w:pPr>
    <w:rPr>
      <w:rFonts w:ascii="Times New Roman" w:hAnsi="Times New Roman"/>
      <w:sz w:val="24"/>
    </w:rPr>
  </w:style>
  <w:style w:type="paragraph" w:customStyle="1" w:styleId="1CStyle32">
    <w:name w:val="1CStyle32"/>
    <w:pPr>
      <w:jc w:val="center"/>
    </w:pPr>
    <w:rPr>
      <w:rFonts w:ascii="Times New Roman" w:hAnsi="Times New Roman"/>
      <w:sz w:val="24"/>
    </w:rPr>
  </w:style>
  <w:style w:type="paragraph" w:customStyle="1" w:styleId="1CStyle28">
    <w:name w:val="1CStyle28"/>
    <w:pPr>
      <w:jc w:val="center"/>
    </w:pPr>
    <w:rPr>
      <w:rFonts w:ascii="Times New Roman" w:hAnsi="Times New Roman"/>
      <w:sz w:val="24"/>
    </w:rPr>
  </w:style>
  <w:style w:type="paragraph" w:customStyle="1" w:styleId="1CStyle12">
    <w:name w:val="1CStyle12"/>
    <w:pPr>
      <w:jc w:val="center"/>
    </w:pPr>
    <w:rPr>
      <w:rFonts w:ascii="Times New Roman" w:hAnsi="Times New Roman"/>
      <w:b/>
      <w:sz w:val="24"/>
    </w:rPr>
  </w:style>
  <w:style w:type="paragraph" w:customStyle="1" w:styleId="1CStyle13">
    <w:name w:val="1CStyle13"/>
    <w:pPr>
      <w:jc w:val="center"/>
    </w:pPr>
    <w:rPr>
      <w:rFonts w:ascii="Times New Roman" w:hAnsi="Times New Roman"/>
      <w:b/>
      <w:sz w:val="24"/>
    </w:rPr>
  </w:style>
  <w:style w:type="paragraph" w:customStyle="1" w:styleId="1CStyle11">
    <w:name w:val="1CStyle11"/>
    <w:pPr>
      <w:jc w:val="center"/>
    </w:pPr>
    <w:rPr>
      <w:rFonts w:ascii="Times New Roman" w:hAnsi="Times New Roman"/>
      <w:b/>
      <w:sz w:val="24"/>
    </w:rPr>
  </w:style>
  <w:style w:type="paragraph" w:customStyle="1" w:styleId="1CStyle14">
    <w:name w:val="1CStyle14"/>
    <w:pPr>
      <w:jc w:val="center"/>
    </w:pPr>
    <w:rPr>
      <w:rFonts w:ascii="Times New Roman" w:hAnsi="Times New Roman"/>
      <w:b/>
      <w:sz w:val="24"/>
    </w:rPr>
  </w:style>
  <w:style w:type="paragraph" w:customStyle="1" w:styleId="1CStyle7">
    <w:name w:val="1CStyle7"/>
    <w:pPr>
      <w:jc w:val="center"/>
    </w:pPr>
    <w:rPr>
      <w:rFonts w:ascii="Times New Roman" w:hAnsi="Times New Roman"/>
      <w:b/>
      <w:sz w:val="24"/>
    </w:rPr>
  </w:style>
  <w:style w:type="paragraph" w:customStyle="1" w:styleId="1CStyle8">
    <w:name w:val="1CStyle8"/>
    <w:pPr>
      <w:jc w:val="center"/>
    </w:pPr>
    <w:rPr>
      <w:rFonts w:ascii="Times New Roman" w:hAnsi="Times New Roman"/>
      <w:b/>
      <w:sz w:val="24"/>
    </w:rPr>
  </w:style>
  <w:style w:type="paragraph" w:customStyle="1" w:styleId="1CStyle41">
    <w:name w:val="1CStyle41"/>
    <w:pPr>
      <w:jc w:val="both"/>
    </w:pPr>
    <w:rPr>
      <w:rFonts w:ascii="Times New Roman" w:hAnsi="Times New Roman"/>
      <w:sz w:val="24"/>
    </w:rPr>
  </w:style>
  <w:style w:type="paragraph" w:customStyle="1" w:styleId="1CStyle18">
    <w:name w:val="1CStyle18"/>
    <w:pPr>
      <w:jc w:val="center"/>
    </w:pPr>
    <w:rPr>
      <w:rFonts w:ascii="Times New Roman" w:hAnsi="Times New Roman"/>
      <w:sz w:val="24"/>
    </w:rPr>
  </w:style>
  <w:style w:type="paragraph" w:customStyle="1" w:styleId="1CStyle48">
    <w:name w:val="1CStyle48"/>
    <w:pPr>
      <w:jc w:val="center"/>
    </w:pPr>
    <w:rPr>
      <w:rFonts w:ascii="Times New Roman" w:hAnsi="Times New Roman"/>
      <w:sz w:val="24"/>
    </w:rPr>
  </w:style>
  <w:style w:type="paragraph" w:customStyle="1" w:styleId="1CStyle22">
    <w:name w:val="1CStyle22"/>
    <w:pPr>
      <w:jc w:val="center"/>
    </w:pPr>
    <w:rPr>
      <w:rFonts w:ascii="Times New Roman" w:hAnsi="Times New Roman"/>
      <w:sz w:val="24"/>
    </w:rPr>
  </w:style>
  <w:style w:type="paragraph" w:customStyle="1" w:styleId="1CStyle55">
    <w:name w:val="1CStyle55"/>
    <w:pPr>
      <w:jc w:val="center"/>
    </w:pPr>
    <w:rPr>
      <w:rFonts w:ascii="Times New Roman" w:hAnsi="Times New Roman"/>
      <w:sz w:val="24"/>
    </w:rPr>
  </w:style>
  <w:style w:type="paragraph" w:customStyle="1" w:styleId="1CStyle51">
    <w:name w:val="1CStyle51"/>
    <w:pPr>
      <w:jc w:val="center"/>
    </w:pPr>
    <w:rPr>
      <w:rFonts w:ascii="Times New Roman" w:hAnsi="Times New Roman"/>
      <w:sz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3566E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99B47-34F8-446A-B035-7EA680F0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9</Pages>
  <Words>3697</Words>
  <Characters>21075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Мухаметшина Алиса Тагировна</dc:creator>
  <cp:lastModifiedBy>Пользователь</cp:lastModifiedBy>
  <cp:revision>6</cp:revision>
  <dcterms:created xsi:type="dcterms:W3CDTF">2026-10-21T06:29:00Z</dcterms:created>
  <dcterms:modified xsi:type="dcterms:W3CDTF">2026-10-21T14:24:00Z</dcterms:modified>
</cp:coreProperties>
</file>