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PT Astra Serif" w:hAnsi="PT Astra Serif" w:eastAsia="Calibri"/>
          <w:b/>
          <w:lang w:eastAsia="en-US"/>
        </w:rPr>
      </w:pPr>
      <w:r>
        <w:rPr>
          <w:rFonts w:eastAsia="Calibri" w:ascii="PT Astra Serif" w:hAnsi="PT Astra Serif"/>
          <w:b/>
          <w:lang w:eastAsia="en-US"/>
        </w:rPr>
        <w:t>Обоснование начальной (максимальной) цены контракта, начальных цен единиц товара, работы, услуги</w:t>
      </w:r>
    </w:p>
    <w:p>
      <w:pPr>
        <w:pStyle w:val="western"/>
        <w:spacing w:beforeAutospacing="0" w:before="0" w:after="0"/>
        <w:jc w:val="center"/>
        <w:rPr/>
      </w:pPr>
      <w:r>
        <w:rPr>
          <w:rFonts w:ascii="PT Astra Serif" w:hAnsi="PT Astra Serif"/>
          <w:b/>
          <w:bCs/>
          <w:sz w:val="22"/>
          <w:szCs w:val="22"/>
        </w:rPr>
        <w:t>Моноклональные антитела для определения группы крови и резус-фактора</w:t>
      </w:r>
    </w:p>
    <w:tbl>
      <w:tblPr>
        <w:tblW w:w="15270" w:type="dxa"/>
        <w:jc w:val="left"/>
        <w:tblInd w:w="66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000"/>
      </w:tblPr>
      <w:tblGrid>
        <w:gridCol w:w="1264"/>
        <w:gridCol w:w="14005"/>
      </w:tblGrid>
      <w:tr>
        <w:trPr/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/>
              <w:jc w:val="both"/>
              <w:outlineLvl w:val="1"/>
              <w:rPr>
                <w:rFonts w:ascii="PT Astra Serif" w:hAnsi="PT Astra Serif"/>
                <w:bCs/>
                <w:sz w:val="18"/>
                <w:szCs w:val="18"/>
              </w:rPr>
            </w:pPr>
            <w:r>
              <w:rPr>
                <w:rFonts w:ascii="PT Astra Serif" w:hAnsi="PT Astra Serif"/>
                <w:bCs/>
                <w:sz w:val="18"/>
                <w:szCs w:val="18"/>
              </w:rPr>
              <w:t>Основные характеристики объекта закупки</w:t>
            </w:r>
          </w:p>
        </w:tc>
        <w:tc>
          <w:tcPr>
            <w:tcW w:w="1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/>
              <w:jc w:val="both"/>
              <w:outlineLvl w:val="1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В соответствии с Описанием объекта закупки</w:t>
            </w:r>
          </w:p>
        </w:tc>
      </w:tr>
      <w:tr>
        <w:trPr/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/>
              <w:jc w:val="both"/>
              <w:outlineLvl w:val="1"/>
              <w:rPr>
                <w:rFonts w:ascii="PT Astra Serif" w:hAnsi="PT Astra Serif"/>
                <w:bCs/>
                <w:sz w:val="18"/>
                <w:szCs w:val="18"/>
              </w:rPr>
            </w:pPr>
            <w:r>
              <w:rPr>
                <w:rFonts w:ascii="PT Astra Serif" w:hAnsi="PT Astra Serif"/>
                <w:bCs/>
                <w:sz w:val="18"/>
                <w:szCs w:val="18"/>
              </w:rPr>
              <w:t>Используемый метод определения с обоснованием:</w:t>
            </w:r>
          </w:p>
        </w:tc>
        <w:tc>
          <w:tcPr>
            <w:tcW w:w="1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PT Astra Serif" w:hAnsi="PT Astra Serif"/>
                <w:b/>
                <w:sz w:val="18"/>
                <w:szCs w:val="18"/>
                <w:shd w:fill="FFFFFF" w:val="clear"/>
              </w:rPr>
            </w:pPr>
            <w:r>
              <w:rPr>
                <w:rFonts w:ascii="PT Astra Serif" w:hAnsi="PT Astra Serif"/>
                <w:b/>
                <w:sz w:val="18"/>
                <w:szCs w:val="18"/>
              </w:rPr>
              <w:t xml:space="preserve">Определение НМЦК в соответствии с ч.22 ст.22 Федерального закона от 05.04.2013 №44-ФЗ, на основании Приказа Минздрава России от 15.05.2020 №450н «Об утверждении порядка определения начальной (максимальной) цены </w:t>
            </w:r>
            <w:r>
              <w:rPr>
                <w:rFonts w:ascii="PT Astra Serif" w:hAnsi="PT Astra Serif"/>
                <w:b/>
                <w:sz w:val="18"/>
                <w:szCs w:val="18"/>
                <w:shd w:fill="FFFFFF" w:val="clear"/>
              </w:rPr>
              <w:t>контракта, цены контракта, заключаемого с единственным поставщиком (подрядчиком, исполнителем), и начальной цены единицы товара, работы, услуги при осуществлении закупок медицинских изделий».</w:t>
            </w:r>
          </w:p>
        </w:tc>
      </w:tr>
      <w:tr>
        <w:trPr/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/>
              <w:jc w:val="both"/>
              <w:outlineLvl w:val="1"/>
              <w:rPr>
                <w:rFonts w:ascii="PT Astra Serif" w:hAnsi="PT Astra Serif"/>
                <w:bCs/>
                <w:sz w:val="18"/>
                <w:szCs w:val="18"/>
              </w:rPr>
            </w:pPr>
            <w:r>
              <w:rPr>
                <w:rFonts w:ascii="PT Astra Serif" w:hAnsi="PT Astra Serif"/>
                <w:bCs/>
                <w:sz w:val="18"/>
                <w:szCs w:val="18"/>
              </w:rPr>
              <w:t>Расчёт</w:t>
            </w:r>
          </w:p>
        </w:tc>
        <w:tc>
          <w:tcPr>
            <w:tcW w:w="1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57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</w:r>
          </w:p>
          <w:p>
            <w:pPr>
              <w:pStyle w:val="Normal"/>
              <w:ind w:left="57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В соответствии с п. 12 Приказа Минздрава России от 15.05.2020 №450н расчет начальной цены единицы медицинского изделия, цены единицы медицинского изделия, для которого в эксплуатационной документации производителя (изготовителя) не предусмотрено использование расходных материалов и проведение технического обслуживания в период гарантийного срока его эксплуатации, осуществляется по формуле:</w:t>
            </w:r>
          </w:p>
          <w:p>
            <w:pPr>
              <w:pStyle w:val="Normal"/>
              <w:ind w:left="57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1228090" cy="257175"/>
                  <wp:effectExtent l="0" t="0" r="0" b="0"/>
                  <wp:docPr id="1" name="Рисунок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090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T Astra Serif" w:hAnsi="PT Astra Serif"/>
                <w:sz w:val="22"/>
                <w:szCs w:val="22"/>
              </w:rPr>
              <w:t xml:space="preserve">где: НЦЕ – начальная цена единицы медицинского изделия, без учета НДС; ЦЕМ – цена едицины медицинского изделия, без учета НДС; </w:t>
            </w:r>
            <w:r>
              <w:rPr>
                <w:rFonts w:ascii="PT Astra Serif" w:hAnsi="PT Astra Serif"/>
                <w:sz w:val="22"/>
                <w:szCs w:val="22"/>
                <w:lang w:val="en-US"/>
              </w:rPr>
              <w:t>n</w:t>
            </w:r>
            <w:r>
              <w:rPr>
                <w:rFonts w:ascii="PT Astra Serif" w:hAnsi="PT Astra Serif"/>
                <w:sz w:val="22"/>
                <w:szCs w:val="22"/>
              </w:rPr>
              <w:t xml:space="preserve"> – количество значений информации о цене единицы </w:t>
            </w:r>
            <w:r>
              <w:rPr>
                <w:rFonts w:ascii="PT Astra Serif" w:hAnsi="PT Astra Serif"/>
                <w:sz w:val="22"/>
                <w:szCs w:val="22"/>
                <w:lang w:val="en-US"/>
              </w:rPr>
              <w:t>i</w:t>
            </w:r>
            <w:r>
              <w:rPr>
                <w:rFonts w:ascii="PT Astra Serif" w:hAnsi="PT Astra Serif"/>
                <w:sz w:val="22"/>
                <w:szCs w:val="22"/>
              </w:rPr>
              <w:t xml:space="preserve">-го медицинского изделия; </w:t>
            </w:r>
            <w:r>
              <w:rPr>
                <w:rFonts w:ascii="PT Astra Serif" w:hAnsi="PT Astra Serif"/>
                <w:sz w:val="22"/>
                <w:szCs w:val="22"/>
                <w:lang w:val="en-US"/>
              </w:rPr>
              <w:t>i</w:t>
            </w:r>
            <w:r>
              <w:rPr>
                <w:rFonts w:ascii="PT Astra Serif" w:hAnsi="PT Astra Serif"/>
                <w:sz w:val="22"/>
                <w:szCs w:val="22"/>
              </w:rPr>
              <w:t xml:space="preserve"> – номер информации о цене; ц</w:t>
            </w:r>
            <w:r>
              <w:rPr>
                <w:rFonts w:ascii="PT Astra Serif" w:hAnsi="PT Astra Serif"/>
                <w:sz w:val="22"/>
                <w:szCs w:val="22"/>
                <w:vertAlign w:val="subscript"/>
                <w:lang w:val="en-US"/>
              </w:rPr>
              <w:t>i</w:t>
            </w:r>
            <w:r>
              <w:rPr>
                <w:rFonts w:ascii="PT Astra Serif" w:hAnsi="PT Astra Serif"/>
                <w:sz w:val="22"/>
                <w:szCs w:val="22"/>
              </w:rPr>
              <w:t xml:space="preserve">– цена единицы </w:t>
            </w:r>
            <w:r>
              <w:rPr>
                <w:rFonts w:ascii="PT Astra Serif" w:hAnsi="PT Astra Serif"/>
                <w:sz w:val="22"/>
                <w:szCs w:val="22"/>
                <w:lang w:val="en-US"/>
              </w:rPr>
              <w:t>i</w:t>
            </w:r>
            <w:r>
              <w:rPr>
                <w:rFonts w:ascii="PT Astra Serif" w:hAnsi="PT Astra Serif"/>
                <w:sz w:val="22"/>
                <w:szCs w:val="22"/>
              </w:rPr>
              <w:t>-го медицинского изделия, без учета НДС.</w:t>
            </w:r>
          </w:p>
          <w:p>
            <w:pPr>
              <w:pStyle w:val="Normal"/>
              <w:ind w:left="57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В соответствии с п. 17 Приказа Минздрава России от 15.05.2020 №450н расчет начальной (максимальной) цены контракта (НМЦК), в том числе при осуществлении закупки у единственного поставщика (подрядчика, исполнителя), осуществляется по формуле:</w:t>
            </w:r>
          </w:p>
          <w:p>
            <w:pPr>
              <w:pStyle w:val="Normal"/>
              <w:ind w:left="57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1760855" cy="175895"/>
                  <wp:effectExtent l="0" t="0" r="0" b="0"/>
                  <wp:docPr id="2" name="Изображение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0855" cy="175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T Astra Serif" w:hAnsi="PT Astra Serif"/>
                <w:sz w:val="22"/>
                <w:szCs w:val="22"/>
              </w:rPr>
              <w:t xml:space="preserve">где: </w:t>
            </w:r>
            <w:r>
              <w:rPr>
                <w:rFonts w:ascii="PT Astra Serif" w:hAnsi="PT Astra Serif"/>
                <w:sz w:val="22"/>
                <w:szCs w:val="22"/>
                <w:lang w:val="en-US"/>
              </w:rPr>
              <w:t>n</w:t>
            </w:r>
            <w:r>
              <w:rPr>
                <w:rFonts w:ascii="PT Astra Serif" w:hAnsi="PT Astra Serif"/>
                <w:sz w:val="22"/>
                <w:szCs w:val="22"/>
              </w:rPr>
              <w:t>- количество позиций закупаемых медицинских изделий; НЦЕ</w:t>
            </w:r>
            <w:r>
              <w:rPr>
                <w:rFonts w:ascii="PT Astra Serif" w:hAnsi="PT Astra Serif"/>
                <w:sz w:val="22"/>
                <w:szCs w:val="22"/>
                <w:lang w:val="en-US"/>
              </w:rPr>
              <w:t>i</w:t>
            </w:r>
            <w:r>
              <w:rPr>
                <w:rFonts w:ascii="PT Astra Serif" w:hAnsi="PT Astra Serif"/>
                <w:sz w:val="22"/>
                <w:szCs w:val="22"/>
              </w:rPr>
              <w:t xml:space="preserve"> – начальная цена единицы </w:t>
            </w:r>
            <w:r>
              <w:rPr>
                <w:rFonts w:ascii="PT Astra Serif" w:hAnsi="PT Astra Serif"/>
                <w:sz w:val="22"/>
                <w:szCs w:val="22"/>
                <w:lang w:val="en-US"/>
              </w:rPr>
              <w:t>i</w:t>
            </w:r>
            <w:r>
              <w:rPr>
                <w:rFonts w:ascii="PT Astra Serif" w:hAnsi="PT Astra Serif"/>
                <w:sz w:val="22"/>
                <w:szCs w:val="22"/>
              </w:rPr>
              <w:t xml:space="preserve">-й позиции медицинского изделия, определяемая в соответствии с настоящим порядком (по применимости); НДС – налог на добавленную стоимость; </w:t>
            </w:r>
            <w:r>
              <w:rPr>
                <w:rFonts w:ascii="PT Astra Serif" w:hAnsi="PT Astra Serif"/>
                <w:sz w:val="22"/>
                <w:szCs w:val="22"/>
                <w:lang w:val="en-US"/>
              </w:rPr>
              <w:t>Vi</w:t>
            </w:r>
            <w:r>
              <w:rPr>
                <w:rFonts w:ascii="PT Astra Serif" w:hAnsi="PT Astra Serif"/>
                <w:sz w:val="22"/>
                <w:szCs w:val="22"/>
              </w:rPr>
              <w:t xml:space="preserve"> – количество (объем) </w:t>
            </w:r>
            <w:r>
              <w:rPr>
                <w:rFonts w:ascii="PT Astra Serif" w:hAnsi="PT Astra Serif"/>
                <w:sz w:val="22"/>
                <w:szCs w:val="22"/>
                <w:lang w:val="en-US"/>
              </w:rPr>
              <w:t>i</w:t>
            </w:r>
            <w:r>
              <w:rPr>
                <w:rFonts w:ascii="PT Astra Serif" w:hAnsi="PT Astra Serif"/>
                <w:sz w:val="22"/>
                <w:szCs w:val="22"/>
              </w:rPr>
              <w:t>-й позиции закупаемого медицинского изделия.</w:t>
            </w:r>
          </w:p>
          <w:p>
            <w:pPr>
              <w:pStyle w:val="Normal"/>
              <w:ind w:left="57"/>
              <w:jc w:val="both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Для формирования НМЦК были получено 3 коммерческих предложения на поставку товара.</w:t>
            </w:r>
          </w:p>
          <w:p>
            <w:pPr>
              <w:pStyle w:val="Normal"/>
              <w:ind w:left="57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1) Поставщик №1 – коммерческие предложения № 1019 от 23.10.2026 г.;</w:t>
            </w:r>
          </w:p>
          <w:p>
            <w:pPr>
              <w:pStyle w:val="Normal"/>
              <w:ind w:left="57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2) Поставщик №2 – коммерческие предложения № 1020 от 23.10.2026 г.;</w:t>
            </w:r>
          </w:p>
          <w:p>
            <w:pPr>
              <w:pStyle w:val="Normal"/>
              <w:ind w:left="57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3) Поставщик №3 – коммерческие предложения № 1021 от 23.10.2026 г.;</w:t>
            </w:r>
          </w:p>
          <w:p>
            <w:pPr>
              <w:pStyle w:val="Normal"/>
              <w:ind w:left="57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Применение корректирующих коэффициентов не требуется.</w:t>
            </w:r>
          </w:p>
          <w:p>
            <w:pPr>
              <w:pStyle w:val="Normal"/>
              <w:ind w:left="57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Коэффициент вариации не превышает 33%.</w:t>
            </w:r>
          </w:p>
          <w:tbl>
            <w:tblPr>
              <w:tblW w:w="13920" w:type="dxa"/>
              <w:jc w:val="left"/>
              <w:tblInd w:w="0" w:type="dxa"/>
              <w:tblLayout w:type="fixed"/>
              <w:tblCellMar>
                <w:top w:w="28" w:type="dxa"/>
                <w:left w:w="0" w:type="dxa"/>
                <w:bottom w:w="0" w:type="dxa"/>
                <w:right w:w="28" w:type="dxa"/>
              </w:tblCellMar>
            </w:tblPr>
            <w:tblGrid>
              <w:gridCol w:w="417"/>
              <w:gridCol w:w="1562"/>
              <w:gridCol w:w="571"/>
              <w:gridCol w:w="509"/>
              <w:gridCol w:w="675"/>
              <w:gridCol w:w="631"/>
              <w:gridCol w:w="675"/>
              <w:gridCol w:w="629"/>
              <w:gridCol w:w="675"/>
              <w:gridCol w:w="631"/>
              <w:gridCol w:w="735"/>
              <w:gridCol w:w="675"/>
              <w:gridCol w:w="735"/>
              <w:gridCol w:w="795"/>
              <w:gridCol w:w="690"/>
              <w:gridCol w:w="735"/>
              <w:gridCol w:w="614"/>
              <w:gridCol w:w="916"/>
              <w:gridCol w:w="1049"/>
            </w:tblGrid>
            <w:tr>
              <w:trPr/>
              <w:tc>
                <w:tcPr>
                  <w:tcW w:w="417" w:type="dxa"/>
                  <w:vMerge w:val="restart"/>
                  <w:tcBorders>
                    <w:top w:val="single" w:sz="2" w:space="0" w:color="000000"/>
                    <w:right w:val="single" w:sz="2" w:space="0" w:color="000000"/>
                  </w:tcBorders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  <w:t xml:space="preserve">№ </w:t>
                  </w:r>
                  <w:r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  <w:t>п/п</w:t>
                  </w:r>
                </w:p>
              </w:tc>
              <w:tc>
                <w:tcPr>
                  <w:tcW w:w="1562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left"/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  <w:t>Наименование товара</w:t>
                  </w:r>
                </w:p>
              </w:tc>
              <w:tc>
                <w:tcPr>
                  <w:tcW w:w="571" w:type="dxa"/>
                  <w:vMerge w:val="restart"/>
                  <w:tcBorders>
                    <w:top w:val="single" w:sz="2" w:space="0" w:color="000000"/>
                    <w:right w:val="single" w:sz="2" w:space="0" w:color="000000"/>
                  </w:tcBorders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  <w:t>Ед. изм.</w:t>
                  </w:r>
                </w:p>
              </w:tc>
              <w:tc>
                <w:tcPr>
                  <w:tcW w:w="509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  <w:t>Кол-во</w:t>
                  </w:r>
                </w:p>
              </w:tc>
              <w:tc>
                <w:tcPr>
                  <w:tcW w:w="3916" w:type="dxa"/>
                  <w:gridSpan w:val="6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  <w:t>Цена за единицу товара, руб.</w:t>
                  </w:r>
                </w:p>
              </w:tc>
              <w:tc>
                <w:tcPr>
                  <w:tcW w:w="735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left w:w="28" w:type="dxa"/>
                    <w:bottom w:w="28" w:type="dxa"/>
                    <w:right w:w="0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  <w:t>ЦЕМ без НДС, руб.</w:t>
                  </w:r>
                </w:p>
              </w:tc>
              <w:tc>
                <w:tcPr>
                  <w:tcW w:w="675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right w:val="single" w:sz="2" w:space="0" w:color="000000"/>
                  </w:tcBorders>
                  <w:tcMar>
                    <w:left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  <w:t>НДС, 10%</w:t>
                  </w:r>
                </w:p>
              </w:tc>
              <w:tc>
                <w:tcPr>
                  <w:tcW w:w="735" w:type="dxa"/>
                  <w:vMerge w:val="restart"/>
                  <w:tcBorders>
                    <w:top w:val="single" w:sz="2" w:space="0" w:color="000000"/>
                    <w:right w:val="single" w:sz="2" w:space="0" w:color="000000"/>
                  </w:tcBorders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  <w:t>Ср. цена ед., с НДС</w:t>
                  </w:r>
                </w:p>
              </w:tc>
              <w:tc>
                <w:tcPr>
                  <w:tcW w:w="795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  <w:t>ЦЕМ с НДС, руб</w:t>
                  </w:r>
                </w:p>
              </w:tc>
              <w:tc>
                <w:tcPr>
                  <w:tcW w:w="690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  <w:t>Кол-во Постав-щиков</w:t>
                  </w:r>
                </w:p>
              </w:tc>
              <w:tc>
                <w:tcPr>
                  <w:tcW w:w="735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  <w:t>σ</w:t>
                  </w:r>
                </w:p>
              </w:tc>
              <w:tc>
                <w:tcPr>
                  <w:tcW w:w="614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  <w:t>Коэф-т вариации, %</w:t>
                  </w:r>
                </w:p>
              </w:tc>
              <w:tc>
                <w:tcPr>
                  <w:tcW w:w="916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  <w:t>НМЦК по ср.цене с НДС, руб.</w:t>
                  </w:r>
                </w:p>
              </w:tc>
              <w:tc>
                <w:tcPr>
                  <w:tcW w:w="1049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  <w:t>НМЦК по п. 18Приказа МЗ РФ от 15.05.2020 №450н, руб.</w:t>
                  </w:r>
                </w:p>
              </w:tc>
            </w:tr>
            <w:tr>
              <w:trPr/>
              <w:tc>
                <w:tcPr>
                  <w:tcW w:w="417" w:type="dxa"/>
                  <w:vMerge w:val="continue"/>
                  <w:tcBorders>
                    <w:top w:val="single" w:sz="2" w:space="0" w:color="000000"/>
                    <w:right w:val="single" w:sz="2" w:space="0" w:color="000000"/>
                  </w:tcBorders>
                  <w:vAlign w:val="center"/>
                </w:tcPr>
                <w:p>
                  <w:pPr>
                    <w:pStyle w:val="user3"/>
                    <w:rPr>
                      <w:rFonts w:ascii="PT Astra Serif" w:hAnsi="PT Astra Serif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</w:rPr>
                  </w:r>
                </w:p>
              </w:tc>
              <w:tc>
                <w:tcPr>
                  <w:tcW w:w="1562" w:type="dxa"/>
                  <w:vMerge w:val="continue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rPr>
                      <w:rFonts w:ascii="PT Astra Serif" w:hAnsi="PT Astra Serif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</w:rPr>
                  </w:r>
                </w:p>
              </w:tc>
              <w:tc>
                <w:tcPr>
                  <w:tcW w:w="571" w:type="dxa"/>
                  <w:vMerge w:val="continue"/>
                  <w:tcBorders>
                    <w:top w:val="single" w:sz="2" w:space="0" w:color="000000"/>
                    <w:right w:val="single" w:sz="2" w:space="0" w:color="000000"/>
                  </w:tcBorders>
                  <w:vAlign w:val="center"/>
                </w:tcPr>
                <w:p>
                  <w:pPr>
                    <w:pStyle w:val="user3"/>
                    <w:rPr>
                      <w:rFonts w:ascii="PT Astra Serif" w:hAnsi="PT Astra Serif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</w:rPr>
                  </w:r>
                </w:p>
              </w:tc>
              <w:tc>
                <w:tcPr>
                  <w:tcW w:w="509" w:type="dxa"/>
                  <w:vMerge w:val="continue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rPr>
                      <w:rFonts w:ascii="PT Astra Serif" w:hAnsi="PT Astra Serif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</w:rPr>
                  </w:r>
                </w:p>
              </w:tc>
              <w:tc>
                <w:tcPr>
                  <w:tcW w:w="13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  <w:t>Поставщик №1</w:t>
                  </w:r>
                </w:p>
              </w:tc>
              <w:tc>
                <w:tcPr>
                  <w:tcW w:w="13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  <w:t>Поставщик №2</w:t>
                  </w:r>
                </w:p>
              </w:tc>
              <w:tc>
                <w:tcPr>
                  <w:tcW w:w="13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  <w:t>Поставщик №3</w:t>
                  </w:r>
                </w:p>
              </w:tc>
              <w:tc>
                <w:tcPr>
                  <w:tcW w:w="735" w:type="dxa"/>
                  <w:vMerge w:val="continue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left w:w="28" w:type="dxa"/>
                    <w:bottom w:w="28" w:type="dxa"/>
                    <w:right w:w="0" w:type="dxa"/>
                  </w:tcMar>
                  <w:vAlign w:val="center"/>
                </w:tcPr>
                <w:p>
                  <w:pPr>
                    <w:pStyle w:val="user3"/>
                    <w:rPr>
                      <w:rFonts w:ascii="PT Astra Serif" w:hAnsi="PT Astra Serif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</w:rPr>
                  </w:r>
                </w:p>
              </w:tc>
              <w:tc>
                <w:tcPr>
                  <w:tcW w:w="675" w:type="dxa"/>
                  <w:vMerge w:val="continue"/>
                  <w:tcBorders>
                    <w:top w:val="single" w:sz="2" w:space="0" w:color="000000"/>
                    <w:left w:val="single" w:sz="2" w:space="0" w:color="000000"/>
                    <w:right w:val="single" w:sz="2" w:space="0" w:color="000000"/>
                  </w:tcBorders>
                  <w:tcMar>
                    <w:left w:w="28" w:type="dxa"/>
                  </w:tcMar>
                  <w:vAlign w:val="center"/>
                </w:tcPr>
                <w:p>
                  <w:pPr>
                    <w:pStyle w:val="user3"/>
                    <w:rPr>
                      <w:rFonts w:ascii="PT Astra Serif" w:hAnsi="PT Astra Serif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</w:rPr>
                  </w:r>
                </w:p>
              </w:tc>
              <w:tc>
                <w:tcPr>
                  <w:tcW w:w="735" w:type="dxa"/>
                  <w:vMerge w:val="continue"/>
                  <w:tcBorders>
                    <w:top w:val="single" w:sz="2" w:space="0" w:color="000000"/>
                    <w:right w:val="single" w:sz="2" w:space="0" w:color="000000"/>
                  </w:tcBorders>
                  <w:vAlign w:val="center"/>
                </w:tcPr>
                <w:p>
                  <w:pPr>
                    <w:pStyle w:val="user3"/>
                    <w:rPr>
                      <w:rFonts w:ascii="PT Astra Serif" w:hAnsi="PT Astra Serif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</w:rPr>
                  </w:r>
                </w:p>
              </w:tc>
              <w:tc>
                <w:tcPr>
                  <w:tcW w:w="795" w:type="dxa"/>
                  <w:vMerge w:val="continue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rPr>
                      <w:rFonts w:ascii="PT Astra Serif" w:hAnsi="PT Astra Serif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</w:rPr>
                  </w:r>
                </w:p>
              </w:tc>
              <w:tc>
                <w:tcPr>
                  <w:tcW w:w="690" w:type="dxa"/>
                  <w:vMerge w:val="continue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rPr>
                      <w:rFonts w:ascii="PT Astra Serif" w:hAnsi="PT Astra Serif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</w:rPr>
                  </w:r>
                </w:p>
              </w:tc>
              <w:tc>
                <w:tcPr>
                  <w:tcW w:w="735" w:type="dxa"/>
                  <w:vMerge w:val="continue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rPr>
                      <w:rFonts w:ascii="PT Astra Serif" w:hAnsi="PT Astra Serif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</w:rPr>
                  </w:r>
                </w:p>
              </w:tc>
              <w:tc>
                <w:tcPr>
                  <w:tcW w:w="614" w:type="dxa"/>
                  <w:vMerge w:val="continue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rPr>
                      <w:rFonts w:ascii="PT Astra Serif" w:hAnsi="PT Astra Serif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</w:rPr>
                  </w:r>
                </w:p>
              </w:tc>
              <w:tc>
                <w:tcPr>
                  <w:tcW w:w="916" w:type="dxa"/>
                  <w:vMerge w:val="continue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rPr>
                      <w:rFonts w:ascii="PT Astra Serif" w:hAnsi="PT Astra Serif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</w:rPr>
                  </w:r>
                </w:p>
              </w:tc>
              <w:tc>
                <w:tcPr>
                  <w:tcW w:w="1049" w:type="dxa"/>
                  <w:vMerge w:val="continue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rPr>
                      <w:rFonts w:ascii="PT Astra Serif" w:hAnsi="PT Astra Serif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</w:rPr>
                  </w:r>
                </w:p>
              </w:tc>
            </w:tr>
            <w:tr>
              <w:trPr/>
              <w:tc>
                <w:tcPr>
                  <w:tcW w:w="417" w:type="dxa"/>
                  <w:vMerge w:val="continue"/>
                  <w:tcBorders>
                    <w:top w:val="single" w:sz="2" w:space="0" w:color="000000"/>
                    <w:right w:val="single" w:sz="2" w:space="0" w:color="000000"/>
                  </w:tcBorders>
                  <w:vAlign w:val="center"/>
                </w:tcPr>
                <w:p>
                  <w:pPr>
                    <w:pStyle w:val="user3"/>
                    <w:rPr>
                      <w:rFonts w:ascii="PT Astra Serif" w:hAnsi="PT Astra Serif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</w:rPr>
                  </w:r>
                </w:p>
              </w:tc>
              <w:tc>
                <w:tcPr>
                  <w:tcW w:w="1562" w:type="dxa"/>
                  <w:vMerge w:val="continue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rPr>
                      <w:rFonts w:ascii="PT Astra Serif" w:hAnsi="PT Astra Serif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</w:rPr>
                  </w:r>
                </w:p>
              </w:tc>
              <w:tc>
                <w:tcPr>
                  <w:tcW w:w="571" w:type="dxa"/>
                  <w:vMerge w:val="continue"/>
                  <w:tcBorders>
                    <w:top w:val="single" w:sz="2" w:space="0" w:color="000000"/>
                    <w:right w:val="single" w:sz="2" w:space="0" w:color="000000"/>
                  </w:tcBorders>
                  <w:vAlign w:val="center"/>
                </w:tcPr>
                <w:p>
                  <w:pPr>
                    <w:pStyle w:val="user3"/>
                    <w:rPr>
                      <w:rFonts w:ascii="PT Astra Serif" w:hAnsi="PT Astra Serif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</w:rPr>
                  </w:r>
                </w:p>
              </w:tc>
              <w:tc>
                <w:tcPr>
                  <w:tcW w:w="509" w:type="dxa"/>
                  <w:vMerge w:val="continue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rPr>
                      <w:rFonts w:ascii="PT Astra Serif" w:hAnsi="PT Astra Serif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</w:rPr>
                  </w:r>
                </w:p>
              </w:tc>
              <w:tc>
                <w:tcPr>
                  <w:tcW w:w="67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  <w:t>без НДС</w:t>
                  </w:r>
                </w:p>
              </w:tc>
              <w:tc>
                <w:tcPr>
                  <w:tcW w:w="6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  <w:t>с НДС</w:t>
                  </w:r>
                </w:p>
              </w:tc>
              <w:tc>
                <w:tcPr>
                  <w:tcW w:w="67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  <w:t>без НДС</w:t>
                  </w:r>
                </w:p>
              </w:tc>
              <w:tc>
                <w:tcPr>
                  <w:tcW w:w="62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  <w:t>с НДС</w:t>
                  </w:r>
                </w:p>
              </w:tc>
              <w:tc>
                <w:tcPr>
                  <w:tcW w:w="67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  <w:t>без НДС</w:t>
                  </w:r>
                </w:p>
              </w:tc>
              <w:tc>
                <w:tcPr>
                  <w:tcW w:w="6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  <w:t>с НДС</w:t>
                  </w:r>
                </w:p>
              </w:tc>
              <w:tc>
                <w:tcPr>
                  <w:tcW w:w="735" w:type="dxa"/>
                  <w:vMerge w:val="continue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left w:w="28" w:type="dxa"/>
                    <w:bottom w:w="28" w:type="dxa"/>
                    <w:right w:w="0" w:type="dxa"/>
                  </w:tcMar>
                  <w:vAlign w:val="center"/>
                </w:tcPr>
                <w:p>
                  <w:pPr>
                    <w:pStyle w:val="user3"/>
                    <w:rPr>
                      <w:rFonts w:ascii="PT Astra Serif" w:hAnsi="PT Astra Serif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</w:rPr>
                  </w:r>
                </w:p>
              </w:tc>
              <w:tc>
                <w:tcPr>
                  <w:tcW w:w="675" w:type="dxa"/>
                  <w:vMerge w:val="continue"/>
                  <w:tcBorders>
                    <w:top w:val="single" w:sz="2" w:space="0" w:color="000000"/>
                    <w:left w:val="single" w:sz="2" w:space="0" w:color="000000"/>
                    <w:right w:val="single" w:sz="2" w:space="0" w:color="000000"/>
                  </w:tcBorders>
                  <w:tcMar>
                    <w:left w:w="28" w:type="dxa"/>
                  </w:tcMar>
                  <w:vAlign w:val="center"/>
                </w:tcPr>
                <w:p>
                  <w:pPr>
                    <w:pStyle w:val="user3"/>
                    <w:rPr>
                      <w:rFonts w:ascii="PT Astra Serif" w:hAnsi="PT Astra Serif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</w:rPr>
                  </w:r>
                </w:p>
              </w:tc>
              <w:tc>
                <w:tcPr>
                  <w:tcW w:w="735" w:type="dxa"/>
                  <w:vMerge w:val="continue"/>
                  <w:tcBorders>
                    <w:top w:val="single" w:sz="2" w:space="0" w:color="000000"/>
                    <w:right w:val="single" w:sz="2" w:space="0" w:color="000000"/>
                  </w:tcBorders>
                  <w:vAlign w:val="center"/>
                </w:tcPr>
                <w:p>
                  <w:pPr>
                    <w:pStyle w:val="user3"/>
                    <w:rPr>
                      <w:rFonts w:ascii="PT Astra Serif" w:hAnsi="PT Astra Serif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</w:rPr>
                  </w:r>
                </w:p>
              </w:tc>
              <w:tc>
                <w:tcPr>
                  <w:tcW w:w="795" w:type="dxa"/>
                  <w:vMerge w:val="continue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rPr>
                      <w:rFonts w:ascii="PT Astra Serif" w:hAnsi="PT Astra Serif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</w:rPr>
                  </w:r>
                </w:p>
              </w:tc>
              <w:tc>
                <w:tcPr>
                  <w:tcW w:w="690" w:type="dxa"/>
                  <w:vMerge w:val="continue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rPr>
                      <w:rFonts w:ascii="PT Astra Serif" w:hAnsi="PT Astra Serif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</w:rPr>
                  </w:r>
                </w:p>
              </w:tc>
              <w:tc>
                <w:tcPr>
                  <w:tcW w:w="735" w:type="dxa"/>
                  <w:vMerge w:val="continue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rPr>
                      <w:rFonts w:ascii="PT Astra Serif" w:hAnsi="PT Astra Serif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</w:rPr>
                  </w:r>
                </w:p>
              </w:tc>
              <w:tc>
                <w:tcPr>
                  <w:tcW w:w="614" w:type="dxa"/>
                  <w:vMerge w:val="continue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rPr>
                      <w:rFonts w:ascii="PT Astra Serif" w:hAnsi="PT Astra Serif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</w:rPr>
                  </w:r>
                </w:p>
              </w:tc>
              <w:tc>
                <w:tcPr>
                  <w:tcW w:w="916" w:type="dxa"/>
                  <w:vMerge w:val="continue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rPr>
                      <w:rFonts w:ascii="PT Astra Serif" w:hAnsi="PT Astra Serif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</w:rPr>
                  </w:r>
                </w:p>
              </w:tc>
              <w:tc>
                <w:tcPr>
                  <w:tcW w:w="1049" w:type="dxa"/>
                  <w:vMerge w:val="continue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rPr>
                      <w:rFonts w:ascii="PT Astra Serif" w:hAnsi="PT Astra Serif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</w:rPr>
                  </w:r>
                </w:p>
              </w:tc>
            </w:tr>
            <w:tr>
              <w:trPr>
                <w:trHeight w:val="986" w:hRule="atLeast"/>
              </w:trPr>
              <w:tc>
                <w:tcPr>
                  <w:tcW w:w="41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56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left"/>
                    <w:rPr>
                      <w:rFonts w:ascii="PT Astra Serif" w:hAnsi="PT Astra Serif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</w:rPr>
                    <w:t>Анти-k (KEL002) групповое типирование эритроцитов ИВД, антитела</w:t>
                  </w:r>
                </w:p>
              </w:tc>
              <w:tc>
                <w:tcPr>
                  <w:tcW w:w="571" w:type="dxa"/>
                  <w:tcBorders>
                    <w:top w:val="single" w:sz="2" w:space="0" w:color="000000"/>
                    <w:bottom w:val="single" w:sz="2" w:space="0" w:color="000000"/>
                  </w:tcBorders>
                  <w:tcMar>
                    <w:bottom w:w="28" w:type="dxa"/>
                    <w:right w:w="0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  <w:t>набор</w:t>
                  </w:r>
                </w:p>
              </w:tc>
              <w:tc>
                <w:tcPr>
                  <w:tcW w:w="50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fill="FFFFFF" w:val="clear"/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67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right"/>
                    <w:rPr>
                      <w:rFonts w:ascii="PT Astra Serif" w:hAnsi="PT Astra Serif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</w:rPr>
                    <w:t>727,27</w:t>
                  </w:r>
                </w:p>
              </w:tc>
              <w:tc>
                <w:tcPr>
                  <w:tcW w:w="631" w:type="dxa"/>
                  <w:tcBorders>
                    <w:top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right"/>
                    <w:rPr>
                      <w:rFonts w:ascii="PT Astra Serif" w:hAnsi="PT Astra Serif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</w:rPr>
                    <w:t>800,00</w:t>
                  </w:r>
                </w:p>
              </w:tc>
              <w:tc>
                <w:tcPr>
                  <w:tcW w:w="675" w:type="dxa"/>
                  <w:tcBorders>
                    <w:top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right"/>
                    <w:rPr>
                      <w:rFonts w:ascii="PT Astra Serif" w:hAnsi="PT Astra Serif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</w:rPr>
                    <w:t>906,82</w:t>
                  </w:r>
                </w:p>
              </w:tc>
              <w:tc>
                <w:tcPr>
                  <w:tcW w:w="62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right"/>
                    <w:rPr>
                      <w:rFonts w:ascii="PT Astra Serif" w:hAnsi="PT Astra Serif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</w:rPr>
                    <w:t>997,50</w:t>
                  </w:r>
                </w:p>
              </w:tc>
              <w:tc>
                <w:tcPr>
                  <w:tcW w:w="67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right"/>
                    <w:rPr>
                      <w:rFonts w:ascii="PT Astra Serif" w:hAnsi="PT Astra Serif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</w:rPr>
                    <w:t>768,35</w:t>
                  </w:r>
                </w:p>
              </w:tc>
              <w:tc>
                <w:tcPr>
                  <w:tcW w:w="6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right"/>
                    <w:rPr>
                      <w:rFonts w:ascii="PT Astra Serif" w:hAnsi="PT Astra Serif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</w:rPr>
                    <w:t>845,19</w:t>
                  </w:r>
                </w:p>
              </w:tc>
              <w:tc>
                <w:tcPr>
                  <w:tcW w:w="7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left w:w="28" w:type="dxa"/>
                    <w:bottom w:w="28" w:type="dxa"/>
                    <w:right w:w="0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  <w:t>800,81</w:t>
                  </w:r>
                </w:p>
              </w:tc>
              <w:tc>
                <w:tcPr>
                  <w:tcW w:w="67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  <w:t>80,08</w:t>
                  </w:r>
                </w:p>
              </w:tc>
              <w:tc>
                <w:tcPr>
                  <w:tcW w:w="7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left w:w="28" w:type="dxa"/>
                    <w:bottom w:w="28" w:type="dxa"/>
                    <w:right w:w="0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  <w:t>880,89</w:t>
                  </w:r>
                </w:p>
              </w:tc>
              <w:tc>
                <w:tcPr>
                  <w:tcW w:w="79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left w:w="28" w:type="dxa"/>
                    <w:bottom w:w="28" w:type="dxa"/>
                    <w:right w:w="0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  <w:t>835,08</w:t>
                  </w:r>
                </w:p>
              </w:tc>
              <w:tc>
                <w:tcPr>
                  <w:tcW w:w="69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7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  <w:t>94,07</w:t>
                  </w:r>
                </w:p>
              </w:tc>
              <w:tc>
                <w:tcPr>
                  <w:tcW w:w="61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  <w:t>11,75</w:t>
                  </w:r>
                </w:p>
              </w:tc>
              <w:tc>
                <w:tcPr>
                  <w:tcW w:w="91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  <w:t>8 808,90</w:t>
                  </w:r>
                </w:p>
              </w:tc>
              <w:tc>
                <w:tcPr>
                  <w:tcW w:w="104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  <w:t>8 350,80</w:t>
                  </w:r>
                </w:p>
              </w:tc>
            </w:tr>
            <w:tr>
              <w:trPr>
                <w:trHeight w:val="986" w:hRule="atLeast"/>
              </w:trPr>
              <w:tc>
                <w:tcPr>
                  <w:tcW w:w="41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562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left"/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  <w:t>Анти-Rh(D) групповое типирование эритроцитов ИВД, антитела</w:t>
                  </w:r>
                </w:p>
              </w:tc>
              <w:tc>
                <w:tcPr>
                  <w:tcW w:w="571" w:type="dxa"/>
                  <w:tcBorders>
                    <w:top w:val="single" w:sz="2" w:space="0" w:color="000000"/>
                    <w:bottom w:val="single" w:sz="2" w:space="0" w:color="000000"/>
                  </w:tcBorders>
                  <w:tcMar>
                    <w:bottom w:w="28" w:type="dxa"/>
                    <w:right w:w="0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  <w:t>упак</w:t>
                  </w:r>
                </w:p>
              </w:tc>
              <w:tc>
                <w:tcPr>
                  <w:tcW w:w="50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fill="FFFFFF" w:val="clear"/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  <w:t>60</w:t>
                  </w:r>
                </w:p>
              </w:tc>
              <w:tc>
                <w:tcPr>
                  <w:tcW w:w="67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right"/>
                    <w:rPr>
                      <w:rFonts w:ascii="PT Astra Serif" w:hAnsi="PT Astra Serif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</w:rPr>
                    <w:t>168,18</w:t>
                  </w:r>
                </w:p>
              </w:tc>
              <w:tc>
                <w:tcPr>
                  <w:tcW w:w="631" w:type="dxa"/>
                  <w:tcBorders>
                    <w:top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right"/>
                    <w:rPr>
                      <w:rFonts w:ascii="PT Astra Serif" w:hAnsi="PT Astra Serif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</w:rPr>
                    <w:t>185,00</w:t>
                  </w:r>
                </w:p>
              </w:tc>
              <w:tc>
                <w:tcPr>
                  <w:tcW w:w="675" w:type="dxa"/>
                  <w:tcBorders>
                    <w:top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right"/>
                    <w:rPr>
                      <w:rFonts w:ascii="PT Astra Serif" w:hAnsi="PT Astra Serif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</w:rPr>
                    <w:t>189,77</w:t>
                  </w:r>
                </w:p>
              </w:tc>
              <w:tc>
                <w:tcPr>
                  <w:tcW w:w="62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right"/>
                    <w:rPr>
                      <w:rFonts w:ascii="PT Astra Serif" w:hAnsi="PT Astra Serif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</w:rPr>
                    <w:t>208,75</w:t>
                  </w:r>
                </w:p>
              </w:tc>
              <w:tc>
                <w:tcPr>
                  <w:tcW w:w="67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right"/>
                    <w:rPr>
                      <w:rFonts w:ascii="PT Astra Serif" w:hAnsi="PT Astra Serif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</w:rPr>
                    <w:t>172,00</w:t>
                  </w:r>
                </w:p>
              </w:tc>
              <w:tc>
                <w:tcPr>
                  <w:tcW w:w="6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right"/>
                    <w:rPr>
                      <w:rFonts w:ascii="PT Astra Serif" w:hAnsi="PT Astra Serif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</w:rPr>
                    <w:t>189,20</w:t>
                  </w:r>
                </w:p>
              </w:tc>
              <w:tc>
                <w:tcPr>
                  <w:tcW w:w="7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left w:w="28" w:type="dxa"/>
                    <w:bottom w:w="28" w:type="dxa"/>
                    <w:right w:w="0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  <w:t>176,65</w:t>
                  </w:r>
                </w:p>
              </w:tc>
              <w:tc>
                <w:tcPr>
                  <w:tcW w:w="67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  <w:t>17,67</w:t>
                  </w:r>
                </w:p>
              </w:tc>
              <w:tc>
                <w:tcPr>
                  <w:tcW w:w="7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left w:w="28" w:type="dxa"/>
                    <w:bottom w:w="28" w:type="dxa"/>
                    <w:right w:w="0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  <w:t>194,32</w:t>
                  </w:r>
                </w:p>
              </w:tc>
              <w:tc>
                <w:tcPr>
                  <w:tcW w:w="79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left w:w="28" w:type="dxa"/>
                    <w:bottom w:w="28" w:type="dxa"/>
                    <w:right w:w="0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  <w:t>184,22</w:t>
                  </w:r>
                </w:p>
              </w:tc>
              <w:tc>
                <w:tcPr>
                  <w:tcW w:w="69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7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  <w:t>11,52</w:t>
                  </w:r>
                </w:p>
              </w:tc>
              <w:tc>
                <w:tcPr>
                  <w:tcW w:w="61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  <w:t>6,52</w:t>
                  </w:r>
                </w:p>
              </w:tc>
              <w:tc>
                <w:tcPr>
                  <w:tcW w:w="91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  <w:t>11 659,20</w:t>
                  </w:r>
                </w:p>
              </w:tc>
              <w:tc>
                <w:tcPr>
                  <w:tcW w:w="104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  <w:t>11 053,20</w:t>
                  </w:r>
                </w:p>
              </w:tc>
            </w:tr>
            <w:tr>
              <w:trPr>
                <w:trHeight w:val="311" w:hRule="atLeast"/>
              </w:trPr>
              <w:tc>
                <w:tcPr>
                  <w:tcW w:w="41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bottom"/>
                </w:tcPr>
                <w:p>
                  <w:pPr>
                    <w:pStyle w:val="user3"/>
                    <w:ind w:hanging="0" w:left="0" w:right="0"/>
                    <w:rPr>
                      <w:rFonts w:ascii="PT Astra Serif" w:hAnsi="PT Astra Serif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</w:rPr>
                  </w:r>
                </w:p>
              </w:tc>
              <w:tc>
                <w:tcPr>
                  <w:tcW w:w="1562" w:type="dxa"/>
                  <w:tcBorders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left"/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  <w:t>ИТОГО</w:t>
                  </w:r>
                </w:p>
              </w:tc>
              <w:tc>
                <w:tcPr>
                  <w:tcW w:w="57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</w:r>
                </w:p>
              </w:tc>
              <w:tc>
                <w:tcPr>
                  <w:tcW w:w="50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bottom"/>
                </w:tcPr>
                <w:p>
                  <w:pPr>
                    <w:pStyle w:val="user3"/>
                    <w:ind w:hanging="0" w:left="0" w:right="0"/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r>
                </w:p>
              </w:tc>
              <w:tc>
                <w:tcPr>
                  <w:tcW w:w="67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bottom"/>
                </w:tcPr>
                <w:p>
                  <w:pPr>
                    <w:pStyle w:val="user3"/>
                    <w:ind w:hanging="0" w:left="0" w:right="0"/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</w:r>
                </w:p>
              </w:tc>
              <w:tc>
                <w:tcPr>
                  <w:tcW w:w="6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bottom"/>
                </w:tcPr>
                <w:p>
                  <w:pPr>
                    <w:pStyle w:val="user3"/>
                    <w:ind w:hanging="0" w:left="0" w:right="0"/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</w:r>
                </w:p>
              </w:tc>
              <w:tc>
                <w:tcPr>
                  <w:tcW w:w="67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bottom"/>
                </w:tcPr>
                <w:p>
                  <w:pPr>
                    <w:pStyle w:val="user3"/>
                    <w:ind w:hanging="0" w:left="0" w:right="0"/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</w:r>
                </w:p>
              </w:tc>
              <w:tc>
                <w:tcPr>
                  <w:tcW w:w="62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bottom"/>
                </w:tcPr>
                <w:p>
                  <w:pPr>
                    <w:pStyle w:val="user3"/>
                    <w:ind w:hanging="0" w:left="0" w:right="0"/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</w:r>
                </w:p>
              </w:tc>
              <w:tc>
                <w:tcPr>
                  <w:tcW w:w="67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bottom"/>
                </w:tcPr>
                <w:p>
                  <w:pPr>
                    <w:pStyle w:val="user3"/>
                    <w:ind w:hanging="0" w:left="0" w:right="0"/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</w:r>
                </w:p>
              </w:tc>
              <w:tc>
                <w:tcPr>
                  <w:tcW w:w="6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bottom"/>
                </w:tcPr>
                <w:p>
                  <w:pPr>
                    <w:pStyle w:val="user3"/>
                    <w:ind w:hanging="0" w:left="0" w:right="0"/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</w:r>
                </w:p>
              </w:tc>
              <w:tc>
                <w:tcPr>
                  <w:tcW w:w="7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bottom"/>
                </w:tcPr>
                <w:p>
                  <w:pPr>
                    <w:pStyle w:val="user3"/>
                    <w:ind w:hanging="0" w:left="0" w:right="0"/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r>
                </w:p>
              </w:tc>
              <w:tc>
                <w:tcPr>
                  <w:tcW w:w="675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28" w:type="dxa"/>
                    <w:bottom w:w="28" w:type="dxa"/>
                  </w:tcMar>
                  <w:vAlign w:val="bottom"/>
                </w:tcPr>
                <w:p>
                  <w:pPr>
                    <w:pStyle w:val="user3"/>
                    <w:ind w:hanging="0" w:left="0" w:right="0"/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r>
                </w:p>
              </w:tc>
              <w:tc>
                <w:tcPr>
                  <w:tcW w:w="7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bottom"/>
                </w:tcPr>
                <w:p>
                  <w:pPr>
                    <w:pStyle w:val="user3"/>
                    <w:ind w:hanging="0" w:left="0" w:right="0"/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r>
                </w:p>
              </w:tc>
              <w:tc>
                <w:tcPr>
                  <w:tcW w:w="79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bottom"/>
                </w:tcPr>
                <w:p>
                  <w:pPr>
                    <w:pStyle w:val="user3"/>
                    <w:ind w:hanging="0" w:left="0" w:right="0"/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r>
                </w:p>
              </w:tc>
              <w:tc>
                <w:tcPr>
                  <w:tcW w:w="69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bottom"/>
                </w:tcPr>
                <w:p>
                  <w:pPr>
                    <w:pStyle w:val="user3"/>
                    <w:ind w:hanging="0" w:left="0" w:right="0"/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r>
                </w:p>
              </w:tc>
              <w:tc>
                <w:tcPr>
                  <w:tcW w:w="7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bottom"/>
                </w:tcPr>
                <w:p>
                  <w:pPr>
                    <w:pStyle w:val="user3"/>
                    <w:ind w:hanging="0" w:left="0" w:right="0"/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r>
                </w:p>
              </w:tc>
              <w:tc>
                <w:tcPr>
                  <w:tcW w:w="61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bottom"/>
                </w:tcPr>
                <w:p>
                  <w:pPr>
                    <w:pStyle w:val="user3"/>
                    <w:ind w:hanging="0" w:left="0" w:right="0"/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color w:val="000000"/>
                      <w:sz w:val="18"/>
                      <w:szCs w:val="18"/>
                    </w:rPr>
                  </w:r>
                </w:p>
              </w:tc>
              <w:tc>
                <w:tcPr>
                  <w:tcW w:w="91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ind w:hanging="0" w:left="0" w:right="0"/>
                    <w:jc w:val="center"/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  <w:t>20 468,10</w:t>
                  </w:r>
                </w:p>
              </w:tc>
              <w:tc>
                <w:tcPr>
                  <w:tcW w:w="104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28" w:type="dxa"/>
                    <w:bottom w:w="28" w:type="dxa"/>
                  </w:tcMar>
                  <w:vAlign w:val="center"/>
                </w:tcPr>
                <w:p>
                  <w:pPr>
                    <w:pStyle w:val="user3"/>
                    <w:jc w:val="center"/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PT Astra Serif" w:hAnsi="PT Astra Serif"/>
                      <w:b/>
                      <w:color w:val="000000"/>
                      <w:sz w:val="18"/>
                      <w:szCs w:val="18"/>
                    </w:rPr>
                    <w:t>19 404,00</w:t>
                  </w:r>
                </w:p>
              </w:tc>
            </w:tr>
          </w:tbl>
          <w:p>
            <w:pPr>
              <w:pStyle w:val="Normal"/>
              <w:ind w:left="57"/>
              <w:rPr>
                <w:sz w:val="23"/>
                <w:szCs w:val="23"/>
              </w:rPr>
            </w:pPr>
            <w:r>
              <w:rPr>
                <w:rFonts w:ascii="PT Astra Serif" w:hAnsi="PT Astra Serif"/>
                <w:sz w:val="23"/>
                <w:szCs w:val="23"/>
              </w:rPr>
              <w:t>Расчет НМЦК, произведенный согласно Приказа N 450н, составил 20 468,10 руб. за общий объем закупаемого товара. Указанн</w:t>
            </w:r>
            <w:bookmarkStart w:id="0" w:name="_GoBack"/>
            <w:bookmarkEnd w:id="0"/>
            <w:r>
              <w:rPr>
                <w:rFonts w:ascii="PT Astra Serif" w:hAnsi="PT Astra Serif"/>
                <w:sz w:val="23"/>
                <w:szCs w:val="23"/>
              </w:rPr>
              <w:t xml:space="preserve">ая сумма превышает выделенные лимиты на закупку данного товара. На основании п.18 Приказа №450н Заказчик применил 4,2-процентное снижение НМЦК товара пропорционально единицам закупаемых изделий с округлением до рублей, исходя из имеющегося объема финансового обеспечения для осуществления соответствующей закупки. В результате НМЦК составила </w:t>
            </w:r>
            <w:r>
              <w:rPr>
                <w:rFonts w:ascii="PT Astra Serif" w:hAnsi="PT Astra Serif"/>
                <w:b/>
                <w:bCs/>
                <w:sz w:val="23"/>
                <w:szCs w:val="23"/>
              </w:rPr>
              <w:t>19 404</w:t>
            </w:r>
            <w:r>
              <w:rPr>
                <w:rFonts w:ascii="PT Astra Serif" w:hAnsi="PT Astra Serif"/>
                <w:b/>
                <w:sz w:val="23"/>
                <w:szCs w:val="23"/>
              </w:rPr>
              <w:t>,00</w:t>
            </w:r>
            <w:r>
              <w:rPr>
                <w:rFonts w:ascii="PT Astra Serif" w:hAnsi="PT Astra Serif"/>
                <w:sz w:val="23"/>
                <w:szCs w:val="23"/>
              </w:rPr>
              <w:t xml:space="preserve"> руб.</w:t>
            </w:r>
          </w:p>
        </w:tc>
      </w:tr>
      <w:tr>
        <w:trPr/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/>
              <w:outlineLvl w:val="1"/>
              <w:rPr>
                <w:rFonts w:ascii="PT Astra Serif" w:hAnsi="PT Astra Serif"/>
                <w:bCs/>
                <w:sz w:val="18"/>
                <w:szCs w:val="18"/>
              </w:rPr>
            </w:pPr>
            <w:r>
              <w:rPr>
                <w:rFonts w:ascii="PT Astra Serif" w:hAnsi="PT Astra Serif"/>
                <w:bCs/>
                <w:sz w:val="18"/>
                <w:szCs w:val="18"/>
              </w:rPr>
              <w:t>Дата подготовки обоснования:</w:t>
            </w:r>
          </w:p>
        </w:tc>
        <w:tc>
          <w:tcPr>
            <w:tcW w:w="1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/>
              <w:jc w:val="both"/>
              <w:outlineLvl w:val="1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  <w:lang w:val="ru-RU"/>
              </w:rPr>
              <w:t>2</w:t>
            </w:r>
            <w:r>
              <w:rPr>
                <w:rFonts w:ascii="PT Astra Serif" w:hAnsi="PT Astra Serif"/>
                <w:sz w:val="18"/>
                <w:szCs w:val="18"/>
                <w:lang w:val="ru-RU"/>
              </w:rPr>
              <w:t>6</w:t>
            </w:r>
            <w:r>
              <w:rPr>
                <w:rFonts w:ascii="PT Astra Serif" w:hAnsi="PT Astra Serif"/>
                <w:sz w:val="18"/>
                <w:szCs w:val="18"/>
                <w:lang w:val="ru-RU"/>
              </w:rPr>
              <w:t>.</w:t>
            </w:r>
            <w:r>
              <w:rPr>
                <w:rFonts w:ascii="PT Astra Serif" w:hAnsi="PT Astra Serif"/>
                <w:sz w:val="18"/>
                <w:szCs w:val="18"/>
                <w:lang w:val="ru-RU"/>
              </w:rPr>
              <w:t>10</w:t>
            </w:r>
            <w:r>
              <w:rPr>
                <w:rFonts w:ascii="PT Astra Serif" w:hAnsi="PT Astra Serif"/>
                <w:sz w:val="18"/>
                <w:szCs w:val="18"/>
                <w:lang w:val="ru-RU"/>
              </w:rPr>
              <w:t>.2026</w:t>
            </w:r>
            <w:r>
              <w:rPr>
                <w:rFonts w:ascii="PT Astra Serif" w:hAnsi="PT Astra Serif"/>
                <w:sz w:val="18"/>
                <w:szCs w:val="18"/>
              </w:rPr>
              <w:t xml:space="preserve"> г.</w:t>
            </w:r>
          </w:p>
        </w:tc>
      </w:tr>
    </w:tbl>
    <w:p>
      <w:pPr>
        <w:pStyle w:val="1"/>
        <w:spacing w:lineRule="auto" w:line="240"/>
        <w:rPr>
          <w:rFonts w:ascii="PT Astra Serif" w:hAnsi="PT Astra Serif"/>
        </w:rPr>
      </w:pPr>
      <w:r>
        <w:rPr>
          <w:rFonts w:ascii="PT Astra Serif" w:hAnsi="PT Astra Serif"/>
          <w:b/>
          <w:bCs/>
        </w:rPr>
        <w:t>Руководитель контрактной службы:</w:t>
      </w:r>
    </w:p>
    <w:tbl>
      <w:tblPr>
        <w:tblW w:w="6946" w:type="dxa"/>
        <w:jc w:val="left"/>
        <w:tblInd w:w="84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000"/>
      </w:tblPr>
      <w:tblGrid>
        <w:gridCol w:w="1701"/>
        <w:gridCol w:w="170"/>
        <w:gridCol w:w="2721"/>
        <w:gridCol w:w="2353"/>
      </w:tblGrid>
      <w:tr>
        <w:trPr/>
        <w:tc>
          <w:tcPr>
            <w:tcW w:w="6945" w:type="dxa"/>
            <w:gridSpan w:val="4"/>
            <w:tcBorders>
              <w:bottom w:val="single" w:sz="4" w:space="0" w:color="000000"/>
            </w:tcBorders>
            <w:vAlign w:val="bottom"/>
          </w:tcPr>
          <w:p>
            <w:pPr>
              <w:pStyle w:val="1"/>
              <w:snapToGrid w:val="false"/>
              <w:spacing w:lineRule="auto" w:line="24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Заместитель главного врача по экономическим вопросам</w:t>
            </w:r>
          </w:p>
        </w:tc>
      </w:tr>
      <w:tr>
        <w:trPr>
          <w:trHeight w:val="64" w:hRule="atLeast"/>
        </w:trPr>
        <w:tc>
          <w:tcPr>
            <w:tcW w:w="1701" w:type="dxa"/>
            <w:tcBorders>
              <w:bottom w:val="single" w:sz="4" w:space="0" w:color="000000"/>
            </w:tcBorders>
            <w:vAlign w:val="bottom"/>
          </w:tcPr>
          <w:p>
            <w:pPr>
              <w:pStyle w:val="1"/>
              <w:snapToGrid w:val="false"/>
              <w:spacing w:lineRule="auto" w:line="24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</w:p>
        </w:tc>
        <w:tc>
          <w:tcPr>
            <w:tcW w:w="170" w:type="dxa"/>
            <w:tcBorders/>
            <w:vAlign w:val="bottom"/>
          </w:tcPr>
          <w:p>
            <w:pPr>
              <w:pStyle w:val="1"/>
              <w:snapToGrid w:val="false"/>
              <w:spacing w:lineRule="auto" w:line="240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/</w:t>
            </w:r>
          </w:p>
        </w:tc>
        <w:tc>
          <w:tcPr>
            <w:tcW w:w="2721" w:type="dxa"/>
            <w:tcBorders>
              <w:bottom w:val="single" w:sz="4" w:space="0" w:color="000000"/>
            </w:tcBorders>
            <w:vAlign w:val="bottom"/>
          </w:tcPr>
          <w:p>
            <w:pPr>
              <w:pStyle w:val="1"/>
              <w:snapToGrid w:val="false"/>
              <w:spacing w:lineRule="auto" w:line="24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Е.Н.Стратонова</w:t>
            </w:r>
          </w:p>
        </w:tc>
        <w:tc>
          <w:tcPr>
            <w:tcW w:w="2353" w:type="dxa"/>
            <w:tcBorders/>
            <w:vAlign w:val="bottom"/>
          </w:tcPr>
          <w:p>
            <w:pPr>
              <w:pStyle w:val="1"/>
              <w:snapToGrid w:val="false"/>
              <w:spacing w:lineRule="auto" w:line="24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/</w:t>
            </w:r>
          </w:p>
        </w:tc>
      </w:tr>
    </w:tbl>
    <w:p>
      <w:pPr>
        <w:pStyle w:val="Normal"/>
        <w:rPr>
          <w:rFonts w:ascii="PT Astra Serif" w:hAnsi="PT Astra Serif"/>
          <w:b/>
          <w:bCs/>
          <w:lang w:eastAsia="ar-SA"/>
        </w:rPr>
      </w:pPr>
      <w:r>
        <w:rPr>
          <w:rFonts w:ascii="PT Astra Serif" w:hAnsi="PT Astra Serif"/>
          <w:i/>
        </w:rPr>
        <w:t xml:space="preserve">Ф.И.О. исполнителя/контактный телефон </w:t>
      </w:r>
    </w:p>
    <w:p>
      <w:pPr>
        <w:pStyle w:val="Normal"/>
        <w:rPr>
          <w:rFonts w:ascii="PT Astra Serif" w:hAnsi="PT Astra Serif"/>
          <w:b/>
        </w:rPr>
      </w:pPr>
      <w:r>
        <w:rPr>
          <w:rFonts w:ascii="PT Astra Serif" w:hAnsi="PT Astra Serif"/>
          <w:i/>
        </w:rPr>
        <w:t>Гридин В.В.             /44-23-29</w:t>
      </w:r>
    </w:p>
    <w:sectPr>
      <w:footerReference w:type="even" r:id="rId4"/>
      <w:footerReference w:type="default" r:id="rId5"/>
      <w:footerReference w:type="first" r:id="rId6"/>
      <w:type w:val="nextPage"/>
      <w:pgSz w:orient="landscape" w:w="16838" w:h="11906"/>
      <w:pgMar w:left="1134" w:right="1134" w:gutter="0" w:header="0" w:top="567" w:footer="0" w:bottom="567"/>
      <w:pgNumType w:start="7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Times New Roman">
    <w:charset w:val="cc"/>
    <w:family w:val="roman"/>
    <w:pitch w:val="variable"/>
  </w:font>
  <w:font w:name="Tahoma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Verdana">
    <w:charset w:val="cc"/>
    <w:family w:val="swiss"/>
    <w:pitch w:val="variable"/>
  </w:font>
  <w:font w:name="PT Astra Serif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jc w:val="right"/>
      <w:rPr>
        <w:sz w:val="24"/>
        <w:szCs w:val="24"/>
      </w:rPr>
    </w:pPr>
    <w:r>
      <w:rPr>
        <w:sz w:val="24"/>
        <w:szCs w:val="24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jc w:val="right"/>
      <w:rPr>
        <w:sz w:val="24"/>
        <w:szCs w:val="24"/>
      </w:rPr>
    </w:pPr>
    <w:r>
      <w:rPr>
        <w:sz w:val="24"/>
        <w:szCs w:val="24"/>
      </w:rPr>
    </w:r>
  </w:p>
</w:ft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uiPriority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6635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locked/>
    <w:rsid w:val="00331762"/>
    <w:rPr>
      <w:rFonts w:ascii="Tahoma" w:hAnsi="Tahoma" w:cs="Times New Roman"/>
      <w:sz w:val="16"/>
    </w:rPr>
  </w:style>
  <w:style w:type="character" w:styleId="Style15" w:customStyle="1">
    <w:name w:val="Верхний колонтитул Знак"/>
    <w:basedOn w:val="DefaultParagraphFont"/>
    <w:uiPriority w:val="99"/>
    <w:semiHidden/>
    <w:qFormat/>
    <w:locked/>
    <w:rsid w:val="002022a6"/>
    <w:rPr>
      <w:rFonts w:cs="Times New Roman"/>
      <w:sz w:val="22"/>
      <w:szCs w:val="22"/>
    </w:rPr>
  </w:style>
  <w:style w:type="character" w:styleId="Style16" w:customStyle="1">
    <w:name w:val="Нижний колонтитул Знак"/>
    <w:basedOn w:val="DefaultParagraphFont"/>
    <w:uiPriority w:val="99"/>
    <w:qFormat/>
    <w:locked/>
    <w:rsid w:val="002022a6"/>
    <w:rPr>
      <w:rFonts w:cs="Times New Roman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191b3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61821"/>
    <w:rPr>
      <w:color w:val="954F72"/>
      <w:u w:val="single"/>
    </w:rPr>
  </w:style>
  <w:style w:type="character" w:styleId="Style17" w:customStyle="1">
    <w:name w:val="Основной текст Знак"/>
    <w:basedOn w:val="DefaultParagraphFont"/>
    <w:qFormat/>
    <w:rsid w:val="00e616eb"/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character" w:styleId="hl" w:customStyle="1">
    <w:name w:val="hl"/>
    <w:basedOn w:val="DefaultParagraphFont"/>
    <w:qFormat/>
    <w:rsid w:val="00446ffe"/>
    <w:rPr/>
  </w:style>
  <w:style w:type="character" w:styleId="cardmaininfopurchaselink2" w:customStyle="1">
    <w:name w:val="cardmaininfo__purchaselink2"/>
    <w:basedOn w:val="DefaultParagraphFont"/>
    <w:qFormat/>
    <w:rsid w:val="00d33309"/>
    <w:rPr>
      <w:color w:val="0065DD"/>
    </w:rPr>
  </w:style>
  <w:style w:type="paragraph" w:styleId="Style18" w:customStyle="1">
    <w:name w:val="Заголовок"/>
    <w:basedOn w:val="Normal"/>
    <w:next w:val="BodyText"/>
    <w:qFormat/>
    <w:rsid w:val="000e2af0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7"/>
    <w:unhideWhenUsed/>
    <w:rsid w:val="00e616eb"/>
    <w:pPr>
      <w:spacing w:lineRule="auto" w:line="276" w:before="0" w:after="120"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paragraph" w:styleId="List">
    <w:name w:val="List"/>
    <w:basedOn w:val="BodyText"/>
    <w:rsid w:val="000e2af0"/>
    <w:pPr/>
    <w:rPr>
      <w:rFonts w:cs="Arial"/>
    </w:rPr>
  </w:style>
  <w:style w:type="paragraph" w:styleId="Caption">
    <w:name w:val="caption"/>
    <w:basedOn w:val="Normal"/>
    <w:qFormat/>
    <w:rsid w:val="000e2af0"/>
    <w:pPr>
      <w:suppressLineNumbers/>
      <w:spacing w:before="120" w:after="120"/>
    </w:pPr>
    <w:rPr>
      <w:rFonts w:cs="Arial"/>
      <w:i/>
      <w:iCs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user" w:customStyle="1">
    <w:name w:val="Заголовок (user)"/>
    <w:basedOn w:val="Normal"/>
    <w:next w:val="BodyText"/>
    <w:qFormat/>
    <w:rsid w:val="000e2af0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 w:customStyle="1">
    <w:name w:val="Указатель (user)"/>
    <w:basedOn w:val="Normal"/>
    <w:qFormat/>
    <w:rsid w:val="000e2af0"/>
    <w:pPr>
      <w:suppressLineNumbers/>
    </w:pPr>
    <w:rPr>
      <w:rFonts w:cs="Arial"/>
    </w:rPr>
  </w:style>
  <w:style w:type="paragraph" w:styleId="IndexHeading">
    <w:name w:val="index heading"/>
    <w:basedOn w:val="Normal"/>
    <w:qFormat/>
    <w:rsid w:val="000e2af0"/>
    <w:pPr>
      <w:suppressLineNumbers/>
    </w:pPr>
    <w:rPr>
      <w:rFonts w:cs="Arial"/>
    </w:rPr>
  </w:style>
  <w:style w:type="paragraph" w:styleId="xl66" w:customStyle="1">
    <w:name w:val="xl66"/>
    <w:basedOn w:val="Normal"/>
    <w:qFormat/>
    <w:rsid w:val="000c39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0"/>
      <w:szCs w:val="20"/>
    </w:rPr>
  </w:style>
  <w:style w:type="paragraph" w:styleId="BalloonText">
    <w:name w:val="Balloon Text"/>
    <w:basedOn w:val="Normal"/>
    <w:link w:val="Style14"/>
    <w:uiPriority w:val="99"/>
    <w:semiHidden/>
    <w:qFormat/>
    <w:rsid w:val="00331762"/>
    <w:pPr/>
    <w:rPr>
      <w:rFonts w:ascii="Tahoma" w:hAnsi="Tahoma"/>
      <w:sz w:val="16"/>
      <w:szCs w:val="16"/>
    </w:rPr>
  </w:style>
  <w:style w:type="paragraph" w:styleId="user2" w:customStyle="1">
    <w:name w:val="Колонтитулы (user)"/>
    <w:basedOn w:val="Normal"/>
    <w:qFormat/>
    <w:rsid w:val="000e2af0"/>
    <w:pPr/>
    <w:rPr/>
  </w:style>
  <w:style w:type="paragraph" w:styleId="Style20">
    <w:name w:val="Колонтитулы"/>
    <w:basedOn w:val="Normal"/>
    <w:qFormat/>
    <w:pPr/>
    <w:rPr/>
  </w:style>
  <w:style w:type="paragraph" w:styleId="Header">
    <w:name w:val="header"/>
    <w:basedOn w:val="Normal"/>
    <w:link w:val="Style15"/>
    <w:uiPriority w:val="99"/>
    <w:semiHidden/>
    <w:rsid w:val="002022a6"/>
    <w:pPr>
      <w:tabs>
        <w:tab w:val="clear" w:pos="709"/>
        <w:tab w:val="center" w:pos="4677" w:leader="none"/>
        <w:tab w:val="right" w:pos="9355" w:leader="none"/>
      </w:tabs>
      <w:spacing w:lineRule="auto" w:line="276" w:before="0" w:after="200"/>
    </w:pPr>
    <w:rPr>
      <w:sz w:val="22"/>
      <w:szCs w:val="22"/>
    </w:rPr>
  </w:style>
  <w:style w:type="paragraph" w:styleId="Footer">
    <w:name w:val="footer"/>
    <w:basedOn w:val="Normal"/>
    <w:link w:val="Style16"/>
    <w:uiPriority w:val="99"/>
    <w:rsid w:val="002022a6"/>
    <w:pPr>
      <w:tabs>
        <w:tab w:val="clear" w:pos="709"/>
        <w:tab w:val="center" w:pos="4677" w:leader="none"/>
        <w:tab w:val="right" w:pos="9355" w:leader="none"/>
      </w:tabs>
      <w:spacing w:lineRule="auto" w:line="276" w:before="0" w:after="200"/>
    </w:pPr>
    <w:rPr>
      <w:sz w:val="22"/>
      <w:szCs w:val="22"/>
    </w:rPr>
  </w:style>
  <w:style w:type="paragraph" w:styleId="Style21" w:customStyle="1">
    <w:name w:val="Знак Знак Знак Знак Знак Знак Знак Знак Знак"/>
    <w:basedOn w:val="Normal"/>
    <w:qFormat/>
    <w:rsid w:val="00af5c8e"/>
    <w:pPr>
      <w:spacing w:lineRule="exact" w:line="240" w:before="0" w:after="160"/>
    </w:pPr>
    <w:rPr>
      <w:rFonts w:ascii="Verdana" w:hAnsi="Verdana"/>
      <w:sz w:val="20"/>
      <w:szCs w:val="20"/>
      <w:lang w:val="en-US" w:eastAsia="en-US"/>
    </w:rPr>
  </w:style>
  <w:style w:type="paragraph" w:styleId="xl64" w:customStyle="1">
    <w:name w:val="xl64"/>
    <w:basedOn w:val="Normal"/>
    <w:qFormat/>
    <w:rsid w:val="009618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/>
  </w:style>
  <w:style w:type="paragraph" w:styleId="xl65" w:customStyle="1">
    <w:name w:val="xl65"/>
    <w:basedOn w:val="Normal"/>
    <w:qFormat/>
    <w:rsid w:val="009618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/>
  </w:style>
  <w:style w:type="paragraph" w:styleId="xl67" w:customStyle="1">
    <w:name w:val="xl67"/>
    <w:basedOn w:val="Normal"/>
    <w:qFormat/>
    <w:rsid w:val="009618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/>
  </w:style>
  <w:style w:type="paragraph" w:styleId="xl68" w:customStyle="1">
    <w:name w:val="xl68"/>
    <w:basedOn w:val="Normal"/>
    <w:qFormat/>
    <w:rsid w:val="009618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b/>
      <w:bCs/>
    </w:rPr>
  </w:style>
  <w:style w:type="paragraph" w:styleId="xl69" w:customStyle="1">
    <w:name w:val="xl69"/>
    <w:basedOn w:val="Normal"/>
    <w:qFormat/>
    <w:rsid w:val="00961821"/>
    <w:pPr>
      <w:spacing w:beforeAutospacing="1" w:afterAutospacing="1"/>
    </w:pPr>
    <w:rPr>
      <w:color w:val="000000"/>
      <w:sz w:val="18"/>
      <w:szCs w:val="18"/>
    </w:rPr>
  </w:style>
  <w:style w:type="paragraph" w:styleId="xl70" w:customStyle="1">
    <w:name w:val="xl70"/>
    <w:basedOn w:val="Normal"/>
    <w:qFormat/>
    <w:rsid w:val="009618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18"/>
      <w:szCs w:val="18"/>
    </w:rPr>
  </w:style>
  <w:style w:type="paragraph" w:styleId="xl71" w:customStyle="1">
    <w:name w:val="xl71"/>
    <w:basedOn w:val="Normal"/>
    <w:qFormat/>
    <w:rsid w:val="009618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color w:val="000000"/>
    </w:rPr>
  </w:style>
  <w:style w:type="paragraph" w:styleId="xl72" w:customStyle="1">
    <w:name w:val="xl72"/>
    <w:basedOn w:val="Normal"/>
    <w:qFormat/>
    <w:rsid w:val="009618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color w:val="000000"/>
    </w:rPr>
  </w:style>
  <w:style w:type="paragraph" w:styleId="xl74" w:customStyle="1">
    <w:name w:val="xl74"/>
    <w:basedOn w:val="Normal"/>
    <w:qFormat/>
    <w:rsid w:val="009618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/>
  </w:style>
  <w:style w:type="paragraph" w:styleId="xl75" w:customStyle="1">
    <w:name w:val="xl75"/>
    <w:basedOn w:val="Normal"/>
    <w:qFormat/>
    <w:rsid w:val="009618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sz w:val="18"/>
      <w:szCs w:val="18"/>
    </w:rPr>
  </w:style>
  <w:style w:type="paragraph" w:styleId="xl76" w:customStyle="1">
    <w:name w:val="xl76"/>
    <w:basedOn w:val="Normal"/>
    <w:qFormat/>
    <w:rsid w:val="009618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sz w:val="18"/>
      <w:szCs w:val="18"/>
    </w:rPr>
  </w:style>
  <w:style w:type="paragraph" w:styleId="xl77" w:customStyle="1">
    <w:name w:val="xl77"/>
    <w:basedOn w:val="Normal"/>
    <w:qFormat/>
    <w:rsid w:val="0096182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textAlignment w:val="top"/>
    </w:pPr>
    <w:rPr/>
  </w:style>
  <w:style w:type="paragraph" w:styleId="xl78" w:customStyle="1">
    <w:name w:val="xl78"/>
    <w:basedOn w:val="Normal"/>
    <w:qFormat/>
    <w:rsid w:val="00961821"/>
    <w:pPr>
      <w:pBdr>
        <w:top w:val="single" w:sz="4" w:space="0" w:color="000000"/>
        <w:bottom w:val="single" w:sz="4" w:space="0" w:color="000000"/>
      </w:pBdr>
      <w:spacing w:beforeAutospacing="1" w:afterAutospacing="1"/>
      <w:textAlignment w:val="top"/>
    </w:pPr>
    <w:rPr/>
  </w:style>
  <w:style w:type="paragraph" w:styleId="xl79" w:customStyle="1">
    <w:name w:val="xl79"/>
    <w:basedOn w:val="Normal"/>
    <w:qFormat/>
    <w:rsid w:val="009618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18"/>
      <w:szCs w:val="18"/>
    </w:rPr>
  </w:style>
  <w:style w:type="paragraph" w:styleId="xl80" w:customStyle="1">
    <w:name w:val="xl80"/>
    <w:basedOn w:val="Normal"/>
    <w:qFormat/>
    <w:rsid w:val="009618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894613"/>
    <w:pPr>
      <w:spacing w:lineRule="auto" w:line="276" w:before="0" w:after="200"/>
      <w:ind w:left="720"/>
      <w:contextualSpacing/>
    </w:pPr>
    <w:rPr>
      <w:sz w:val="22"/>
      <w:szCs w:val="22"/>
    </w:rPr>
  </w:style>
  <w:style w:type="paragraph" w:styleId="NoSpacing">
    <w:name w:val="No Spacing"/>
    <w:uiPriority w:val="1"/>
    <w:qFormat/>
    <w:rsid w:val="00e616eb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1" w:customStyle="1">
    <w:name w:val="Обычный1"/>
    <w:qFormat/>
    <w:rsid w:val="00d33309"/>
    <w:pPr>
      <w:widowControl/>
      <w:suppressAutoHyphens w:val="true"/>
      <w:bidi w:val="0"/>
      <w:spacing w:lineRule="atLeast" w:line="10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ar-SA" w:bidi="ar-SA"/>
    </w:rPr>
  </w:style>
  <w:style w:type="paragraph" w:styleId="user3" w:customStyle="1">
    <w:name w:val="Содержимое таблицы (user)"/>
    <w:basedOn w:val="Normal"/>
    <w:qFormat/>
    <w:rsid w:val="000e2af0"/>
    <w:pPr>
      <w:widowControl w:val="false"/>
      <w:suppressLineNumbers/>
    </w:pPr>
    <w:rPr/>
  </w:style>
  <w:style w:type="paragraph" w:styleId="user4" w:customStyle="1">
    <w:name w:val="Заголовок таблицы (user)"/>
    <w:basedOn w:val="user3"/>
    <w:qFormat/>
    <w:rsid w:val="000e2af0"/>
    <w:pPr>
      <w:jc w:val="center"/>
    </w:pPr>
    <w:rPr>
      <w:b/>
      <w:bCs/>
    </w:rPr>
  </w:style>
  <w:style w:type="paragraph" w:styleId="western" w:customStyle="1">
    <w:name w:val="western"/>
    <w:basedOn w:val="Normal"/>
    <w:qFormat/>
    <w:rsid w:val="00173064"/>
    <w:pPr>
      <w:suppressAutoHyphens w:val="false"/>
      <w:spacing w:beforeAutospacing="1" w:after="119"/>
    </w:pPr>
    <w:rPr>
      <w:color w:val="000000"/>
    </w:rPr>
  </w:style>
  <w:style w:type="paragraph" w:styleId="Style22" w:customStyle="1">
    <w:name w:val="Содержимое таблицы"/>
    <w:basedOn w:val="Normal"/>
    <w:qFormat/>
    <w:rsid w:val="00a64fdd"/>
    <w:pPr>
      <w:widowControl w:val="false"/>
      <w:suppressLineNumbers/>
    </w:pPr>
    <w:rPr/>
  </w:style>
  <w:style w:type="paragraph" w:styleId="Style23" w:customStyle="1">
    <w:name w:val="Заголовок таблицы"/>
    <w:basedOn w:val="Style22"/>
    <w:qFormat/>
    <w:rsid w:val="00a64fdd"/>
    <w:pPr>
      <w:jc w:val="center"/>
    </w:pPr>
    <w:rPr>
      <w:b/>
      <w:bCs/>
    </w:rPr>
  </w:style>
  <w:style w:type="numbering" w:styleId="user5" w:customStyle="1">
    <w:name w:val="Без списка (user)"/>
    <w:uiPriority w:val="99"/>
    <w:semiHidden/>
    <w:unhideWhenUsed/>
    <w:qFormat/>
    <w:rsid w:val="000e2af0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6">
    <w:name w:val="Table Grid"/>
    <w:basedOn w:val="a1"/>
    <w:uiPriority w:val="99"/>
    <w:rsid w:val="00e30708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258D60-CA86-49E1-BD22-27B1D93B0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Application>LibreOffice/25.2.7.2$Windows_X86_64 LibreOffice_project/5cbfd1ab6520636bb5f7b99185aa69bd7456825d</Application>
  <AppVersion>15.0000</AppVersion>
  <Pages>2</Pages>
  <Words>498</Words>
  <Characters>3196</Characters>
  <CharactersWithSpaces>3626</CharactersWithSpaces>
  <Paragraphs>91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2024-12-19T06:01:00Z</dcterms:created>
  <dc:creator>Костюков А.А.</dc:creator>
  <dc:description/>
  <dc:language>ru-RU</dc:language>
  <cp:lastModifiedBy/>
  <cp:lastPrinted>2026-10-26T10:36:59Z</cp:lastPrinted>
  <dcterms:modified xsi:type="dcterms:W3CDTF">2026-10-26T15:33:18Z</dcterms:modified>
  <cp:revision>30</cp:revision>
  <dc:subject>автозапчасти</dc:subject>
  <dc:title>Приложение №2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