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Tinos" w:hAnsi="Tinos" w:cs="Tinos"/>
          <w:bCs/>
          <w:i/>
          <w:sz w:val="22"/>
          <w:szCs w:val="22"/>
        </w:rPr>
      </w:pPr>
      <w:r>
        <w:rPr>
          <w:rFonts w:ascii="Tinos" w:hAnsi="Tinos" w:eastAsia="Tinos" w:cs="Tinos"/>
          <w:bCs/>
          <w:i/>
          <w:sz w:val="22"/>
          <w:szCs w:val="22"/>
        </w:rPr>
      </w:r>
      <w:r>
        <w:rPr>
          <w:rFonts w:ascii="Tinos" w:hAnsi="Tinos" w:cs="Tinos"/>
          <w:bCs/>
          <w:i/>
          <w:sz w:val="22"/>
          <w:szCs w:val="22"/>
        </w:rPr>
      </w:r>
      <w:r>
        <w:rPr>
          <w:rFonts w:ascii="Tinos" w:hAnsi="Tinos" w:cs="Tinos"/>
          <w:bCs/>
          <w:i/>
          <w:sz w:val="22"/>
          <w:szCs w:val="22"/>
        </w:rPr>
      </w:r>
    </w:p>
    <w:p>
      <w:pPr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</w:rPr>
        <w:t xml:space="preserve">О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боснование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 начальной (максимальной) цены контракта, цены контракта, заключаемого с единственным поставщиком (подрядчиком, исполнителем)</w:t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pStyle w:val="856"/>
        <w:jc w:val="center"/>
        <w:spacing w:before="0" w:line="240" w:lineRule="auto"/>
        <w:tabs>
          <w:tab w:val="clear" w:pos="284" w:leader="none"/>
        </w:tabs>
        <w:rPr>
          <w:rFonts w:ascii="Tinos" w:hAnsi="Tinos" w:cs="Tinos"/>
          <w:b/>
          <w:color w:val="auto"/>
          <w:sz w:val="22"/>
          <w:szCs w:val="22"/>
        </w:rPr>
      </w:pPr>
      <w:r>
        <w:rPr>
          <w:rFonts w:ascii="Tinos" w:hAnsi="Tinos" w:eastAsia="Tinos" w:cs="Tinos"/>
          <w:b/>
          <w:color w:val="auto"/>
          <w:sz w:val="22"/>
          <w:szCs w:val="22"/>
        </w:rPr>
        <w:t xml:space="preserve">Оказание услуг по техническому обслуживанию и регламентно-профилактическому ремонту </w:t>
      </w:r>
      <w:r>
        <w:rPr>
          <w:rFonts w:ascii="Tinos" w:hAnsi="Tinos" w:eastAsia="Tinos" w:cs="Tinos"/>
          <w:b/>
          <w:color w:val="auto"/>
          <w:sz w:val="22"/>
          <w:szCs w:val="22"/>
        </w:rPr>
        <w:t xml:space="preserve">системы охранной и тревожной сигнализации</w:t>
      </w:r>
      <w:r>
        <w:rPr>
          <w:rFonts w:ascii="Tinos" w:hAnsi="Tinos" w:cs="Tinos"/>
          <w:b/>
          <w:color w:val="auto"/>
          <w:sz w:val="22"/>
          <w:szCs w:val="22"/>
        </w:rPr>
      </w:r>
      <w:r>
        <w:rPr>
          <w:rFonts w:ascii="Tinos" w:hAnsi="Tinos" w:cs="Tinos"/>
          <w:b/>
          <w:color w:val="auto"/>
          <w:sz w:val="22"/>
          <w:szCs w:val="22"/>
        </w:rPr>
      </w:r>
    </w:p>
    <w:p>
      <w:pPr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14412" w:type="dxa"/>
        <w:jc w:val="center"/>
        <w:tblLayout w:type="fixed"/>
        <w:tblLook w:val="04A0" w:firstRow="1" w:lastRow="0" w:firstColumn="1" w:lastColumn="0" w:noHBand="0" w:noVBand="1"/>
      </w:tblPr>
      <w:tblGrid>
        <w:gridCol w:w="308"/>
        <w:gridCol w:w="2553"/>
        <w:gridCol w:w="992"/>
        <w:gridCol w:w="709"/>
        <w:gridCol w:w="1701"/>
        <w:gridCol w:w="2126"/>
        <w:gridCol w:w="1984"/>
        <w:gridCol w:w="1134"/>
        <w:gridCol w:w="850"/>
        <w:gridCol w:w="2056"/>
      </w:tblGrid>
      <w:tr>
        <w:tblPrEx/>
        <w:trPr>
          <w:jc w:val="center"/>
          <w:trHeight w:val="315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№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Наименование товаров, работ,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Единицы измерения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Кол-во (шт.)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8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Источники информации и цена за единицу, руб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*Средняя цена за ед., (руб.)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коэффициент вариации (%)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Обоснование НМЦК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</w:tc>
      </w:tr>
      <w:tr>
        <w:tblPrEx/>
        <w:trPr>
          <w:jc w:val="center"/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источник №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 1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источник №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2 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источник №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3</w:t>
            </w: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 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</w:tr>
      <w:tr>
        <w:tblPrEx/>
        <w:trPr>
          <w:jc w:val="center"/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Цена за ед., руб.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Цена за ед., руб.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Cs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color w:val="000000"/>
                <w:sz w:val="22"/>
                <w:szCs w:val="22"/>
              </w:rPr>
              <w:t xml:space="preserve">Цена за ед., руб.</w:t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bCs/>
                <w:color w:val="000000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  <w:r>
              <w:rPr>
                <w:rFonts w:eastAsia="Times New Roman"/>
                <w:bCs/>
                <w:color w:val="000000"/>
              </w:rPr>
            </w:r>
          </w:p>
        </w:tc>
      </w:tr>
      <w:tr>
        <w:tblPrEx/>
        <w:trPr>
          <w:jc w:val="center"/>
          <w:trHeight w:val="25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1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2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3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4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5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6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7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8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9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10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</w:tr>
      <w:tr>
        <w:tblPrEx/>
        <w:trPr>
          <w:jc w:val="center"/>
          <w:trHeight w:val="156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Cs/>
                <w:sz w:val="22"/>
                <w:szCs w:val="22"/>
              </w:rPr>
              <w:t xml:space="preserve">1</w:t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  <w:r>
              <w:rPr>
                <w:rFonts w:ascii="Tinos" w:hAnsi="Tinos" w:cs="Tinos"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b/>
                <w:color w:val="auto"/>
                <w:sz w:val="22"/>
                <w:szCs w:val="22"/>
              </w:rPr>
              <w:t xml:space="preserve">Оказание услуг по техническому обслуживанию и регламентно-профилактическому ремонту </w:t>
            </w:r>
            <w:r>
              <w:rPr>
                <w:rFonts w:ascii="Tinos" w:hAnsi="Tinos" w:eastAsia="Tinos" w:cs="Tinos"/>
                <w:b/>
                <w:color w:val="auto"/>
                <w:sz w:val="22"/>
                <w:szCs w:val="22"/>
              </w:rPr>
              <w:t xml:space="preserve">системы охранной и тревожной сигнализации</w:t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(с 01.10.2026 по 31.12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.2026)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месяц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48837,95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52066,05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50386,50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50430,17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3,20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sz w:val="22"/>
                <w:szCs w:val="22"/>
              </w:rPr>
              <w:t xml:space="preserve">Начальная (максимальная) цена контракта определена по наименьшему ценовому предложению № 1.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>
          <w:jc w:val="center"/>
          <w:trHeight w:val="315"/>
        </w:trPr>
        <w:tc>
          <w:tcPr>
            <w:gridSpan w:val="9"/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56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color w:val="000000"/>
                <w:sz w:val="22"/>
                <w:szCs w:val="22"/>
              </w:rPr>
              <w:t xml:space="preserve">ИТОГО:</w:t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vAlign w:val="center"/>
            <w:textDirection w:val="lrTb"/>
            <w:noWrap/>
          </w:tcPr>
          <w:p>
            <w:pPr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151290,50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jc w:val="left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jc w:val="left"/>
        <w:rPr>
          <w:rFonts w:ascii="Tinos" w:hAnsi="Tinos" w:cs="Tinos"/>
          <w:b/>
          <w:bCs/>
          <w:sz w:val="22"/>
          <w:szCs w:val="22"/>
          <w:highlight w:val="none"/>
        </w:rPr>
      </w:pPr>
      <w:r>
        <w:rPr>
          <w:rFonts w:ascii="Tinos" w:hAnsi="Tinos" w:eastAsia="Tinos" w:cs="Tinos"/>
          <w:b/>
          <w:bCs/>
          <w:sz w:val="22"/>
          <w:szCs w:val="22"/>
        </w:rPr>
      </w:r>
      <w:r>
        <w:rPr>
          <w:rFonts w:ascii="Tinos" w:hAnsi="Tinos" w:eastAsia="Tinos" w:cs="Tinos"/>
          <w:b/>
          <w:bCs/>
          <w:sz w:val="22"/>
          <w:szCs w:val="22"/>
        </w:rPr>
        <w:t xml:space="preserve">Исходя из лимитов бюджетных обязательств, доведенных до Заказчика на 2026 год на данную закупку, начальная (максимальная) цена контракта установлена в размере, руб.: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 146 513 руб. 85 коп. </w:t>
      </w:r>
      <w:r>
        <w:rPr>
          <w:rFonts w:ascii="Tinos" w:hAnsi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sz w:val="22"/>
          <w:szCs w:val="22"/>
          <w:highlight w:val="none"/>
        </w:rPr>
      </w:r>
    </w:p>
    <w:p>
      <w:pPr>
        <w:ind w:firstLine="0"/>
        <w:jc w:val="both"/>
        <w:shd w:val="clear" w:color="auto" w:fill="ffffff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  <w:highlight w:val="none"/>
        </w:rPr>
      </w:r>
      <w:r>
        <w:rPr>
          <w:rFonts w:ascii="Tinos" w:hAnsi="Tinos" w:eastAsia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</w:p>
    <w:p>
      <w:pPr>
        <w:ind w:firstLine="0"/>
        <w:jc w:val="both"/>
        <w:shd w:val="clear" w:color="auto" w:fill="ffffff"/>
        <w:rPr>
          <w:rFonts w:ascii="Tinos" w:hAnsi="Tinos" w:cs="Tinos"/>
          <w:sz w:val="22"/>
          <w:szCs w:val="22"/>
          <w:highlight w:val="none"/>
        </w:rPr>
      </w:pPr>
      <w:r>
        <w:rPr>
          <w:rFonts w:ascii="Tinos" w:hAnsi="Tinos" w:eastAsia="Tinos" w:cs="Tinos"/>
          <w:sz w:val="22"/>
          <w:szCs w:val="22"/>
        </w:rPr>
        <w:t xml:space="preserve">Начальная (максимальная) цена контракта была определена методом сопоставимых рыночных цен (анализа рынка) в с</w:t>
      </w:r>
      <w:r>
        <w:rPr>
          <w:rFonts w:ascii="Tinos" w:hAnsi="Tinos" w:eastAsia="Tinos" w:cs="Tinos"/>
          <w:sz w:val="22"/>
          <w:szCs w:val="22"/>
        </w:rPr>
        <w:t xml:space="preserve">оответствии с Приказом Минэкономразвития России от 02.10.13 № 567 «Об утверждении методических рекомендации по применению методов определения (начальной) максимальной цены, цены контракта». Цена за час определена по наименьшему коммерческому предложению.</w:t>
      </w:r>
      <w:r>
        <w:rPr>
          <w:rFonts w:ascii="Tinos" w:hAnsi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  <w:highlight w:val="none"/>
        </w:rPr>
      </w:r>
    </w:p>
    <w:p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firstLine="709"/>
        <w:jc w:val="left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Начальник ОМТО ____________________________Кузуб Е.Н. 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sectPr>
      <w:footnotePr/>
      <w:endnotePr/>
      <w:type w:val="nextPage"/>
      <w:pgSz w:w="16840" w:h="11907" w:orient="landscape"/>
      <w:pgMar w:top="1134" w:right="1701" w:bottom="567" w:left="1701" w:header="397" w:footer="397" w:gutter="0"/>
      <w:cols w:num="1" w:sep="0" w:space="709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>
    <w:name w:val="Heading 1"/>
    <w:basedOn w:val="833"/>
    <w:next w:val="833"/>
    <w:link w:val="66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2">
    <w:name w:val="Heading 1 Char"/>
    <w:basedOn w:val="834"/>
    <w:link w:val="661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3"/>
    <w:next w:val="833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34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34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34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34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34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34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3"/>
    <w:next w:val="833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34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3"/>
    <w:next w:val="833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34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3"/>
    <w:next w:val="833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4"/>
    <w:link w:val="680"/>
    <w:uiPriority w:val="10"/>
    <w:rPr>
      <w:sz w:val="48"/>
      <w:szCs w:val="48"/>
    </w:rPr>
  </w:style>
  <w:style w:type="paragraph" w:styleId="682">
    <w:name w:val="Subtitle"/>
    <w:basedOn w:val="833"/>
    <w:next w:val="833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4"/>
    <w:link w:val="682"/>
    <w:uiPriority w:val="11"/>
    <w:rPr>
      <w:sz w:val="24"/>
      <w:szCs w:val="24"/>
    </w:rPr>
  </w:style>
  <w:style w:type="paragraph" w:styleId="684">
    <w:name w:val="Quote"/>
    <w:basedOn w:val="833"/>
    <w:next w:val="833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3"/>
    <w:next w:val="833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character" w:styleId="688">
    <w:name w:val="Header Char"/>
    <w:basedOn w:val="834"/>
    <w:link w:val="837"/>
    <w:uiPriority w:val="99"/>
  </w:style>
  <w:style w:type="character" w:styleId="689">
    <w:name w:val="Footer Char"/>
    <w:basedOn w:val="834"/>
    <w:link w:val="839"/>
    <w:uiPriority w:val="99"/>
  </w:style>
  <w:style w:type="paragraph" w:styleId="690">
    <w:name w:val="Caption"/>
    <w:basedOn w:val="833"/>
    <w:next w:val="833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834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1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6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character" w:styleId="818">
    <w:name w:val="Footnote Text Char"/>
    <w:link w:val="841"/>
    <w:uiPriority w:val="99"/>
    <w:rPr>
      <w:sz w:val="18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Header"/>
    <w:basedOn w:val="833"/>
    <w:link w:val="838"/>
    <w:uiPriority w:val="99"/>
    <w:pPr>
      <w:tabs>
        <w:tab w:val="center" w:pos="4153" w:leader="none"/>
        <w:tab w:val="right" w:pos="8306" w:leader="none"/>
      </w:tabs>
    </w:pPr>
  </w:style>
  <w:style w:type="character" w:styleId="838" w:customStyle="1">
    <w:name w:val="Верхний колонтитул Знак"/>
    <w:basedOn w:val="834"/>
    <w:link w:val="837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39">
    <w:name w:val="Footer"/>
    <w:basedOn w:val="833"/>
    <w:link w:val="840"/>
    <w:uiPriority w:val="99"/>
    <w:pPr>
      <w:tabs>
        <w:tab w:val="center" w:pos="4153" w:leader="none"/>
        <w:tab w:val="right" w:pos="8306" w:leader="none"/>
      </w:tabs>
    </w:pPr>
  </w:style>
  <w:style w:type="character" w:styleId="840" w:customStyle="1">
    <w:name w:val="Нижний колонтитул Знак"/>
    <w:basedOn w:val="834"/>
    <w:link w:val="839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41">
    <w:name w:val="footnote text"/>
    <w:basedOn w:val="833"/>
    <w:link w:val="842"/>
    <w:uiPriority w:val="99"/>
  </w:style>
  <w:style w:type="character" w:styleId="842" w:customStyle="1">
    <w:name w:val="Текст сноски Знак"/>
    <w:basedOn w:val="834"/>
    <w:link w:val="841"/>
    <w:uiPriority w:val="99"/>
    <w:semiHidden/>
    <w:rPr>
      <w:rFonts w:ascii="Times New Roman" w:hAnsi="Times New Roman" w:cs="Times New Roman"/>
      <w:sz w:val="20"/>
      <w:szCs w:val="20"/>
    </w:rPr>
  </w:style>
  <w:style w:type="character" w:styleId="843">
    <w:name w:val="footnote reference"/>
    <w:basedOn w:val="834"/>
    <w:uiPriority w:val="99"/>
    <w:rPr>
      <w:vertAlign w:val="superscript"/>
    </w:rPr>
  </w:style>
  <w:style w:type="paragraph" w:styleId="844" w:customStyle="1">
    <w:name w:val="Style5"/>
    <w:basedOn w:val="833"/>
    <w:pPr>
      <w:widowControl w:val="off"/>
    </w:pPr>
    <w:rPr>
      <w:rFonts w:eastAsia="Times New Roman"/>
      <w:sz w:val="24"/>
      <w:szCs w:val="24"/>
    </w:rPr>
  </w:style>
  <w:style w:type="paragraph" w:styleId="845" w:customStyle="1">
    <w:name w:val="ConsNormal"/>
    <w:uiPriority w:val="99"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zh-CN"/>
    </w:rPr>
  </w:style>
  <w:style w:type="paragraph" w:styleId="846">
    <w:name w:val="List Paragraph"/>
    <w:basedOn w:val="833"/>
    <w:uiPriority w:val="34"/>
    <w:qFormat/>
    <w:pPr>
      <w:contextualSpacing/>
      <w:ind w:left="720"/>
    </w:pPr>
  </w:style>
  <w:style w:type="paragraph" w:styleId="847" w:customStyle="1">
    <w:name w:val="formattext"/>
    <w:basedOn w:val="833"/>
    <w:pPr>
      <w:spacing w:before="100" w:beforeAutospacing="1" w:after="100" w:afterAutospacing="1"/>
    </w:pPr>
    <w:rPr>
      <w:sz w:val="24"/>
      <w:szCs w:val="24"/>
    </w:rPr>
  </w:style>
  <w:style w:type="paragraph" w:styleId="848">
    <w:name w:val="Balloon Text"/>
    <w:basedOn w:val="833"/>
    <w:link w:val="84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9" w:customStyle="1">
    <w:name w:val="Текст выноски Знак"/>
    <w:basedOn w:val="834"/>
    <w:link w:val="848"/>
    <w:uiPriority w:val="99"/>
    <w:semiHidden/>
    <w:rPr>
      <w:rFonts w:ascii="Segoe UI" w:hAnsi="Segoe UI" w:cs="Segoe UI"/>
      <w:sz w:val="18"/>
      <w:szCs w:val="18"/>
    </w:rPr>
  </w:style>
  <w:style w:type="paragraph" w:styleId="850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51" w:customStyle="1">
    <w:name w:val="Основной текст (2)"/>
    <w:basedOn w:val="834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852" w:customStyle="1">
    <w:name w:val="Основной текст (49)_"/>
    <w:basedOn w:val="834"/>
    <w:link w:val="853"/>
    <w:rPr>
      <w:rFonts w:ascii="Times New Roman" w:hAnsi="Times New Roman" w:eastAsia="Times New Roman" w:cs="Times New Roman"/>
      <w:spacing w:val="10"/>
      <w:sz w:val="14"/>
      <w:szCs w:val="14"/>
      <w:shd w:val="clear" w:color="auto" w:fill="ffffff"/>
    </w:rPr>
  </w:style>
  <w:style w:type="paragraph" w:styleId="853" w:customStyle="1">
    <w:name w:val="Основной текст (49)"/>
    <w:basedOn w:val="833"/>
    <w:link w:val="852"/>
    <w:pPr>
      <w:jc w:val="center"/>
      <w:spacing w:line="0" w:lineRule="atLeast"/>
      <w:shd w:val="clear" w:color="auto" w:fill="ffffff"/>
      <w:widowControl w:val="off"/>
    </w:pPr>
    <w:rPr>
      <w:rFonts w:eastAsia="Times New Roman"/>
      <w:spacing w:val="10"/>
      <w:sz w:val="14"/>
      <w:szCs w:val="14"/>
    </w:rPr>
  </w:style>
  <w:style w:type="table" w:styleId="854" w:customStyle="1">
    <w:name w:val="Сетка таблицы1"/>
    <w:basedOn w:val="835"/>
    <w:next w:val="85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5">
    <w:name w:val="Table Grid"/>
    <w:basedOn w:val="8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6" w:customStyle="1">
    <w:name w:val="Normal (Web)"/>
    <w:basedOn w:val="674"/>
    <w:link w:val="711"/>
    <w:qFormat/>
    <w:pPr>
      <w:contextualSpacing w:val="0"/>
      <w:ind w:left="0" w:right="0" w:firstLine="0"/>
      <w:jc w:val="left"/>
      <w:keepLines w:val="0"/>
      <w:keepNext w:val="0"/>
      <w:pageBreakBefore w:val="0"/>
      <w:spacing w:before="89" w:beforeAutospacing="0" w:after="0" w:afterAutospacing="0" w:line="276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3"/>
      <w:szCs w:val="23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sergeeva@urr31.esk</cp:lastModifiedBy>
  <cp:revision>10</cp:revision>
  <dcterms:created xsi:type="dcterms:W3CDTF">2025-11-24T15:27:00Z</dcterms:created>
  <dcterms:modified xsi:type="dcterms:W3CDTF">2026-10-12T12:23:18Z</dcterms:modified>
</cp:coreProperties>
</file>