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Liberation Serif;Times New Roman" w:hAnsi="Liberation Serif;Times New Roman" w:cs="Liberation Serif;Times New Roman"/>
          <w:b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</w:rPr>
        <w:t xml:space="preserve">КОНТРАКТ №  </w:t>
      </w:r>
      <w:r>
        <w:rPr>
          <w:rFonts w:cs="Liberation Serif;Times New Roman" w:ascii="Liberation Serif;Times New Roman" w:hAnsi="Liberation Serif;Times New Roman"/>
          <w:b/>
          <w:sz w:val="24"/>
          <w:szCs w:val="24"/>
          <w:u w:val="single"/>
        </w:rPr>
        <w:t>343</w:t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b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</w:rPr>
        <w:t>на оказание медицинской услуги</w:t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b/>
          <w:b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/>
          <w:sz w:val="24"/>
          <w:szCs w:val="24"/>
        </w:rPr>
        <w:t>«Предрейсовые медицинские осмотры водителей транспортных средств»</w:t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sz w:val="22"/>
          <w:szCs w:val="22"/>
          <w:u w:val="none"/>
        </w:rPr>
      </w:pPr>
      <w:r>
        <w:rPr>
          <w:rFonts w:cs="Liberation Serif;Times New Roman" w:ascii="Liberation Serif;Times New Roman" w:hAnsi="Liberation Serif;Times New Roman"/>
          <w:b/>
          <w:bCs/>
          <w:sz w:val="24"/>
          <w:szCs w:val="24"/>
        </w:rPr>
        <w:t xml:space="preserve">ИКЗ </w:t>
      </w:r>
      <w:r>
        <w:rPr>
          <w:rFonts w:cs="Liberation Serif;Times New Roman" w:ascii="Liberation Serif;Times New Roman" w:hAnsi="Liberation Serif;Times New Roman"/>
          <w:sz w:val="24"/>
          <w:szCs w:val="24"/>
        </w:rPr>
        <w:t>___________________________________________________________</w:t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sz w:val="22"/>
          <w:szCs w:val="22"/>
          <w:u w:val="none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  <w:u w:val="none"/>
        </w:rPr>
      </w:r>
    </w:p>
    <w:p>
      <w:pPr>
        <w:pStyle w:val="Normal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  <w:u w:val="none"/>
        </w:rPr>
        <w:t>г. Брянск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  <w:u w:val="none"/>
        </w:rPr>
        <w:t xml:space="preserve">  </w:t>
      </w:r>
      <w:r>
        <w:rPr>
          <w:rFonts w:cs="Liberation Serif;Times New Roman" w:ascii="Liberation Serif;Times New Roman" w:hAnsi="Liberation Serif;Times New Roman"/>
          <w:b/>
          <w:sz w:val="22"/>
          <w:szCs w:val="22"/>
        </w:rPr>
        <w:t xml:space="preserve">                                                                                                                          </w:t>
      </w:r>
      <w:r>
        <w:rPr>
          <w:rFonts w:cs="Liberation Serif;Times New Roman" w:ascii="Liberation Serif;Times New Roman" w:hAnsi="Liberation Serif;Times New Roman"/>
          <w:b w:val="false"/>
          <w:bCs w:val="false"/>
          <w:sz w:val="22"/>
          <w:szCs w:val="22"/>
          <w:u w:val="none"/>
        </w:rPr>
        <w:t>«___» _________2026 г.</w:t>
      </w:r>
    </w:p>
    <w:p>
      <w:pPr>
        <w:pStyle w:val="Normal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  <w:highlight w:val="white"/>
        </w:rPr>
        <w:tab/>
        <w:t xml:space="preserve">Управление Федеральной службы судебных приставов по Брянской области (УФССП России по Брянской области),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</w:rPr>
        <w:t>адрес места нахождения: 2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  <w:lang w:eastAsia="ru-RU"/>
        </w:rPr>
        <w:t>41050, г. Брянск,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  <w:lang w:eastAsia="ru-RU"/>
        </w:rPr>
        <w:t>ул. Дуки, д. 59 А,</w:t>
        <w:br/>
        <w:t>ОГРН 1043244052070, ИНН</w:t>
      </w:r>
      <w:r>
        <w:rPr>
          <w:rFonts w:eastAsia="Times New Roman" w:cs="Liberation Serif;Times New Roman" w:ascii="Liberation Serif;Times New Roman" w:hAnsi="Liberation Serif;Times New Roman"/>
          <w:b/>
          <w:bCs w:val="false"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  <w:lang w:eastAsia="ru-RU"/>
        </w:rPr>
        <w:t xml:space="preserve">3250057358,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</w:rPr>
        <w:t xml:space="preserve">именуемое в дальнейшем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0"/>
          <w:sz w:val="22"/>
          <w:szCs w:val="22"/>
          <w:highlight w:val="white"/>
        </w:rPr>
        <w:t xml:space="preserve">«Заказчик»,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z w:val="22"/>
          <w:szCs w:val="22"/>
          <w:highlight w:val="white"/>
        </w:rPr>
        <w:t>в лице заместителя руководителя Управления Федеральной службы судебных приставов по Брянской области – заместителя главного судебного пристава Брянской области Осипова Виталия Витальевича, действующего</w:t>
        <w:br/>
        <w:t xml:space="preserve">на основании Доверенности от 05.03.2026 № Д-32908/26/11 и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</w:rPr>
        <w:t>Полож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z w:val="22"/>
          <w:szCs w:val="22"/>
          <w:highlight w:val="white"/>
        </w:rPr>
        <w:t>ения, с одной стороны,</w:t>
      </w: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  <w:highlight w:val="white"/>
        </w:rPr>
        <w:br/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z w:val="22"/>
          <w:szCs w:val="22"/>
          <w:highlight w:val="white"/>
        </w:rPr>
        <w:t>и</w:t>
      </w: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  <w:highlight w:val="white"/>
        </w:rPr>
        <w:t xml:space="preserve"> ________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auto"/>
          <w:sz w:val="22"/>
          <w:szCs w:val="22"/>
          <w:highlight w:val="white"/>
        </w:rPr>
        <w:t xml:space="preserve">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0"/>
          <w:sz w:val="22"/>
          <w:szCs w:val="22"/>
          <w:highlight w:val="white"/>
        </w:rPr>
        <w:t xml:space="preserve">адрес места нахождения: _________________,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auto"/>
          <w:sz w:val="22"/>
          <w:szCs w:val="22"/>
          <w:highlight w:val="white"/>
        </w:rPr>
        <w:t>Лицензия на осуществление медицинской деятельности __________________, именуемое в дальнейшем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auto"/>
          <w:sz w:val="22"/>
          <w:szCs w:val="22"/>
          <w:highlight w:val="white"/>
        </w:rPr>
        <w:t xml:space="preserve"> «Исполнитель»,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auto"/>
          <w:sz w:val="22"/>
          <w:szCs w:val="22"/>
          <w:highlight w:val="white"/>
        </w:rPr>
        <w:t xml:space="preserve">в лице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auto"/>
          <w:spacing w:val="10"/>
          <w:sz w:val="22"/>
          <w:szCs w:val="22"/>
          <w:highlight w:val="white"/>
        </w:rPr>
        <w:t>______________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auto"/>
          <w:sz w:val="22"/>
          <w:szCs w:val="22"/>
          <w:highlight w:val="white"/>
        </w:rPr>
        <w:t>, действующей на основании _________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auto"/>
          <w:sz w:val="22"/>
          <w:szCs w:val="22"/>
          <w:highlight w:val="white"/>
        </w:rPr>
        <w:t>,</w:t>
      </w: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  <w:highlight w:val="white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  <w:highlight w:val="white"/>
        </w:rPr>
        <w:t xml:space="preserve">с другой стороны, а вместе именуемые </w:t>
      </w:r>
      <w:r>
        <w:rPr>
          <w:rFonts w:eastAsia="Times New Roman" w:cs="Liberation Serif;Times New Roman" w:ascii="Liberation Serif;Times New Roman" w:hAnsi="Liberation Serif;Times New Roman"/>
          <w:b/>
          <w:bCs/>
          <w:sz w:val="22"/>
          <w:szCs w:val="22"/>
          <w:highlight w:val="white"/>
        </w:rPr>
        <w:t>«Стороны»</w:t>
      </w:r>
      <w:r>
        <w:rPr>
          <w:rFonts w:eastAsia="Times New Roman" w:cs="Liberation Serif;Times New Roman" w:ascii="Liberation Serif;Times New Roman" w:hAnsi="Liberation Serif;Times New Roman"/>
          <w:sz w:val="22"/>
          <w:szCs w:val="22"/>
          <w:highlight w:val="white"/>
        </w:rPr>
        <w:t>,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ст. 425 ГК РФ, заключили настоящий контракт о нижеследующем: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ПРЕДМЕТ КОНТРАКТА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1.1. Предметом контракта является оказание «Исполнителем» платных медицинских услуг «Заказчику» по проведению предрейсовых медицинских осмотров водителей транспортных средств.</w:t>
      </w:r>
    </w:p>
    <w:p>
      <w:pPr>
        <w:pStyle w:val="Normal"/>
        <w:ind w:start="1080"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ОРГАНИЗАЦИЯ И ПОРЯДОК ПРОВЕДЕНИЯ МЕДИЦИНСКИХ ОСМОТРОВ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2.1. Целью предрейсовых медицинских осмотров водителей транспортных средств является выявление лиц, которые по медицинским показаниям не могут быть допущены к управлению автомобилем, как с позиции обеспечения безопасности дорожного движения, так и охраны здоровья водителей и пассажиров.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2.2. Предрейсовые медицинские осмотры проводятся медицинским персоналом учреждения.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2.3. Оказание услуг осуществляется в помещении «Исполнителя», с использованием собственного инвентаря, оборудования и других необходимых средств.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2.4. Предрейсовый медицинский осмотр включает проведение медицинским персоналом Исполнителя следующих мероприятий: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сбор анамнеза;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определение артериального давления и пульса у водителей;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при наличии показаний проведение любых других разрешенных медицинских исследований, необходимых для решения вопроса о допуске к работе водителя.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2.5. Водители не допускаются к управлению автомобилем в следующих случаях: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при выявлении признаков временной нетрудоспособности;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при положительной пробе на алкоголь, на другие психотропные вещества и наркотики</w:t>
        <w:br/>
        <w:t>в выдыхаемом воздухе или биологических субстратах;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при выявлении признаков воздействия наркотических веществ;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при выявлении воздействия лекарственных или иных веществ, отрицательно влияющих</w:t>
        <w:br/>
        <w:t>на работоспособность.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>2.6. При допуске к рейсу на путевых листах ставится штамп «Предрейсовый медицинский осмотр прошел» и подпись медицинского работника, проводившего осмотр.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</w:r>
    </w:p>
    <w:p>
      <w:pPr>
        <w:pStyle w:val="Normal"/>
        <w:widowControl/>
        <w:suppressAutoHyphens w:val="true"/>
        <w:bidi w:val="0"/>
        <w:ind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3. ОБЯЗАННОСТИ СТОРОН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3.1. Исполнитель обязан: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проводить предрейсовые освидетельствования водителей «Заказчика» в соответствии</w:t>
        <w:br/>
        <w:t>с условиями настоящего контракта;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предоставлять «Заказчику» документы необходимые для проведения расчетов за оказанную услугу;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принимать на своей базе круглосуточно.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3.2. Заказчик обязан: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 производить оплату за оказанную услугу в полном объеме и в сроки, оговоренные настоящим контрактом;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предоставить список водителей, подлежащих медицинскому осмотру перед выездом</w:t>
        <w:br/>
        <w:t>в рейс, на момент заключения контракта и вносить изменения в список по необходимости;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- водители автотранспортных средств должны явится на предрейсовый медицинский осмотр</w:t>
        <w:br/>
        <w:t>с путевым листом. После проведения предрейсового медицинского осмотра водитель Заказчика обязан расписаться в журнале Исполнителя.</w:t>
      </w:r>
    </w:p>
    <w:p>
      <w:pPr>
        <w:pStyle w:val="Normal"/>
        <w:ind w:start="360"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</w:r>
    </w:p>
    <w:p>
      <w:pPr>
        <w:pStyle w:val="Normal"/>
        <w:ind w:start="36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4. СТОИМОСТЬ РАБОТ И ПОРЯДОК РАСЧЕТОВ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color w:val="000000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4.1. Расчеты по настоящему контракту осуществляются на основании счетов, предъявленных Исполнителем.</w:t>
      </w:r>
    </w:p>
    <w:p>
      <w:pPr>
        <w:pStyle w:val="Normal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  <w:tab/>
        <w:t>4.2 Цена настоящего контракта составляет 1 914 (одна тысяча девятьсот четырнадцать</w:t>
      </w:r>
      <w:r>
        <w:rPr>
          <w:rFonts w:eastAsia="Times New Roman"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 xml:space="preserve">) руб. 00 </w:t>
      </w:r>
      <w:r>
        <w:rPr>
          <w:rFonts w:eastAsia="Times New Roman" w:cs="Liberation Serif;Times New Roman" w:ascii="Liberation Serif;Times New Roman" w:hAnsi="Liberation Serif;Times New Roman"/>
          <w:color w:val="000000"/>
          <w:sz w:val="22"/>
          <w:szCs w:val="22"/>
        </w:rPr>
        <w:t>коп., без НДС, за период с 20</w:t>
      </w:r>
      <w:r>
        <w:rPr>
          <w:rFonts w:eastAsia="Times New Roman"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 xml:space="preserve">.10.2026 г. по 30.11.2026 г., оплата за счет средств федерального бюджета </w:t>
      </w:r>
      <w:r>
        <w:rPr>
          <w:rFonts w:eastAsia="Times New Roman" w:cs="Liberation Serif;Times New Roman" w:ascii="Liberation Serif;Times New Roman" w:hAnsi="Liberation Serif;Times New Roman"/>
          <w:bCs/>
          <w:color w:val="000000"/>
          <w:sz w:val="22"/>
          <w:szCs w:val="22"/>
          <w:highlight w:val="white"/>
        </w:rPr>
        <w:t>2026 года по главе 322, разделу 03, подразделу 04, целевой статье 4240790049, виду расходов 244</w:t>
      </w:r>
      <w:r>
        <w:rPr>
          <w:rFonts w:eastAsia="Times New Roman"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 xml:space="preserve">. </w:t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 xml:space="preserve">Цена контракта является твердой и определяется на весь срок исполнения Контракта. Стоимость одного освидетельствования определяется на основании утвержденного расчета стоимости </w:t>
      </w:r>
      <w:r>
        <w:rPr>
          <w:rFonts w:eastAsia="Times New Roman"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>предрейсового медицинского осмотра и составляет 66 (шестьдесят шесть) руб. 00 коп., всего 29 осмотров.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4.3. Стоимость оказанных платных медицинских услуг определяется ежемесячно исходя</w:t>
        <w:br/>
        <w:t xml:space="preserve">из количества проведенных за отчетный месяц освидетельствований (предрейсовых медицинских осмотров) и тарифа за 1 (одно) освидетельствование согласно </w:t>
      </w:r>
      <w:r>
        <w:rPr>
          <w:rFonts w:cs="Liberation Serif;Times New Roman" w:ascii="Liberation Serif;Times New Roman" w:hAnsi="Liberation Serif;Times New Roman"/>
          <w:sz w:val="22"/>
          <w:szCs w:val="22"/>
          <w:highlight w:val="white"/>
        </w:rPr>
        <w:t xml:space="preserve">утвержденного расчета стоимости </w:t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 xml:space="preserve">предрейсового медицинского осмотра </w:t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  <w:t>И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>сполнителя, действующему в период оказания услуги.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  <w:t xml:space="preserve">4.4. Исполнитель направляет Заказчику акт об оказании услуг за отчетный месяц, счет и счет-фактуру (при наличии) за оказанные услуги. Заказчик оплачивает данный счет не 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>более 7 (семи) рабочих дней с даты подписания документов.</w:t>
      </w:r>
    </w:p>
    <w:p>
      <w:pPr>
        <w:pStyle w:val="Normal"/>
        <w:widowControl/>
        <w:suppressAutoHyphens w:val="true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4.5. При отсутствии претензий к качеству, количеству (объему) и другим существенным характеристикам услуг, в срок не более 10 (десяти) рабочих дней Заказчик оформляет Акт приемки ТРУ по форме ОКУД 0510452 согласна приказа Минфина от 15.04.2021 № 61н.</w:t>
      </w:r>
    </w:p>
    <w:p>
      <w:pPr>
        <w:pStyle w:val="Normal"/>
        <w:widowControl/>
        <w:suppressAutoHyphens w:val="true"/>
        <w:ind w:end="0"/>
        <w:jc w:val="both"/>
        <w:rPr>
          <w:rFonts w:ascii="Liberation Serif;Times New Roman" w:hAnsi="Liberation Serif;Times New Roman" w:cs="Liberation Serif;Times New Roman"/>
          <w:b/>
          <w:bCs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4.6. Заказчик производит оплату услуг в срок не более  7 (семи) рабочих дней с даты подписания документов о приемке.</w:t>
      </w:r>
    </w:p>
    <w:p>
      <w:pPr>
        <w:pStyle w:val="Normal"/>
        <w:ind w:start="36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5. ОТВЕТСТВЕННОСТЬ СТОРОН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5.1. Стороны несут ответственность за надлежащие исполнение условий контракта</w:t>
        <w:br/>
        <w:t>в установленном законодательством порядке.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5.2. Стороны обязаны уведомить друг друга об изменении своих реквизитов, в течение десяти дней после их изменения. (При изменении реквизитов одной сторон согласовывается путем подписания дополнительного соглашения).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ind w:start="360" w:end="0"/>
        <w:jc w:val="center"/>
        <w:rPr>
          <w:rFonts w:ascii="Liberation Serif;Times New Roman" w:hAnsi="Liberation Serif;Times New Roman" w:cs="Liberation Serif;Times New Roman"/>
          <w:color w:val="000000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6. СРОК ДЕЙСТВИЯ КОНТРАКТА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  <w:tab/>
        <w:t>6.1. Контракт вступает в силу с 20.10</w:t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  <w:highlight w:val="white"/>
        </w:rPr>
        <w:t>.2026 г. по 30.11.2026</w:t>
      </w:r>
      <w:r>
        <w:rPr>
          <w:rFonts w:cs="Liberation Serif;Times New Roman" w:ascii="Liberation Serif;Times New Roman" w:hAnsi="Liberation Serif;Times New Roman"/>
          <w:color w:val="000000"/>
          <w:sz w:val="22"/>
          <w:szCs w:val="22"/>
        </w:rPr>
        <w:t xml:space="preserve"> г., а в</w:t>
      </w:r>
      <w:r>
        <w:rPr>
          <w:rFonts w:cs="Liberation Serif;Times New Roman" w:ascii="Liberation Serif;Times New Roman" w:hAnsi="Liberation Serif;Times New Roman"/>
          <w:sz w:val="22"/>
          <w:szCs w:val="22"/>
        </w:rPr>
        <w:t xml:space="preserve"> части расчетов по настоящему контракта до полного исполнения сторонами своих обязательств. Дата окончания исполнения контракта 25.12.2026.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6.2. О намерении расторжения контракта стороны уведомляют друг друга за 30 дней</w:t>
        <w:br/>
        <w:t>до предполагаемой даты расторжения.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6.3. Контракт может быть расторгнут по требованию Исполнителя без соблюдения срока извещения в один месяц, в случае нарушений сроков оплаты услуг Исполнителя Заказчиком.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6.4. Изменения, дополнения в условия настоящего контракта вносят по согласию стороны</w:t>
        <w:br/>
        <w:t>в письменном виде.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6.5. Настоящий контракт составлен в двух экземплярах, имеющих равную юридическую силу, по одному для каждой из сторон.</w:t>
      </w:r>
    </w:p>
    <w:p>
      <w:pPr>
        <w:pStyle w:val="Normal"/>
        <w:ind w:start="36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Normal"/>
        <w:ind w:start="360" w:end="0"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bCs/>
          <w:sz w:val="22"/>
          <w:szCs w:val="22"/>
        </w:rPr>
        <w:t>7. ПОРЯДОК РАЗРЕШЕНИЯ СПОРОВ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7.1. 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>
      <w:pPr>
        <w:pStyle w:val="ConsPlusNormal"/>
        <w:bidi w:val="0"/>
        <w:ind w:hanging="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7.2.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>
      <w:pPr>
        <w:pStyle w:val="ConsPlusNormal"/>
        <w:bidi w:val="0"/>
        <w:ind w:hanging="0"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7.3. Срок рассмотрения претензии не может превышать 10 (десяти)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  <w:tab/>
        <w:t>7.4. При не урегулировании Сторонами спора в досудебном порядке, спор разрешается в судебном порядке в Арбитражном суде Брянской области.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p>
      <w:pPr>
        <w:pStyle w:val="Style26"/>
        <w:widowControl/>
        <w:suppressAutoHyphens w:val="true"/>
        <w:bidi w:val="0"/>
        <w:spacing w:before="0" w:after="0"/>
        <w:ind w:hanging="624" w:start="680" w:end="0"/>
        <w:contextualSpacing/>
        <w:jc w:val="center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b/>
          <w:color w:val="000000"/>
          <w:sz w:val="22"/>
          <w:szCs w:val="22"/>
        </w:rPr>
        <w:t>8. ЮРИДИЧЕСКИЕ АДРЕСА СТОРОН, РЕКВИЗИТЫ И ПОДПИСИ СТОРОН</w:t>
      </w:r>
    </w:p>
    <w:p>
      <w:pPr>
        <w:pStyle w:val="Normal"/>
        <w:widowControl/>
        <w:suppressAutoHyphens w:val="true"/>
        <w:bidi w:val="0"/>
        <w:ind w:end="0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05"/>
        <w:gridCol w:w="4544"/>
        <w:gridCol w:w="54"/>
        <w:gridCol w:w="4704"/>
        <w:gridCol w:w="515"/>
      </w:tblGrid>
      <w:tr>
        <w:trPr>
          <w:trHeight w:val="5265" w:hRule="atLeast"/>
        </w:trPr>
        <w:tc>
          <w:tcPr>
            <w:tcW w:w="105" w:type="dxa"/>
            <w:tcBorders/>
          </w:tcPr>
          <w:p>
            <w:pPr>
              <w:pStyle w:val="Style20"/>
              <w:snapToGrid w:val="false"/>
              <w:rPr>
                <w:rFonts w:ascii="Liberation Serif;Times New Roman" w:hAnsi="Liberation Serif;Times New Roman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</w:rPr>
            </w:r>
          </w:p>
        </w:tc>
        <w:tc>
          <w:tcPr>
            <w:tcW w:w="4544" w:type="dxa"/>
            <w:tcBorders>
              <w:top w:val="single" w:sz="4" w:space="0" w:color="FFFFFF"/>
              <w:start w:val="single" w:sz="4" w:space="0" w:color="FFFFFF"/>
              <w:bottom w:val="single" w:sz="4" w:space="0" w:color="FFFFFF"/>
            </w:tcBorders>
            <w:tcMar>
              <w:start w:w="108" w:type="dxa"/>
              <w:end w:w="108" w:type="dxa"/>
            </w:tcMar>
          </w:tcPr>
          <w:p>
            <w:pPr>
              <w:pStyle w:val="Normal"/>
              <w:snapToGrid w:val="false"/>
              <w:jc w:val="center"/>
              <w:rPr>
                <w:rFonts w:ascii="Liberation Serif;Times New Roman" w:hAnsi="Liberation Serif;Times New Roman" w:cs="Liberation Serif;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</w:rPr>
              <w:t>«Исполнитель»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  <w:p>
            <w:pPr>
              <w:pStyle w:val="Normal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Liberation Serif;Times New Roman" w:hAnsi="Liberation Serif;Times New Roman" w:eastAsia="Liberation Serif;Times New Roman" w:cs="Liberation Serif;Times New Roman"/>
                <w:b/>
                <w:bCs/>
                <w:color w:val="000000"/>
                <w:sz w:val="22"/>
                <w:szCs w:val="22"/>
                <w:vertAlign w:val="subscript"/>
              </w:rPr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  <w:vertAlign w:val="subscript"/>
              </w:rPr>
            </w:r>
          </w:p>
        </w:tc>
        <w:tc>
          <w:tcPr>
            <w:tcW w:w="5273" w:type="dxa"/>
            <w:gridSpan w:val="3"/>
            <w:tcBorders>
              <w:top w:val="single" w:sz="4" w:space="0" w:color="FFFFFF"/>
              <w:start w:val="single" w:sz="4" w:space="0" w:color="FFFFFF"/>
              <w:bottom w:val="single" w:sz="4" w:space="0" w:color="FFFFFF"/>
              <w:end w:val="single" w:sz="4" w:space="0" w:color="FFFFFF"/>
            </w:tcBorders>
            <w:tcMar>
              <w:start w:w="108" w:type="dxa"/>
              <w:end w:w="108" w:type="dxa"/>
            </w:tcMar>
          </w:tcPr>
          <w:p>
            <w:pPr>
              <w:pStyle w:val="Normal"/>
              <w:ind w:end="-23"/>
              <w:jc w:val="center"/>
              <w:rPr>
                <w:rFonts w:ascii="Liberation Serif;Times New Roman" w:hAnsi="Liberation Serif;Times New Roman" w:eastAsia="Liberation Serif;Times New Roman" w:cs="Liberation Serif;Times New Roman"/>
                <w:b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  <w:t>«Заказчик»</w:t>
            </w:r>
          </w:p>
          <w:p>
            <w:pPr>
              <w:pStyle w:val="Style25"/>
              <w:bidi w:val="0"/>
              <w:jc w:val="start"/>
              <w:rPr>
                <w:rFonts w:ascii="Liberation Serif;Times New Roman" w:hAnsi="Liberation Serif;Times New Roman" w:cs="Liberation Serif;Times New Roman"/>
                <w:b w:val="false"/>
                <w:bCs w:val="false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 w:eastAsia="ru-RU"/>
              </w:rPr>
              <w:t>Управление Федеральной службы судебных приставов по Брянской области</w:t>
            </w:r>
          </w:p>
          <w:p>
            <w:pPr>
              <w:pStyle w:val="Footer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color w:val="000000"/>
                <w:sz w:val="22"/>
                <w:szCs w:val="22"/>
                <w:lang w:val="ru-RU" w:eastAsia="ru-RU"/>
              </w:rPr>
              <w:t>(УФССП России по Брянской области)</w:t>
            </w:r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</w:rPr>
              <w:t xml:space="preserve">Юридический адрес: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241050, г. Брянск, </w:t>
            </w:r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>ул. Дуки, д. 59 А</w:t>
            </w:r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/>
              </w:rPr>
              <w:t xml:space="preserve">Почтовый адрес: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241050, г. Брянск, </w:t>
            </w:r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>ул. Дуки, д. 59 А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</w:rPr>
              <w:t>Тел.: (</w:t>
            </w:r>
            <w:r>
              <w:rPr>
                <w:rFonts w:cs="Liberation Serif;Times New Roman" w:ascii="Liberation Serif;Times New Roman" w:hAnsi="Liberation Serif;Times New Roman"/>
                <w:b w:val="false"/>
                <w:bCs w:val="false"/>
                <w:color w:val="000000"/>
                <w:sz w:val="22"/>
                <w:szCs w:val="22"/>
              </w:rPr>
              <w:t>4832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>) 66-92-53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  <w:lang w:val="ru-RU" w:eastAsia="ru-RU"/>
              </w:rPr>
              <w:t>Факс: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  (4832) 66-92-53 </w:t>
            </w:r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val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rFonts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  <w:lang w:val="ru-RU"/>
              </w:rPr>
              <w:t>-</w:t>
            </w:r>
            <w:r>
              <w:rPr>
                <w:rFonts w:cs="Liberation Serif;Times New Roman" w:ascii="Liberation Serif;Times New Roman" w:hAnsi="Liberation Serif;Times New Roman"/>
                <w:b/>
                <w:bCs/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/>
              </w:rPr>
              <w:t xml:space="preserve">: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u w:val="none"/>
                <w:lang w:val="ru-RU"/>
              </w:rPr>
              <w:t xml:space="preserve"> </w:t>
            </w:r>
            <w:hyperlink r:id="rId2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en-US"/>
                </w:rPr>
                <w:t>mto</w:t>
              </w:r>
            </w:hyperlink>
            <w:hyperlink r:id="rId3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ru-RU"/>
                </w:rPr>
                <w:t>@</w:t>
              </w:r>
            </w:hyperlink>
            <w:hyperlink r:id="rId4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en-US"/>
                </w:rPr>
                <w:t>r</w:t>
              </w:r>
            </w:hyperlink>
            <w:hyperlink r:id="rId5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ru-RU"/>
                </w:rPr>
                <w:t>32.</w:t>
              </w:r>
            </w:hyperlink>
            <w:hyperlink r:id="rId6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en-US"/>
                </w:rPr>
                <w:t>fssp.gov</w:t>
              </w:r>
            </w:hyperlink>
            <w:hyperlink r:id="rId7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ru-RU"/>
                </w:rPr>
                <w:t>.</w:t>
              </w:r>
            </w:hyperlink>
            <w:hyperlink r:id="rId8">
              <w:r>
                <w:rPr>
                  <w:rStyle w:val="Hyperlink"/>
                  <w:rFonts w:cs="Liberation Serif;Times New Roman" w:ascii="Liberation Serif;Times New Roman" w:hAnsi="Liberation Serif;Times New Roman"/>
                  <w:color w:val="000000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>
            <w:pPr>
              <w:pStyle w:val="22"/>
              <w:spacing w:lineRule="auto" w:line="240" w:before="0" w:after="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/>
              </w:rPr>
              <w:t xml:space="preserve">ИНН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3250057358 </w:t>
            </w: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/>
              </w:rPr>
              <w:t xml:space="preserve">КПП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325701001     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eastAsia="ru-RU"/>
              </w:rPr>
              <w:t>БИК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kern w:val="2"/>
                <w:sz w:val="22"/>
                <w:szCs w:val="22"/>
              </w:rPr>
              <w:t>012202102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 w:eastAsia="ru-RU"/>
              </w:rPr>
              <w:t>ОГРН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 1043244052070    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 w:eastAsia="ru-RU"/>
              </w:rPr>
              <w:t>ОКПО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 71148373  </w:t>
            </w:r>
          </w:p>
          <w:p>
            <w:pPr>
              <w:pStyle w:val="Normal"/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  <w:lang w:val="ru-RU" w:eastAsia="ru-RU"/>
              </w:rPr>
              <w:t>ОКТМО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  <w:lang w:val="ru-RU" w:eastAsia="ru-RU"/>
              </w:rPr>
              <w:t xml:space="preserve"> 15701000001</w:t>
            </w:r>
          </w:p>
          <w:p>
            <w:pPr>
              <w:pStyle w:val="Normal"/>
              <w:tabs>
                <w:tab w:val="clear" w:pos="708"/>
                <w:tab w:val="left" w:pos="2694" w:leader="none"/>
              </w:tabs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</w:rPr>
              <w:t>код налоговой 3257</w:t>
            </w:r>
          </w:p>
          <w:p>
            <w:pPr>
              <w:pStyle w:val="Normal"/>
              <w:tabs>
                <w:tab w:val="clear" w:pos="708"/>
                <w:tab w:val="left" w:pos="2694" w:leader="none"/>
              </w:tabs>
              <w:spacing w:lineRule="auto" w:line="240"/>
              <w:jc w:val="start"/>
              <w:rPr>
                <w:rFonts w:ascii="Liberation Serif;Times New Roman" w:hAnsi="Liberation Serif;Times New Roman" w:cs="Liberation Serif;Times New Roman"/>
                <w:b/>
                <w:color w:val="000000"/>
                <w:kern w:val="2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sz w:val="22"/>
                <w:szCs w:val="22"/>
              </w:rPr>
              <w:t>л/с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</w:rPr>
              <w:t xml:space="preserve"> 03271785260 в Управлении Федерального казначейства по Брянской области г. Брянск</w:t>
            </w:r>
          </w:p>
          <w:p>
            <w:pPr>
              <w:pStyle w:val="Style24"/>
              <w:kinsoku w:val="false"/>
              <w:overflowPunct w:val="false"/>
              <w:spacing w:lineRule="auto" w:line="240" w:before="0" w:after="0"/>
              <w:jc w:val="start"/>
              <w:textAlignment w:val="baseline"/>
              <w:rPr>
                <w:rFonts w:ascii="Liberation Serif;Times New Roman" w:hAnsi="Liberation Serif;Times New Roman" w:cs="Liberation Serif;Times New Roman"/>
                <w:b/>
                <w:color w:val="000000"/>
                <w:kern w:val="2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kern w:val="2"/>
                <w:sz w:val="22"/>
                <w:szCs w:val="22"/>
              </w:rPr>
              <w:t>р/с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kern w:val="2"/>
                <w:sz w:val="22"/>
                <w:szCs w:val="22"/>
              </w:rPr>
              <w:t xml:space="preserve"> 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sz w:val="22"/>
                <w:szCs w:val="22"/>
              </w:rPr>
              <w:t>03211643000000013227</w:t>
            </w:r>
          </w:p>
          <w:p>
            <w:pPr>
              <w:pStyle w:val="Style24"/>
              <w:kinsoku w:val="false"/>
              <w:overflowPunct w:val="false"/>
              <w:spacing w:lineRule="auto" w:line="240" w:before="0" w:after="0"/>
              <w:jc w:val="start"/>
              <w:textAlignment w:val="baseline"/>
              <w:rPr>
                <w:rFonts w:ascii="Liberation Serif;Times New Roman" w:hAnsi="Liberation Serif;Times New Roman" w:eastAsia="Times New Roman" w:cs="Liberation Serif;Times New Roman"/>
                <w:b/>
                <w:bCs w:val="false"/>
                <w:color w:val="000000"/>
                <w:kern w:val="2"/>
                <w:sz w:val="22"/>
                <w:szCs w:val="22"/>
                <w:shd w:fill="auto" w:val="clear"/>
              </w:rPr>
            </w:pPr>
            <w:r>
              <w:rPr>
                <w:rFonts w:cs="Liberation Serif;Times New Roman" w:ascii="Liberation Serif;Times New Roman" w:hAnsi="Liberation Serif;Times New Roman"/>
                <w:b/>
                <w:color w:val="000000"/>
                <w:kern w:val="2"/>
                <w:sz w:val="22"/>
                <w:szCs w:val="22"/>
              </w:rPr>
              <w:t>Банк: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kern w:val="2"/>
                <w:sz w:val="22"/>
                <w:szCs w:val="22"/>
              </w:rPr>
              <w:t xml:space="preserve"> О</w:t>
            </w:r>
            <w:r>
              <w:rPr>
                <w:rFonts w:cs="Liberation Serif;Times New Roman" w:ascii="Liberation Serif;Times New Roman" w:hAnsi="Liberation Serif;Times New Roman"/>
                <w:color w:val="000000"/>
                <w:kern w:val="2"/>
                <w:sz w:val="22"/>
                <w:szCs w:val="22"/>
              </w:rPr>
              <w:t>КЦ № 1 ВВГУ Банка России//УФК по</w:t>
              <w:br/>
              <w:t>Нижегородской области, г. Нижний Новгород</w:t>
            </w:r>
          </w:p>
          <w:p>
            <w:pPr>
              <w:pStyle w:val="Style25"/>
              <w:bidi w:val="0"/>
              <w:jc w:val="start"/>
              <w:rPr>
                <w:rFonts w:ascii="Liberation Serif;Times New Roman" w:hAnsi="Liberation Serif;Times New Roman" w:eastAsia="Times New Roman" w:cs="Liberation Serif;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/>
                <w:bCs w:val="false"/>
                <w:color w:val="000000"/>
                <w:kern w:val="2"/>
                <w:sz w:val="22"/>
                <w:szCs w:val="22"/>
                <w:shd w:fill="auto" w:val="clear"/>
              </w:rPr>
              <w:t>к/с</w:t>
            </w: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</w:rPr>
              <w:t xml:space="preserve"> 40102810745370000024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color w:val="000000"/>
                <w:kern w:val="2"/>
                <w:sz w:val="22"/>
                <w:szCs w:val="22"/>
              </w:rPr>
              <w:t xml:space="preserve">             </w:t>
            </w:r>
          </w:p>
          <w:p>
            <w:pPr>
              <w:pStyle w:val="Normal"/>
              <w:jc w:val="both"/>
              <w:rPr>
                <w:rFonts w:ascii="Liberation Serif;Times New Roman" w:hAnsi="Liberation Serif;Times New Roman" w:eastAsia="Times New Roman" w:cs="Liberation Serif;Times New Roman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sz w:val="22"/>
                <w:szCs w:val="22"/>
                <w:lang w:val="ru-RU" w:eastAsia="ru-RU"/>
              </w:rPr>
            </w:r>
          </w:p>
          <w:p>
            <w:pPr>
              <w:pStyle w:val="Normal"/>
              <w:jc w:val="both"/>
              <w:rPr>
                <w:rFonts w:ascii="Liberation Serif;Times New Roman" w:hAnsi="Liberation Serif;Times New Roman" w:eastAsia="Times New Roman" w:cs="Liberation Serif;Times New Roman"/>
                <w:b w:val="false"/>
                <w:bCs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4703" w:type="dxa"/>
            <w:gridSpan w:val="3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snapToGrid w:val="false"/>
              <w:spacing w:lineRule="auto" w:line="240"/>
              <w:jc w:val="start"/>
              <w:rPr>
                <w:rFonts w:ascii="Liberation Serif;Times New Roman" w:hAnsi="Liberation Serif;Times New Roman" w:eastAsia="Times New Roman" w:cs="Liberation Serif;Times New Roman"/>
                <w:b w:val="false"/>
                <w:bCs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Liberation Serif;Times New Roman" w:ascii="Liberation Serif;Times New Roman" w:hAnsi="Liberation Serif;Times New Roman"/>
                <w:b w:val="false"/>
                <w:bCs w:val="false"/>
                <w:sz w:val="22"/>
                <w:szCs w:val="22"/>
                <w:lang w:val="ru-RU" w:eastAsia="ru-RU"/>
              </w:rPr>
            </w:r>
          </w:p>
        </w:tc>
        <w:tc>
          <w:tcPr>
            <w:tcW w:w="4704" w:type="dxa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Style19"/>
              <w:jc w:val="both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cs="Liberation Serif;Times New Roman" w:ascii="Liberation Serif;Times New Roman" w:hAnsi="Liberation Serif;Times New Roman"/>
                <w:b/>
                <w:bCs/>
                <w:sz w:val="22"/>
                <w:szCs w:val="22"/>
              </w:rPr>
              <w:t>УФССП России по Брянской области</w:t>
            </w:r>
          </w:p>
        </w:tc>
        <w:tc>
          <w:tcPr>
            <w:tcW w:w="515" w:type="dxa"/>
            <w:tcBorders/>
          </w:tcPr>
          <w:p>
            <w:pPr>
              <w:pStyle w:val="Normal"/>
              <w:snapToGrid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</w:tc>
      </w:tr>
      <w:tr>
        <w:trPr/>
        <w:tc>
          <w:tcPr>
            <w:tcW w:w="4703" w:type="dxa"/>
            <w:gridSpan w:val="3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Style19"/>
              <w:snapToGrid w:val="false"/>
              <w:jc w:val="both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</w:tc>
        <w:tc>
          <w:tcPr>
            <w:tcW w:w="4704" w:type="dxa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Style19"/>
              <w:jc w:val="both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sz w:val="22"/>
                <w:szCs w:val="22"/>
              </w:rPr>
              <w:t xml:space="preserve">       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sz w:val="22"/>
                <w:szCs w:val="22"/>
              </w:rPr>
              <w:t>Заместитель р</w:t>
            </w: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уководителя</w:t>
            </w:r>
          </w:p>
        </w:tc>
        <w:tc>
          <w:tcPr>
            <w:tcW w:w="515" w:type="dxa"/>
            <w:tcBorders/>
          </w:tcPr>
          <w:p>
            <w:pPr>
              <w:pStyle w:val="Normal"/>
              <w:snapToGrid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</w:tc>
      </w:tr>
      <w:tr>
        <w:trPr/>
        <w:tc>
          <w:tcPr>
            <w:tcW w:w="4703" w:type="dxa"/>
            <w:gridSpan w:val="3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Style19"/>
              <w:snapToGrid w:val="false"/>
              <w:jc w:val="both"/>
              <w:rPr>
                <w:rFonts w:ascii="Liberation Serif;Times New Roman" w:hAnsi="Liberation Serif;Times New Roman" w:cs="Liberation Serif;Times New Roman"/>
                <w:sz w:val="22"/>
                <w:szCs w:val="22"/>
                <w:vertAlign w:val="subscript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vertAlign w:val="subscript"/>
              </w:rPr>
            </w:r>
          </w:p>
        </w:tc>
        <w:tc>
          <w:tcPr>
            <w:tcW w:w="4704" w:type="dxa"/>
            <w:tcBorders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Style19"/>
              <w:jc w:val="both"/>
              <w:rPr>
                <w:rFonts w:ascii="Liberation Serif;Times New Roman" w:hAnsi="Liberation Serif;Times New Roman" w:eastAsia="Liberation Serif;Times New Roman" w:cs="Liberation Serif;Times New Roman"/>
                <w:sz w:val="22"/>
                <w:szCs w:val="22"/>
              </w:rPr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sz w:val="22"/>
                <w:szCs w:val="22"/>
              </w:rPr>
              <w:t xml:space="preserve">       </w:t>
            </w: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  <w:t>________________   В.В. Осипов</w:t>
            </w:r>
          </w:p>
          <w:p>
            <w:pPr>
              <w:pStyle w:val="Style19"/>
              <w:jc w:val="both"/>
              <w:rPr/>
            </w:pPr>
            <w:r>
              <w:rPr>
                <w:rFonts w:eastAsia="Liberation Serif;Times New Roman" w:cs="Liberation Serif;Times New Roman" w:ascii="Liberation Serif;Times New Roman" w:hAnsi="Liberation Serif;Times New Roman"/>
                <w:sz w:val="22"/>
                <w:szCs w:val="22"/>
              </w:rPr>
              <w:t xml:space="preserve">       </w:t>
            </w: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  <w:vertAlign w:val="subscript"/>
              </w:rPr>
              <w:t>М.П.</w:t>
            </w:r>
          </w:p>
        </w:tc>
        <w:tc>
          <w:tcPr>
            <w:tcW w:w="515" w:type="dxa"/>
            <w:tcBorders/>
          </w:tcPr>
          <w:p>
            <w:pPr>
              <w:pStyle w:val="Normal"/>
              <w:snapToGrid w:val="false"/>
              <w:rPr>
                <w:rFonts w:ascii="Liberation Serif;Times New Roman" w:hAnsi="Liberation Serif;Times New Roman" w:cs="Liberation Serif;Times New Roman"/>
                <w:sz w:val="22"/>
                <w:szCs w:val="22"/>
              </w:rPr>
            </w:pPr>
            <w:r>
              <w:rPr>
                <w:rFonts w:cs="Liberation Serif;Times New Roman" w:ascii="Liberation Serif;Times New Roman" w:hAnsi="Liberation Serif;Times New Roman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Liberation Serif;Times New Roman" w:hAnsi="Liberation Serif;Times New Roman" w:cs="Liberation Serif;Times New Roman"/>
          <w:sz w:val="22"/>
          <w:szCs w:val="22"/>
        </w:rPr>
      </w:pPr>
      <w:r>
        <w:rPr>
          <w:rFonts w:cs="Liberation Serif;Times New Roman" w:ascii="Liberation Serif;Times New Roman" w:hAnsi="Liberation Serif;Times New Roman"/>
          <w:sz w:val="22"/>
          <w:szCs w:val="22"/>
        </w:rPr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01"/>
    <w:family w:val="swiss"/>
    <w:pitch w:val="variable"/>
  </w:font>
  <w:font w:name="Calibri">
    <w:charset w:val="cc" w:characterSet="windows-1251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start"/>
      <w:pPr>
        <w:tabs>
          <w:tab w:val="num" w:pos="1080"/>
        </w:tabs>
        <w:ind w:start="108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start"/>
      <w:pPr>
        <w:tabs>
          <w:tab w:val="num" w:pos="1080"/>
        </w:tabs>
        <w:ind w:start="1080" w:hanging="720"/>
      </w:pPr>
      <w:rPr>
        <w:b/>
        <w:bCs/>
        <w:sz w:val="24"/>
        <w:szCs w:val="24"/>
      </w:rPr>
    </w:lvl>
    <w:lvl w:ilvl="3">
      <w:start w:val="1"/>
      <w:numFmt w:val="decimal"/>
      <w:lvlText w:val="%1.%2.%3.%4."/>
      <w:lvlJc w:val="start"/>
      <w:pPr>
        <w:tabs>
          <w:tab w:val="num" w:pos="1440"/>
        </w:tabs>
        <w:ind w:start="1440" w:hanging="1080"/>
      </w:pPr>
      <w:rPr>
        <w:b/>
        <w:bCs/>
        <w:sz w:val="24"/>
        <w:szCs w:val="24"/>
      </w:rPr>
    </w:lvl>
    <w:lvl w:ilvl="4">
      <w:start w:val="1"/>
      <w:numFmt w:val="decimal"/>
      <w:lvlText w:val="%1.%2.%3.%4.%5."/>
      <w:lvlJc w:val="start"/>
      <w:pPr>
        <w:tabs>
          <w:tab w:val="num" w:pos="1440"/>
        </w:tabs>
        <w:ind w:start="1440" w:hanging="1080"/>
      </w:pPr>
      <w:rPr>
        <w:b/>
        <w:bCs/>
        <w:sz w:val="24"/>
        <w:szCs w:val="24"/>
      </w:rPr>
    </w:lvl>
    <w:lvl w:ilvl="5">
      <w:start w:val="1"/>
      <w:numFmt w:val="decimal"/>
      <w:lvlText w:val="%1.%2.%3.%4.%5.%6."/>
      <w:lvlJc w:val="start"/>
      <w:pPr>
        <w:tabs>
          <w:tab w:val="num" w:pos="1800"/>
        </w:tabs>
        <w:ind w:start="1800" w:hanging="1440"/>
      </w:pPr>
      <w:rPr>
        <w:b/>
        <w:bCs/>
        <w:sz w:val="24"/>
        <w:szCs w:val="24"/>
      </w:rPr>
    </w:lvl>
    <w:lvl w:ilvl="6">
      <w:start w:val="1"/>
      <w:numFmt w:val="decimal"/>
      <w:lvlText w:val="%1.%2.%3.%4.%5.%6.%7."/>
      <w:lvlJc w:val="start"/>
      <w:pPr>
        <w:tabs>
          <w:tab w:val="num" w:pos="2160"/>
        </w:tabs>
        <w:ind w:start="2160" w:hanging="1800"/>
      </w:pPr>
      <w:rPr>
        <w:b/>
        <w:bCs/>
        <w:sz w:val="24"/>
        <w:szCs w:val="24"/>
      </w:rPr>
    </w:lvl>
    <w:lvl w:ilvl="7">
      <w:start w:val="1"/>
      <w:numFmt w:val="decimal"/>
      <w:lvlText w:val="%1.%2.%3.%4.%5.%6.%7.%8."/>
      <w:lvlJc w:val="start"/>
      <w:pPr>
        <w:tabs>
          <w:tab w:val="num" w:pos="2160"/>
        </w:tabs>
        <w:ind w:start="2160" w:hanging="1800"/>
      </w:pPr>
      <w:rPr>
        <w:b/>
        <w:bCs/>
        <w:sz w:val="24"/>
        <w:szCs w:val="24"/>
      </w:rPr>
    </w:lvl>
    <w:lvl w:ilvl="8">
      <w:start w:val="1"/>
      <w:numFmt w:val="decimal"/>
      <w:lvlText w:val="%1.%2.%3.%4.%5.%6.%7.%8.%9."/>
      <w:lvlJc w:val="start"/>
      <w:pPr>
        <w:tabs>
          <w:tab w:val="num" w:pos="2520"/>
        </w:tabs>
        <w:ind w:start="2520" w:hanging="2160"/>
      </w:pPr>
      <w:rPr>
        <w:b/>
        <w:bCs/>
        <w:sz w:val="24"/>
        <w:szCs w:val="24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ru-RU" w:eastAsia="zh-CN"/>
    </w:rPr>
  </w:style>
  <w:style w:type="character" w:styleId="WW8Num2z0">
    <w:name w:val="WW8Num2z0"/>
    <w:qFormat/>
    <w:rPr>
      <w:b/>
      <w:bCs/>
      <w:sz w:val="24"/>
      <w:szCs w:val="24"/>
    </w:rPr>
  </w:style>
  <w:style w:type="character" w:styleId="WW8Num1z0">
    <w:name w:val="WW8Num1z0"/>
    <w:qFormat/>
    <w:rPr>
      <w:b/>
      <w:bCs/>
      <w:sz w:val="24"/>
      <w:szCs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>
      <w:sz w:val="26"/>
      <w:szCs w:val="26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Style14">
    <w:name w:val="Основной шрифт абзаца"/>
    <w:qFormat/>
    <w:rPr/>
  </w:style>
  <w:style w:type="character" w:styleId="3">
    <w:name w:val="Основной шрифт абзаца3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16">
    <w:name w:val="Символ нумерации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user">
    <w:name w:val="Символ нумерации (user)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;MS Gothi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Lohit Devanagari;MS Gothic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Tahoma" w:cs="Lohit Devanagari;MS Gothic"/>
      <w:sz w:val="28"/>
      <w:szCs w:val="28"/>
    </w:rPr>
  </w:style>
  <w:style w:type="paragraph" w:styleId="31">
    <w:name w:val="Указатель3"/>
    <w:basedOn w:val="Normal"/>
    <w:qFormat/>
    <w:pPr>
      <w:suppressLineNumbers/>
    </w:pPr>
    <w:rPr>
      <w:rFonts w:cs="Lohit Devanagari;MS Gothic"/>
    </w:rPr>
  </w:style>
  <w:style w:type="paragraph" w:styleId="12">
    <w:name w:val="Название1"/>
    <w:basedOn w:val="Normal"/>
    <w:qFormat/>
    <w:pPr>
      <w:suppressLineNumbers/>
      <w:spacing w:before="120" w:after="120"/>
    </w:pPr>
    <w:rPr>
      <w:rFonts w:cs="Lohit Devanagari;MS Gothic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Lohit Devanagari;MS Gothic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Lohit Devanagari;MS Gothic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Lohit Devanagari;MS Gothic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Style21">
    <w:name w:val="Текст выноски"/>
    <w:basedOn w:val="Normal"/>
    <w:qFormat/>
    <w:pPr/>
    <w:rPr>
      <w:rFonts w:ascii="Segoe UI" w:hAnsi="Segoe UI" w:cs="Segoe UI"/>
      <w:sz w:val="18"/>
      <w:szCs w:val="18"/>
      <w:lang w:val="ru-RU"/>
    </w:rPr>
  </w:style>
  <w:style w:type="paragraph" w:styleId="4">
    <w:name w:val="Обычный4"/>
    <w:qFormat/>
    <w:pPr>
      <w:widowControl w:val="false"/>
      <w:suppressAutoHyphens w:val="true"/>
      <w:bidi w:val="0"/>
      <w:spacing w:lineRule="auto" w:line="300"/>
      <w:ind w:firstLine="720" w:start="0" w:end="0"/>
      <w:jc w:val="both"/>
    </w:pPr>
    <w:rPr>
      <w:rFonts w:ascii="Times New Roman" w:hAnsi="Times New Roman" w:eastAsia="Times New Roman" w:cs="Times New Roman"/>
      <w:color w:val="auto"/>
      <w:sz w:val="24"/>
      <w:szCs w:val="20"/>
      <w:lang w:bidi="ar-SA" w:val="ru-RU" w:eastAsia="zh-CN"/>
    </w:rPr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3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/>
    <w:rPr/>
  </w:style>
  <w:style w:type="paragraph" w:styleId="22">
    <w:name w:val="Основной текст 22"/>
    <w:basedOn w:val="Normal"/>
    <w:qFormat/>
    <w:pPr>
      <w:spacing w:lineRule="auto" w:line="480" w:before="0" w:after="120"/>
    </w:pPr>
    <w:rPr>
      <w:lang w:val="ru-RU"/>
    </w:rPr>
  </w:style>
  <w:style w:type="paragraph" w:styleId="Style24">
    <w:name w:val="Обычный (веб)"/>
    <w:basedOn w:val="Normal"/>
    <w:qFormat/>
    <w:pPr>
      <w:suppressAutoHyphens w:val="false"/>
      <w:spacing w:lineRule="auto" w:line="276" w:before="280" w:after="142"/>
    </w:pPr>
    <w:rPr>
      <w:rFonts w:eastAsia="Times New Roman"/>
      <w:sz w:val="24"/>
      <w:szCs w:val="24"/>
      <w:lang w:val="ru-RU"/>
    </w:rPr>
  </w:style>
  <w:style w:type="paragraph" w:styleId="ConsPlusNormal">
    <w:name w:val="ConsPlusNormal"/>
    <w:qFormat/>
    <w:pPr>
      <w:widowControl w:val="false"/>
      <w:suppressAutoHyphens w:val="tru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eastAsia="zh-CN" w:bidi="hi-IN"/>
    </w:rPr>
  </w:style>
  <w:style w:type="paragraph" w:styleId="Style25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bidi="ar-SA" w:val="ru-RU" w:eastAsia="zh-CN"/>
    </w:rPr>
  </w:style>
  <w:style w:type="paragraph" w:styleId="Header">
    <w:name w:val="header"/>
    <w:basedOn w:val="Style22"/>
    <w:pPr>
      <w:suppressLineNumbers/>
      <w:tabs>
        <w:tab w:val="clear" w:pos="4819"/>
        <w:tab w:val="clear" w:pos="9638"/>
        <w:tab w:val="center" w:pos="4876" w:leader="none"/>
        <w:tab w:val="right" w:pos="9752" w:leader="none"/>
      </w:tabs>
    </w:pPr>
    <w:rPr/>
  </w:style>
  <w:style w:type="paragraph" w:styleId="Style26">
    <w:name w:val="Абзац списка"/>
    <w:basedOn w:val="Normal"/>
    <w:qFormat/>
    <w:pPr>
      <w:widowControl/>
      <w:suppressAutoHyphens w:val="true"/>
      <w:bidi w:val="0"/>
      <w:spacing w:before="0" w:after="0"/>
      <w:ind w:hanging="0" w:start="720" w:end="0"/>
      <w:contextualSpacing/>
      <w:jc w:val="start"/>
    </w:pPr>
    <w:rPr>
      <w:color w:val="auto"/>
    </w:rPr>
  </w:style>
  <w:style w:type="paragraph" w:styleId="Caption1111111111111111111111111111111111">
    <w:name w:val="Caption1111111111111111111111111111111111"/>
    <w:basedOn w:val="Normal"/>
    <w:qFormat/>
    <w:pPr>
      <w:widowControl/>
      <w:suppressAutoHyphens w:val="true"/>
      <w:bidi w:val="0"/>
      <w:spacing w:before="120" w:after="120"/>
      <w:jc w:val="start"/>
    </w:pPr>
    <w:rPr>
      <w:rFonts w:cs="Lohit Devanagari"/>
      <w:i/>
      <w:iCs/>
      <w:color w:val="auto"/>
      <w:sz w:val="24"/>
      <w:szCs w:val="24"/>
    </w:rPr>
  </w:style>
  <w:style w:type="paragraph" w:styleId="Caption11111111111111112">
    <w:name w:val="Caption11111111111111112"/>
    <w:basedOn w:val="Normal"/>
    <w:qFormat/>
    <w:pPr>
      <w:widowControl/>
      <w:suppressAutoHyphens w:val="true"/>
      <w:bidi w:val="0"/>
      <w:spacing w:before="120" w:after="120"/>
      <w:jc w:val="start"/>
    </w:pPr>
    <w:rPr>
      <w:rFonts w:cs="Lohit Devanagari"/>
      <w:i/>
      <w:iCs/>
      <w:color w:val="auto"/>
      <w:sz w:val="24"/>
      <w:szCs w:val="24"/>
    </w:rPr>
  </w:style>
  <w:style w:type="paragraph" w:styleId="Caption1111111111111112">
    <w:name w:val="Caption1111111111111112"/>
    <w:basedOn w:val="Normal"/>
    <w:qFormat/>
    <w:pPr>
      <w:widowControl/>
      <w:suppressAutoHyphens w:val="true"/>
      <w:bidi w:val="0"/>
      <w:spacing w:before="120" w:after="120"/>
      <w:jc w:val="start"/>
    </w:pPr>
    <w:rPr>
      <w:rFonts w:cs="Lohit Devanagari"/>
      <w:i/>
      <w:iCs/>
      <w:color w:val="auto"/>
      <w:sz w:val="24"/>
      <w:szCs w:val="24"/>
    </w:rPr>
  </w:style>
  <w:style w:type="paragraph" w:styleId="Caption111111111111112">
    <w:name w:val="Caption111111111111112"/>
    <w:basedOn w:val="Normal"/>
    <w:qFormat/>
    <w:pPr>
      <w:widowControl/>
      <w:suppressAutoHyphens w:val="true"/>
      <w:bidi w:val="0"/>
      <w:spacing w:before="120" w:after="120"/>
      <w:jc w:val="start"/>
    </w:pPr>
    <w:rPr>
      <w:rFonts w:cs="Lohit Devanagari"/>
      <w:i/>
      <w:iCs/>
      <w:color w:val="auto"/>
      <w:sz w:val="24"/>
      <w:szCs w:val="24"/>
    </w:rPr>
  </w:style>
  <w:style w:type="paragraph" w:styleId="Caption2">
    <w:name w:val="Caption2"/>
    <w:basedOn w:val="Normal"/>
    <w:qFormat/>
    <w:pPr>
      <w:widowControl/>
      <w:suppressAutoHyphens w:val="true"/>
      <w:bidi w:val="0"/>
      <w:spacing w:before="120" w:after="120"/>
      <w:jc w:val="start"/>
    </w:pPr>
    <w:rPr>
      <w:rFonts w:cs="Lohit Devanagari"/>
      <w:i/>
      <w:iCs/>
      <w:color w:val="auto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to@r32.fssprus.ru" TargetMode="External"/><Relationship Id="rId3" Type="http://schemas.openxmlformats.org/officeDocument/2006/relationships/hyperlink" Target="mailto:mto@r32.fssprus.ru" TargetMode="External"/><Relationship Id="rId4" Type="http://schemas.openxmlformats.org/officeDocument/2006/relationships/hyperlink" Target="mailto:mto@r32.fssprus.ru" TargetMode="External"/><Relationship Id="rId5" Type="http://schemas.openxmlformats.org/officeDocument/2006/relationships/hyperlink" Target="mailto:mto@r32.fssprus.ru" TargetMode="External"/><Relationship Id="rId6" Type="http://schemas.openxmlformats.org/officeDocument/2006/relationships/hyperlink" Target="mailto:mto@r32.fssprus.ru" TargetMode="External"/><Relationship Id="rId7" Type="http://schemas.openxmlformats.org/officeDocument/2006/relationships/hyperlink" Target="mailto:mto@r32.fssprus.ru" TargetMode="External"/><Relationship Id="rId8" Type="http://schemas.openxmlformats.org/officeDocument/2006/relationships/hyperlink" Target="mailto:mto@r32.fssprus.ru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968</TotalTime>
  <Application>LibreOffice/26.2.2.2$Linux_X86_64 LibreOffice_project/620$Build-2</Application>
  <AppVersion>15.0000</AppVersion>
  <Pages>3</Pages>
  <Words>1068</Words>
  <Characters>7307</Characters>
  <CharactersWithSpaces>8520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egorowa</dc:creator>
  <dc:description/>
  <dc:language>ru-RU</dc:language>
  <cp:lastModifiedBy/>
  <cp:lastPrinted>2026-09-18T16:24:00Z</cp:lastPrinted>
  <dcterms:modified xsi:type="dcterms:W3CDTF">2026-10-14T19:36:14Z</dcterms:modified>
  <cp:revision>77</cp:revision>
  <dc:subject/>
  <dc:title>ГОСУДАРСТВЕННЫЙ КОНТРАКТ</dc:title>
</cp:coreProperties>
</file>