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media/image1.png" ContentType="image/png"/>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color w:val="auto"/>
        </w:rPr>
      </w:pPr>
      <w:r>
        <w:rPr>
          <w:rFonts w:ascii="Times New Roman" w:hAnsi="Times New Roman"/>
          <w:color w:val="auto"/>
          <w:sz w:val="22"/>
          <w:szCs w:val="22"/>
          <w:lang w:val="ru-RU"/>
        </w:rPr>
        <w:t xml:space="preserve">Контракт № </w:t>
      </w:r>
    </w:p>
    <w:p>
      <w:pPr>
        <w:pStyle w:val="Normal"/>
        <w:tabs>
          <w:tab w:val="clear" w:pos="720"/>
          <w:tab w:val="right" w:pos="10206" w:leader="none"/>
        </w:tabs>
        <w:ind w:right="-2"/>
        <w:jc w:val="both"/>
        <w:rPr>
          <w:sz w:val="22"/>
          <w:szCs w:val="22"/>
          <w:lang w:val="ru-RU"/>
        </w:rPr>
      </w:pPr>
      <w:r>
        <w:rPr>
          <w:color w:val="auto"/>
          <w:sz w:val="22"/>
          <w:szCs w:val="22"/>
          <w:lang w:val="ru-RU"/>
        </w:rPr>
        <w:t>Кемеровская область — Кузбасс. г. Кемерово</w:t>
      </w:r>
      <w:r>
        <w:rPr>
          <w:sz w:val="22"/>
          <w:szCs w:val="22"/>
          <w:lang w:val="ru-RU"/>
        </w:rPr>
        <w:tab/>
        <w:t>«     » октября 2026 г</w:t>
      </w:r>
    </w:p>
    <w:p>
      <w:pPr>
        <w:pStyle w:val="BodyText"/>
        <w:widowControl w:val="false"/>
        <w:bidi w:val="0"/>
        <w:spacing w:lineRule="auto" w:line="240" w:before="506" w:after="0"/>
        <w:ind w:left="0" w:right="281"/>
        <w:jc w:val="both"/>
        <w:rPr/>
      </w:pPr>
      <w:r>
        <w:rPr>
          <w:bCs/>
          <w:color w:val="000000"/>
          <w:sz w:val="22"/>
          <w:szCs w:val="22"/>
          <w:lang w:val="ru-RU"/>
        </w:rPr>
        <w:tab/>
      </w:r>
      <w:r>
        <w:rPr>
          <w:rFonts w:ascii="Tinos" w:hAnsi="Tinos"/>
          <w:bCs/>
          <w:color w:val="000000"/>
          <w:sz w:val="24"/>
          <w:szCs w:val="24"/>
          <w:lang w:val="ru-RU"/>
        </w:rPr>
        <w:t xml:space="preserve">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 именуемое в дальнейшем </w:t>
      </w:r>
      <w:r>
        <w:rPr>
          <w:rFonts w:ascii="Tinos" w:hAnsi="Tinos"/>
          <w:b/>
          <w:bCs/>
          <w:color w:val="000000"/>
          <w:sz w:val="24"/>
          <w:szCs w:val="24"/>
          <w:lang w:val="ru-RU"/>
        </w:rPr>
        <w:t>«Заказчик»</w:t>
      </w:r>
      <w:r>
        <w:rPr>
          <w:rFonts w:ascii="Tinos" w:hAnsi="Tinos"/>
          <w:bCs/>
          <w:color w:val="000000"/>
          <w:sz w:val="24"/>
          <w:szCs w:val="24"/>
          <w:lang w:val="ru-RU"/>
        </w:rPr>
        <w:t>, в лице начальника отдела материально-технического снабжения Кузнецовой Александры Евгеньевны, действующей на основании доверенности от 08.06.2026 г.,</w:t>
      </w:r>
      <w:r>
        <w:rPr>
          <w:rStyle w:val="11"/>
          <w:rFonts w:ascii="Tinos" w:hAnsi="Tinos"/>
          <w:bCs/>
          <w:color w:val="000000"/>
          <w:sz w:val="24"/>
          <w:szCs w:val="24"/>
          <w:lang w:val="ru-RU"/>
        </w:rPr>
        <w:t xml:space="preserve"> </w:t>
      </w:r>
      <w:r>
        <w:rPr>
          <w:rFonts w:ascii="Tinos" w:hAnsi="Tinos"/>
          <w:bCs/>
          <w:color w:val="000000"/>
          <w:sz w:val="24"/>
          <w:szCs w:val="24"/>
          <w:lang w:val="ru-RU"/>
        </w:rPr>
        <w:t xml:space="preserve">с одной стороны, и </w:t>
      </w:r>
      <w:r>
        <w:rPr>
          <w:rFonts w:eastAsia="Times New Roman" w:cs="Times New Roman" w:ascii="Tinos" w:hAnsi="Tinos"/>
          <w:bCs/>
          <w:color w:val="000000"/>
          <w:sz w:val="24"/>
          <w:szCs w:val="24"/>
          <w:lang w:val="ru-RU" w:eastAsia="en-US" w:bidi="ar-SA"/>
        </w:rPr>
        <w:t>_____________________________</w:t>
      </w:r>
      <w:r>
        <w:rPr>
          <w:rFonts w:ascii="Tinos" w:hAnsi="Tinos"/>
          <w:bCs/>
          <w:color w:val="000000"/>
          <w:sz w:val="24"/>
          <w:szCs w:val="24"/>
          <w:lang w:val="ru-RU"/>
        </w:rPr>
        <w:t xml:space="preserve">, именуемое в дальнейшем </w:t>
      </w:r>
      <w:r>
        <w:rPr>
          <w:rFonts w:ascii="Tinos" w:hAnsi="Tinos"/>
          <w:b/>
          <w:bCs/>
          <w:color w:val="000000"/>
          <w:sz w:val="24"/>
          <w:szCs w:val="24"/>
          <w:lang w:val="ru-RU"/>
        </w:rPr>
        <w:t>«Исполнитель»</w:t>
      </w:r>
      <w:r>
        <w:rPr>
          <w:rFonts w:ascii="Tinos" w:hAnsi="Tinos"/>
          <w:bCs/>
          <w:color w:val="000000"/>
          <w:sz w:val="24"/>
          <w:szCs w:val="24"/>
          <w:lang w:val="ru-RU"/>
        </w:rPr>
        <w:t xml:space="preserve">, в лице </w:t>
      </w:r>
      <w:r>
        <w:rPr>
          <w:rFonts w:ascii="Tinos" w:hAnsi="Tinos"/>
          <w:bCs/>
          <w:color w:val="000000"/>
          <w:sz w:val="24"/>
          <w:szCs w:val="24"/>
          <w:lang w:val="ru-RU"/>
        </w:rPr>
        <w:t>___________________________________</w:t>
      </w:r>
      <w:r>
        <w:rPr>
          <w:rFonts w:ascii="Tinos" w:hAnsi="Tinos"/>
          <w:bCs/>
          <w:color w:val="000000"/>
          <w:sz w:val="24"/>
          <w:szCs w:val="24"/>
          <w:lang w:val="ru-RU"/>
        </w:rPr>
        <w:t xml:space="preserve">, действующей </w:t>
      </w:r>
      <w:r>
        <w:rPr>
          <w:rFonts w:ascii="Tinos" w:hAnsi="Tinos"/>
          <w:bCs/>
          <w:color w:val="000000"/>
          <w:sz w:val="24"/>
          <w:szCs w:val="24"/>
          <w:lang w:val="ru-RU"/>
        </w:rPr>
        <w:t>(его)</w:t>
      </w:r>
      <w:r>
        <w:rPr>
          <w:rFonts w:ascii="Tinos" w:hAnsi="Tinos"/>
          <w:bCs/>
          <w:color w:val="000000"/>
          <w:sz w:val="24"/>
          <w:szCs w:val="24"/>
          <w:lang w:val="ru-RU"/>
        </w:rPr>
        <w:t xml:space="preserve"> на основании </w:t>
      </w:r>
      <w:r>
        <w:rPr>
          <w:rFonts w:ascii="Tinos" w:hAnsi="Tinos"/>
          <w:bCs/>
          <w:color w:val="000000"/>
          <w:sz w:val="24"/>
          <w:szCs w:val="24"/>
          <w:lang w:val="ru-RU"/>
        </w:rPr>
        <w:t>__________________________</w:t>
      </w:r>
      <w:r>
        <w:rPr>
          <w:rFonts w:ascii="Tinos" w:hAnsi="Tinos"/>
          <w:bCs/>
          <w:color w:val="000000"/>
          <w:sz w:val="24"/>
          <w:szCs w:val="24"/>
          <w:lang w:val="ru-RU"/>
        </w:rPr>
        <w:t xml:space="preserve">, с другой стороны, в дальнейшем при совместном упоминании именуемые </w:t>
      </w:r>
      <w:r>
        <w:rPr>
          <w:rFonts w:ascii="Tinos" w:hAnsi="Tinos"/>
          <w:b/>
          <w:bCs/>
          <w:color w:val="000000"/>
          <w:sz w:val="24"/>
          <w:szCs w:val="24"/>
          <w:lang w:val="ru-RU"/>
        </w:rPr>
        <w:t>«Стороны/Сторона»</w:t>
      </w:r>
      <w:r>
        <w:rPr>
          <w:rFonts w:ascii="Tinos" w:hAnsi="Tinos"/>
          <w:bCs/>
          <w:color w:val="000000"/>
          <w:sz w:val="24"/>
          <w:szCs w:val="24"/>
          <w:lang w:val="ru-RU"/>
        </w:rPr>
        <w:t xml:space="preserve">, </w:t>
      </w:r>
      <w:r>
        <w:rPr>
          <w:rFonts w:eastAsia="Arial" w:cs="Times New Roman" w:ascii="Tinos" w:hAnsi="Tinos"/>
          <w:bCs/>
          <w:color w:val="000000"/>
          <w:sz w:val="24"/>
          <w:szCs w:val="24"/>
          <w:lang w:val="ru-RU" w:eastAsia="zh-CN"/>
        </w:rPr>
        <w:t>в соответствии с пунктом 4 части 1 статьи 93 Федерального закона от 05.04.2013 № 44-ФЗ «О контрактной системе в сфере закупок</w:t>
      </w:r>
      <w:r>
        <w:rPr>
          <w:rFonts w:eastAsia="Arial" w:cs="Times New Roman" w:ascii="Tinos" w:hAnsi="Tinos"/>
          <w:b/>
          <w:bCs/>
          <w:color w:val="000000"/>
          <w:sz w:val="24"/>
          <w:szCs w:val="24"/>
          <w:lang w:val="ru-RU" w:eastAsia="zh-CN"/>
        </w:rPr>
        <w:t xml:space="preserve"> </w:t>
      </w:r>
      <w:r>
        <w:rPr>
          <w:rFonts w:eastAsia="Arial" w:cs="Times New Roman" w:ascii="Tinos" w:hAnsi="Tinos"/>
          <w:bCs/>
          <w:color w:val="000000"/>
          <w:sz w:val="24"/>
          <w:szCs w:val="24"/>
          <w:lang w:val="ru-RU" w:eastAsia="zh-CN"/>
        </w:rPr>
        <w:t>товаров, работ, услуг для обеспечения государственных и муниципальных нужд</w:t>
      </w:r>
      <w:r>
        <w:rPr>
          <w:rFonts w:eastAsia="Arial" w:cs="Times New Roman" w:ascii="Tinos" w:hAnsi="Tinos"/>
          <w:b/>
          <w:bCs/>
          <w:color w:val="000000"/>
          <w:sz w:val="24"/>
          <w:szCs w:val="24"/>
          <w:lang w:val="ru-RU" w:eastAsia="zh-CN"/>
        </w:rPr>
        <w:t>»,</w:t>
      </w:r>
      <w:r>
        <w:rPr>
          <w:rFonts w:eastAsia="Arial" w:cs="Times New Roman" w:ascii="Tinos" w:hAnsi="Tinos"/>
          <w:bCs/>
          <w:color w:val="000000"/>
          <w:sz w:val="24"/>
          <w:szCs w:val="24"/>
          <w:lang w:val="ru-RU" w:eastAsia="zh-CN"/>
        </w:rPr>
        <w:t xml:space="preserve"> заключили настоящий контракт о нижеследующем:</w:t>
      </w:r>
    </w:p>
    <w:p>
      <w:pPr>
        <w:pStyle w:val="BodyText"/>
        <w:widowControl w:val="false"/>
        <w:bidi w:val="0"/>
        <w:spacing w:lineRule="auto" w:line="240" w:before="506" w:after="0"/>
        <w:ind w:left="0" w:right="281"/>
        <w:jc w:val="both"/>
        <w:rPr>
          <w:rFonts w:ascii="Tinos" w:hAnsi="Tinos" w:eastAsia="Arial" w:cs="Times New Roman"/>
          <w:bCs/>
          <w:color w:val="000000"/>
          <w:sz w:val="24"/>
          <w:szCs w:val="24"/>
          <w:lang w:val="ru-RU" w:eastAsia="zh-CN"/>
        </w:rPr>
      </w:pPr>
      <w:r>
        <w:rPr>
          <w:rFonts w:eastAsia="Arial" w:cs="Times New Roman" w:ascii="Tinos" w:hAnsi="Tinos"/>
          <w:bCs/>
          <w:color w:val="000000"/>
          <w:sz w:val="24"/>
          <w:szCs w:val="24"/>
          <w:lang w:val="ru-RU" w:eastAsia="zh-CN"/>
        </w:rPr>
      </w:r>
    </w:p>
    <w:p>
      <w:pPr>
        <w:pStyle w:val="Normal"/>
        <w:numPr>
          <w:ilvl w:val="0"/>
          <w:numId w:val="1"/>
        </w:numPr>
        <w:tabs>
          <w:tab w:val="clear" w:pos="720"/>
          <w:tab w:val="left" w:pos="786" w:leader="none"/>
        </w:tabs>
        <w:ind w:hanging="0" w:left="0" w:right="57"/>
        <w:jc w:val="center"/>
        <w:rPr>
          <w:rFonts w:ascii="Tinos" w:hAnsi="Tinos"/>
          <w:color w:val="000000"/>
          <w:sz w:val="24"/>
          <w:szCs w:val="24"/>
        </w:rPr>
      </w:pPr>
      <w:r>
        <w:rPr>
          <w:rFonts w:ascii="Tinos" w:hAnsi="Tinos"/>
          <w:b/>
          <w:color w:val="000000"/>
          <w:sz w:val="24"/>
          <w:szCs w:val="24"/>
          <w:lang w:val="ru-RU"/>
        </w:rPr>
        <w:t>ПРЕДМЕТ КОНТРАКТА</w:t>
      </w:r>
    </w:p>
    <w:p>
      <w:pPr>
        <w:pStyle w:val="Normal"/>
        <w:numPr>
          <w:ilvl w:val="0"/>
          <w:numId w:val="0"/>
        </w:numPr>
        <w:tabs>
          <w:tab w:val="clear" w:pos="720"/>
          <w:tab w:val="left" w:pos="567" w:leader="none"/>
        </w:tabs>
        <w:ind w:hanging="0" w:left="-24" w:right="57"/>
        <w:jc w:val="both"/>
        <w:rPr>
          <w:rFonts w:ascii="Tinos" w:hAnsi="Tinos"/>
          <w:color w:val="000000"/>
          <w:sz w:val="24"/>
          <w:szCs w:val="24"/>
        </w:rPr>
      </w:pPr>
      <w:r>
        <w:rPr>
          <w:rFonts w:ascii="Tinos" w:hAnsi="Tinos"/>
          <w:color w:val="000000"/>
          <w:sz w:val="24"/>
          <w:szCs w:val="24"/>
          <w:lang w:val="ru-RU"/>
        </w:rPr>
        <w:t xml:space="preserve">1.1 Исполнитель обязуется оказать Заказчику консультационно-информационные услуги: Научно-практическая онлан конференция «Реорганизация работы с медотходами: что проконтролировать главной медсестре», 13 ноября 2026 г., путем предоставления Заказчику отдаленного доступа по Интернет к трансляции вебинара в режиме on-line, а Заказчик обязуется принять и оплатить стоимость оказанных услуг в соответствии с условиями настоящего контракта. </w:t>
      </w:r>
    </w:p>
    <w:p>
      <w:pPr>
        <w:pStyle w:val="Normal"/>
        <w:numPr>
          <w:ilvl w:val="0"/>
          <w:numId w:val="0"/>
        </w:numPr>
        <w:tabs>
          <w:tab w:val="clear" w:pos="720"/>
          <w:tab w:val="left" w:pos="567" w:leader="none"/>
        </w:tabs>
        <w:ind w:hanging="0" w:left="0" w:right="57"/>
        <w:jc w:val="both"/>
        <w:rPr>
          <w:rFonts w:ascii="Tinos" w:hAnsi="Tinos"/>
          <w:color w:val="000000"/>
          <w:sz w:val="24"/>
          <w:szCs w:val="24"/>
        </w:rPr>
      </w:pPr>
      <w:r>
        <w:rPr>
          <w:rFonts w:ascii="Tinos" w:hAnsi="Tinos"/>
          <w:b w:val="false"/>
          <w:bCs w:val="false"/>
          <w:color w:val="000000"/>
          <w:sz w:val="24"/>
          <w:szCs w:val="24"/>
          <w:lang w:val="ru-RU"/>
        </w:rPr>
        <w:t>1.2. Программа вебинара размещена на сайте Исполнителя.</w:t>
      </w:r>
    </w:p>
    <w:p>
      <w:pPr>
        <w:pStyle w:val="Normal"/>
        <w:numPr>
          <w:ilvl w:val="0"/>
          <w:numId w:val="0"/>
        </w:numPr>
        <w:tabs>
          <w:tab w:val="clear" w:pos="720"/>
          <w:tab w:val="left" w:pos="567" w:leader="none"/>
        </w:tabs>
        <w:ind w:hanging="0" w:left="0" w:right="57"/>
        <w:jc w:val="both"/>
        <w:rPr>
          <w:rFonts w:ascii="Tinos" w:hAnsi="Tinos"/>
          <w:color w:val="000000"/>
          <w:sz w:val="24"/>
          <w:szCs w:val="24"/>
        </w:rPr>
      </w:pPr>
      <w:r>
        <w:rPr>
          <w:rFonts w:ascii="Tinos" w:hAnsi="Tinos"/>
          <w:b w:val="false"/>
          <w:bCs w:val="false"/>
          <w:color w:val="000000"/>
          <w:sz w:val="24"/>
          <w:szCs w:val="24"/>
          <w:lang w:val="ru-RU"/>
        </w:rPr>
        <w:t>1.3 Доступ к вебинару осуществляется в соответствии с п. 3 настоящего контракта.</w:t>
      </w:r>
    </w:p>
    <w:p>
      <w:pPr>
        <w:pStyle w:val="Normal"/>
        <w:numPr>
          <w:ilvl w:val="0"/>
          <w:numId w:val="0"/>
        </w:numPr>
        <w:tabs>
          <w:tab w:val="clear" w:pos="720"/>
          <w:tab w:val="left" w:pos="567" w:leader="none"/>
        </w:tabs>
        <w:ind w:hanging="0" w:left="0" w:right="57"/>
        <w:jc w:val="both"/>
        <w:rPr>
          <w:rFonts w:ascii="Tinos" w:hAnsi="Tinos"/>
          <w:color w:val="000000"/>
          <w:sz w:val="24"/>
          <w:szCs w:val="24"/>
        </w:rPr>
      </w:pPr>
      <w:r>
        <w:rPr>
          <w:rFonts w:ascii="Tinos" w:hAnsi="Tinos"/>
          <w:b w:val="false"/>
          <w:bCs w:val="false"/>
          <w:color w:val="000000"/>
          <w:sz w:val="24"/>
          <w:szCs w:val="24"/>
          <w:lang w:val="ru-RU"/>
        </w:rPr>
        <w:t>1.4. Количество сотрудников Заказчика, принимающих участие в вебинаре определено в счете.</w:t>
      </w:r>
    </w:p>
    <w:p>
      <w:pPr>
        <w:pStyle w:val="Normal"/>
        <w:numPr>
          <w:ilvl w:val="0"/>
          <w:numId w:val="0"/>
        </w:numPr>
        <w:tabs>
          <w:tab w:val="clear" w:pos="720"/>
          <w:tab w:val="left" w:pos="567" w:leader="none"/>
        </w:tabs>
        <w:ind w:hanging="0" w:left="426" w:right="57"/>
        <w:jc w:val="both"/>
        <w:rPr>
          <w:rFonts w:ascii="Tinos" w:hAnsi="Tinos"/>
          <w:b w:val="false"/>
          <w:bCs w:val="false"/>
          <w:color w:val="000000"/>
          <w:sz w:val="24"/>
          <w:szCs w:val="24"/>
          <w:lang w:val="ru-RU"/>
        </w:rPr>
      </w:pPr>
      <w:r>
        <w:rPr>
          <w:rFonts w:ascii="Tinos" w:hAnsi="Tinos"/>
          <w:b w:val="false"/>
          <w:bCs w:val="false"/>
          <w:color w:val="000000"/>
          <w:sz w:val="24"/>
          <w:szCs w:val="24"/>
          <w:lang w:val="ru-RU"/>
        </w:rPr>
      </w:r>
    </w:p>
    <w:p>
      <w:pPr>
        <w:pStyle w:val="Heading3"/>
        <w:numPr>
          <w:ilvl w:val="0"/>
          <w:numId w:val="1"/>
        </w:numPr>
        <w:ind w:hanging="0" w:left="170" w:right="57"/>
        <w:jc w:val="center"/>
        <w:rPr>
          <w:rFonts w:ascii="Tinos" w:hAnsi="Tinos"/>
          <w:b/>
          <w:bCs/>
          <w:color w:val="000000"/>
          <w:sz w:val="24"/>
          <w:szCs w:val="24"/>
          <w:lang w:val="ru-RU" w:eastAsia="en-US" w:bidi="ar-SA"/>
        </w:rPr>
      </w:pPr>
      <w:r>
        <w:rPr>
          <w:rFonts w:ascii="Tinos" w:hAnsi="Tinos"/>
          <w:b/>
          <w:bCs/>
          <w:color w:val="000000"/>
          <w:sz w:val="24"/>
          <w:szCs w:val="24"/>
          <w:lang w:val="ru-RU" w:eastAsia="en-US" w:bidi="ar-SA"/>
        </w:rPr>
        <w:t xml:space="preserve"> </w:t>
      </w:r>
      <w:r>
        <w:rPr>
          <w:rFonts w:ascii="Tinos" w:hAnsi="Tinos"/>
          <w:b/>
          <w:bCs/>
          <w:color w:val="000000"/>
          <w:sz w:val="24"/>
          <w:szCs w:val="24"/>
          <w:lang w:val="ru-RU" w:eastAsia="en-US" w:bidi="ar-SA"/>
        </w:rPr>
        <w:t>ЦЕНА КОНТРАКТА И ПОРЯДОК РАСЧЕТОВ</w:t>
      </w:r>
    </w:p>
    <w:p>
      <w:pPr>
        <w:pStyle w:val="Normal"/>
        <w:numPr>
          <w:ilvl w:val="0"/>
          <w:numId w:val="0"/>
        </w:numPr>
        <w:tabs>
          <w:tab w:val="clear" w:pos="720"/>
          <w:tab w:val="left" w:pos="426" w:leader="none"/>
        </w:tabs>
        <w:ind w:hanging="0" w:left="-24" w:right="57"/>
        <w:jc w:val="both"/>
        <w:rPr>
          <w:rFonts w:ascii="Tinos" w:hAnsi="Tinos"/>
          <w:color w:val="000000"/>
          <w:lang w:val="ru-RU"/>
        </w:rPr>
      </w:pPr>
      <w:r>
        <w:rPr>
          <w:rFonts w:ascii="Tinos" w:hAnsi="Tinos"/>
          <w:color w:val="000000"/>
          <w:lang w:val="ru-RU"/>
        </w:rPr>
        <w:t xml:space="preserve">2.1 Стоимость услуг  по настоящему контракту составляет </w:t>
      </w:r>
      <w:r>
        <w:rPr>
          <w:rFonts w:ascii="Tinos" w:hAnsi="Tinos"/>
          <w:color w:val="000000"/>
          <w:lang w:val="ru-RU"/>
        </w:rPr>
        <w:t>___________________________</w:t>
      </w:r>
      <w:r>
        <w:rPr>
          <w:rFonts w:ascii="Tinos" w:hAnsi="Tinos"/>
          <w:b/>
          <w:bCs/>
          <w:color w:val="000000"/>
          <w:lang w:val="ru-RU"/>
        </w:rPr>
        <w:t xml:space="preserve">, в т.ч. НДС (...%) - </w:t>
      </w:r>
      <w:r>
        <w:rPr>
          <w:rFonts w:ascii="Tinos" w:hAnsi="Tinos"/>
          <w:b/>
          <w:bCs/>
          <w:color w:val="000000"/>
          <w:lang w:val="ru-RU"/>
        </w:rPr>
        <w:t>___________________________.</w:t>
      </w:r>
    </w:p>
    <w:p>
      <w:pPr>
        <w:pStyle w:val="Normal"/>
        <w:numPr>
          <w:ilvl w:val="0"/>
          <w:numId w:val="0"/>
        </w:numPr>
        <w:tabs>
          <w:tab w:val="clear" w:pos="720"/>
          <w:tab w:val="left" w:pos="426" w:leader="none"/>
        </w:tabs>
        <w:ind w:hanging="0" w:left="-24" w:right="57"/>
        <w:jc w:val="both"/>
        <w:rPr>
          <w:rFonts w:ascii="Tinos" w:hAnsi="Tinos"/>
          <w:color w:val="000000"/>
          <w:sz w:val="24"/>
          <w:szCs w:val="24"/>
          <w:lang w:val="ru-RU"/>
        </w:rPr>
      </w:pPr>
      <w:r>
        <w:rPr>
          <w:rFonts w:ascii="Tinos" w:hAnsi="Tinos"/>
          <w:color w:val="000000"/>
          <w:sz w:val="24"/>
          <w:szCs w:val="24"/>
          <w:lang w:val="ru-RU" w:eastAsia="en-US" w:bidi="ar-SA"/>
        </w:rPr>
        <w:t xml:space="preserve">2.2. </w:t>
      </w:r>
      <w:r>
        <w:rPr>
          <w:rFonts w:eastAsia="Times New Roman" w:cs="Times New Roman" w:ascii="Tinos" w:hAnsi="Tinos"/>
          <w:color w:val="000000"/>
          <w:kern w:val="0"/>
          <w:sz w:val="24"/>
          <w:szCs w:val="24"/>
          <w:lang w:val="ru-RU" w:eastAsia="en-US" w:bidi="ar-SA"/>
        </w:rPr>
        <w:t xml:space="preserve">Оплата услуг по настоящему контракту производится на основании счета, выставленного Исполнителем, в порядке 100% предоплаты путем перечисления денежных средств на расчетный счет Исполнителя в течение 2 (двух) дней с даты выставления счета </w:t>
      </w:r>
    </w:p>
    <w:p>
      <w:pPr>
        <w:pStyle w:val="Normal"/>
        <w:numPr>
          <w:ilvl w:val="0"/>
          <w:numId w:val="0"/>
        </w:numPr>
        <w:tabs>
          <w:tab w:val="clear" w:pos="720"/>
          <w:tab w:val="left" w:pos="426" w:leader="none"/>
        </w:tabs>
        <w:ind w:hanging="0" w:left="-24" w:right="57"/>
        <w:jc w:val="both"/>
        <w:rPr>
          <w:rFonts w:ascii="Tinos" w:hAnsi="Tinos"/>
          <w:color w:val="000000"/>
          <w:sz w:val="24"/>
          <w:szCs w:val="24"/>
          <w:lang w:val="ru-RU"/>
        </w:rPr>
      </w:pPr>
      <w:r>
        <w:rPr>
          <w:rFonts w:ascii="Tinos" w:hAnsi="Tinos"/>
          <w:color w:val="000000"/>
          <w:sz w:val="24"/>
          <w:szCs w:val="24"/>
          <w:lang w:val="ru-RU" w:eastAsia="en-US" w:bidi="ar-SA"/>
        </w:rPr>
        <w:t xml:space="preserve">2.3. Оплата, произведенная за последние 2 дня до начала вебинара, должна быть подтверждена копией платежного поручения о произведенной оплате или гарантийным письмом, направленной на электронный адрес Исполнителя </w:t>
      </w:r>
      <w:r>
        <w:rPr>
          <w:rStyle w:val="Hyperlink"/>
          <w:rFonts w:ascii="Tinos" w:hAnsi="Tinos"/>
          <w:color w:val="000000"/>
          <w:sz w:val="24"/>
          <w:szCs w:val="24"/>
          <w:lang w:val="ru-RU" w:eastAsia="en-US" w:bidi="ar-SA"/>
        </w:rPr>
        <w:t>_____________</w:t>
      </w:r>
    </w:p>
    <w:p>
      <w:pPr>
        <w:pStyle w:val="Normal"/>
        <w:numPr>
          <w:ilvl w:val="0"/>
          <w:numId w:val="0"/>
        </w:numPr>
        <w:tabs>
          <w:tab w:val="clear" w:pos="720"/>
          <w:tab w:val="left" w:pos="426" w:leader="none"/>
        </w:tabs>
        <w:ind w:hanging="0" w:left="-24" w:right="57"/>
        <w:jc w:val="both"/>
        <w:rPr>
          <w:rFonts w:ascii="Tinos" w:hAnsi="Tinos"/>
          <w:color w:val="000000"/>
          <w:sz w:val="24"/>
          <w:szCs w:val="24"/>
          <w:lang w:val="ru-RU"/>
        </w:rPr>
      </w:pPr>
      <w:r>
        <w:rPr>
          <w:rFonts w:ascii="Tinos" w:hAnsi="Tinos"/>
          <w:color w:val="000000"/>
          <w:sz w:val="24"/>
          <w:szCs w:val="24"/>
          <w:lang w:val="ru-RU"/>
        </w:rPr>
        <w:t>2.4. Замена одного представителя Заказчика, как участника конференции, другим не влечет за собой оплату дополнительных взносов.</w:t>
      </w:r>
    </w:p>
    <w:p>
      <w:pPr>
        <w:pStyle w:val="Normal"/>
        <w:numPr>
          <w:ilvl w:val="0"/>
          <w:numId w:val="0"/>
        </w:numPr>
        <w:tabs>
          <w:tab w:val="clear" w:pos="720"/>
          <w:tab w:val="left" w:pos="426" w:leader="none"/>
        </w:tabs>
        <w:ind w:hanging="0" w:left="-24"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center"/>
        <w:rPr>
          <w:rFonts w:ascii="Tinos" w:hAnsi="Tinos"/>
          <w:b/>
          <w:bCs/>
          <w:color w:val="000000"/>
          <w:sz w:val="24"/>
          <w:szCs w:val="24"/>
          <w:lang w:val="ru-RU"/>
        </w:rPr>
      </w:pPr>
      <w:r>
        <w:rPr>
          <w:rFonts w:ascii="Tinos" w:hAnsi="Tinos"/>
          <w:b/>
          <w:bCs/>
          <w:color w:val="000000"/>
          <w:sz w:val="24"/>
          <w:szCs w:val="24"/>
          <w:lang w:val="ru-RU"/>
        </w:rPr>
        <w:t>3.ПОРЯДОК РЕГИСТРАЦИИ И УЧАСТИЯ В ВЕБИНАРЕ</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3.1.После заключения настоящего контракта Заказчик сообщает Исполнителю:</w:t>
      </w:r>
    </w:p>
    <w:p>
      <w:pPr>
        <w:pStyle w:val="Normal"/>
        <w:numPr>
          <w:ilvl w:val="1"/>
          <w:numId w:val="1"/>
        </w:numPr>
        <w:tabs>
          <w:tab w:val="clear" w:pos="720"/>
          <w:tab w:val="left" w:pos="567" w:leader="none"/>
        </w:tabs>
        <w:ind w:hanging="0" w:left="-24" w:right="57"/>
        <w:jc w:val="both"/>
        <w:rPr>
          <w:rFonts w:ascii="Tinos" w:hAnsi="Tinos"/>
          <w:color w:val="000000"/>
          <w:sz w:val="24"/>
          <w:szCs w:val="24"/>
          <w:lang w:val="ru-RU"/>
        </w:rPr>
      </w:pPr>
      <w:r>
        <w:rPr>
          <w:rFonts w:ascii="Tinos" w:hAnsi="Tinos"/>
          <w:color w:val="000000"/>
          <w:sz w:val="24"/>
          <w:szCs w:val="24"/>
          <w:lang w:val="ru-RU"/>
        </w:rPr>
        <w:t>фамилию, имя и отчество непосредственного участника вебинара</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контактный адрес электронной почты (для каждого участника вебинара должен быть сообщен уникальный адрес электронной почты)</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контактный телефон участника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3.2. После получения гарантийного письма, указанного в п. 2.3. настоящего контракта, но не раньше, чем за 2 рабочих дня до трансляции вебинара Исполнитель направляет Заказчику электронным письмом на указанный им электронный адрес уникальный URL (ссылку) для доступа к трансляции вебинара.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3.3. Для получения надежного соединения с вебинар-студией Заказчик должен использовать оборудование и канал доступа в Интернет, с характеристиками не ниже указанных в п. 6 настоящего контракта.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3.4. В день проведения вебинара, но не ранее чем за полчаса до его начала, Заказчик должен пройти по предоставленному URL, используя браузер, указанный в п. 6 настоящего контракта, после чего он получает автоматический доступ к вебинару.</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3.5. Доступ к трансляции вебинара предоставляется сотрудникам в количестве, указанном в счете.</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 xml:space="preserve">3.6. Замечания и предложения по проведенному вебинару Заказчик может направить по электронному адресу </w:t>
      </w:r>
      <w:r>
        <w:rPr>
          <w:rFonts w:ascii="Tinos" w:hAnsi="Tinos"/>
          <w:color w:val="000000"/>
          <w:sz w:val="24"/>
          <w:szCs w:val="24"/>
          <w:lang w:val="ru-RU"/>
        </w:rPr>
        <w:t>____________________</w:t>
      </w:r>
      <w:r>
        <w:rPr>
          <w:rFonts w:ascii="Tinos" w:hAnsi="Tinos"/>
          <w:color w:val="000000"/>
          <w:sz w:val="24"/>
          <w:szCs w:val="24"/>
          <w:lang w:val="ru-RU"/>
        </w:rPr>
        <w:t>. Предоставление Заказчику видео-записи или стенограммы вебинара не осуществляется.</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3.7. В течение 1 (одного) дня с даты оказания Услуг Исполнитель составляет и передает Заказчику два экземпляра Универсальных передаточных документа (далее – УПД) (Акт). Заказчик обязан подписать УПД (Акт) и передать один экземпляр УПД (Акт)  Исполнителю в течение 5 (пяти) дней с даты оказания Услуг, либо представить в этот же срок мотивированные возражения от подписания УПД (Акт)  в письменном виде.  В случае если в указанный срок Заказчик не подписывает и/или не возвращает Исполнителю  УПД (Акт), или не представляет письменных мотивированных возражений, Услуги считаются оказанными, а УПД (Акт)  - подписанным.</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center"/>
        <w:rPr>
          <w:rFonts w:ascii="Tinos" w:hAnsi="Tinos"/>
          <w:b/>
          <w:bCs/>
          <w:color w:val="000000"/>
          <w:sz w:val="24"/>
          <w:szCs w:val="24"/>
          <w:lang w:val="ru-RU"/>
        </w:rPr>
      </w:pPr>
      <w:r>
        <w:rPr>
          <w:rFonts w:ascii="Tinos" w:hAnsi="Tinos"/>
          <w:b/>
          <w:bCs/>
          <w:color w:val="000000"/>
          <w:sz w:val="24"/>
          <w:szCs w:val="24"/>
          <w:lang w:val="ru-RU"/>
        </w:rPr>
        <w:t>4. ПРАВА И ОБЯЗАННОСТИ СТОРОН</w:t>
      </w:r>
    </w:p>
    <w:p>
      <w:pPr>
        <w:pStyle w:val="Normal"/>
        <w:numPr>
          <w:ilvl w:val="0"/>
          <w:numId w:val="0"/>
        </w:numPr>
        <w:tabs>
          <w:tab w:val="clear" w:pos="720"/>
          <w:tab w:val="left" w:pos="567" w:leader="none"/>
        </w:tabs>
        <w:ind w:hanging="0" w:left="426" w:right="57"/>
        <w:jc w:val="both"/>
        <w:rPr>
          <w:rFonts w:ascii="Tinos" w:hAnsi="Tinos"/>
          <w:b/>
          <w:bCs/>
          <w:color w:val="000000"/>
          <w:sz w:val="24"/>
          <w:szCs w:val="24"/>
          <w:lang w:val="ru-RU"/>
        </w:rPr>
      </w:pPr>
      <w:r>
        <w:rPr>
          <w:rFonts w:ascii="Tinos" w:hAnsi="Tinos"/>
          <w:b w:val="false"/>
          <w:bCs w:val="false"/>
          <w:color w:val="000000"/>
          <w:sz w:val="24"/>
          <w:szCs w:val="24"/>
          <w:lang w:val="ru-RU"/>
        </w:rPr>
        <w:t>4.1.</w:t>
      </w:r>
      <w:r>
        <w:rPr>
          <w:rFonts w:ascii="Tinos" w:hAnsi="Tinos"/>
          <w:b/>
          <w:bCs/>
          <w:color w:val="000000"/>
          <w:sz w:val="24"/>
          <w:szCs w:val="24"/>
          <w:lang w:val="ru-RU"/>
        </w:rPr>
        <w:t xml:space="preserve"> Исполнитель обязуется:</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 сообщить Заказчику уникальный URL вебинара после подтверждения оплаты услуг и получения учетных записей;</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 предоставить Заказчику возможность доступа к трансляции вебинара после его регистрации в соответствии с условиями, указанными в настоящем контракте.</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4.2. Исполнитель вправе заменить докладчика, в случае его не явки по уважительным причинам (болезнь, командировка и проч.).</w:t>
      </w:r>
    </w:p>
    <w:p>
      <w:pPr>
        <w:pStyle w:val="Normal"/>
        <w:numPr>
          <w:ilvl w:val="0"/>
          <w:numId w:val="0"/>
        </w:numPr>
        <w:tabs>
          <w:tab w:val="clear" w:pos="720"/>
          <w:tab w:val="left" w:pos="567" w:leader="none"/>
        </w:tabs>
        <w:ind w:hanging="0" w:left="426" w:right="57"/>
        <w:jc w:val="both"/>
        <w:rPr>
          <w:rFonts w:ascii="Tinos" w:hAnsi="Tinos"/>
          <w:b/>
          <w:bCs/>
          <w:color w:val="000000"/>
          <w:sz w:val="24"/>
          <w:szCs w:val="24"/>
          <w:lang w:val="ru-RU"/>
        </w:rPr>
      </w:pPr>
      <w:r>
        <w:rPr>
          <w:rFonts w:ascii="Tinos" w:hAnsi="Tinos"/>
          <w:b w:val="false"/>
          <w:bCs w:val="false"/>
          <w:color w:val="000000"/>
          <w:sz w:val="24"/>
          <w:szCs w:val="24"/>
          <w:lang w:val="ru-RU"/>
        </w:rPr>
        <w:t>4.3.</w:t>
      </w:r>
      <w:r>
        <w:rPr>
          <w:rFonts w:ascii="Tinos" w:hAnsi="Tinos"/>
          <w:b/>
          <w:bCs/>
          <w:color w:val="000000"/>
          <w:sz w:val="24"/>
          <w:szCs w:val="24"/>
          <w:lang w:val="ru-RU"/>
        </w:rPr>
        <w:t xml:space="preserve"> Заказчик обязуется:</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 сообщить Исполнителю информацию, указанную в п. 3.1 настоящего контракта.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 оплатить услуги Исполнителя согласно условиям контракта;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 использовать оборудование и канал доступа в Интернет, с характеристиками не ниже, указанных в п. 6 настоящего контракта.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 xml:space="preserve">4.4. Заказчик вправе получать разъяснения о порядке регистрации на вебинаре по электронному адресу </w:t>
      </w:r>
      <w:r>
        <w:rPr>
          <w:rFonts w:ascii="Tinos" w:hAnsi="Tinos"/>
          <w:color w:val="000000"/>
          <w:sz w:val="24"/>
          <w:szCs w:val="24"/>
          <w:lang w:val="ru-RU"/>
        </w:rPr>
        <w:t>______________</w:t>
      </w:r>
      <w:r>
        <w:rPr>
          <w:rFonts w:ascii="Tinos" w:hAnsi="Tinos"/>
          <w:color w:val="000000"/>
          <w:sz w:val="24"/>
          <w:szCs w:val="24"/>
          <w:lang w:val="ru-RU"/>
        </w:rPr>
        <w:t>.</w:t>
      </w:r>
    </w:p>
    <w:p>
      <w:pPr>
        <w:pStyle w:val="Normal"/>
        <w:numPr>
          <w:ilvl w:val="0"/>
          <w:numId w:val="0"/>
        </w:numPr>
        <w:tabs>
          <w:tab w:val="clear" w:pos="720"/>
          <w:tab w:val="left" w:pos="567" w:leader="none"/>
        </w:tabs>
        <w:ind w:hanging="0" w:left="426" w:right="57"/>
        <w:jc w:val="center"/>
        <w:rPr>
          <w:rFonts w:ascii="Tinos" w:hAnsi="Tinos"/>
          <w:b/>
          <w:bCs/>
          <w:color w:val="000000"/>
          <w:sz w:val="24"/>
          <w:szCs w:val="24"/>
          <w:lang w:val="ru-RU"/>
        </w:rPr>
      </w:pPr>
      <w:r>
        <w:rPr>
          <w:rFonts w:ascii="Tinos" w:hAnsi="Tinos"/>
          <w:b/>
          <w:bCs/>
          <w:color w:val="000000"/>
          <w:sz w:val="24"/>
          <w:szCs w:val="24"/>
          <w:lang w:val="ru-RU"/>
        </w:rPr>
        <w:t>5. ОТВЕТСТВЕННОСТЬ СТОРОН</w:t>
      </w:r>
    </w:p>
    <w:p>
      <w:pPr>
        <w:pStyle w:val="Normal"/>
        <w:numPr>
          <w:ilvl w:val="0"/>
          <w:numId w:val="0"/>
        </w:numPr>
        <w:tabs>
          <w:tab w:val="clear" w:pos="720"/>
          <w:tab w:val="left" w:pos="567" w:leader="none"/>
        </w:tabs>
        <w:ind w:hanging="0" w:left="-24"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5.1. За неисполнение или ненадлежащее исполнение своих обязанностей по настоящему контракту стороны несут ответственность в соответствии с действующим законодательством РФ.</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5.2. Исполнитель не несет ответственность за неявку докладчика, произошедшую по уважительным причинам (болезнь, командировка и проч.). При этом Исполнитель обязан осуществить адекватную замену докладчика.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5.3. Исполнитель не несет ответственность за невозможность со стороны Заказчика воспользоваться доступом к трансляции вебинара по независящим от Исполнителя причинам (отсутствие Заказчика в месте отдаленного доступа во время проведения вебинара, использование Заказчиком оборудования и канала в Интернет, не соответствующих п. 6 настоящего контракта, сбои в оборудовании провайдеров Интернет, ошибки со стороны Заказчика при регистрации и проч.). В этом случае Заказчик не вправе требовать возврата денежных средств или возмещения иных убытков со стороны Исполнителя.</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5.4. В случае нарушения условия п. 2.3. настоящего контракта, Исполнитель не гарантирует Заказчику предоставление доступа к вебинару.</w:t>
      </w:r>
    </w:p>
    <w:p>
      <w:pPr>
        <w:pStyle w:val="Normal"/>
        <w:numPr>
          <w:ilvl w:val="0"/>
          <w:numId w:val="0"/>
        </w:numPr>
        <w:tabs>
          <w:tab w:val="clear" w:pos="720"/>
          <w:tab w:val="left" w:pos="567" w:leader="none"/>
        </w:tabs>
        <w:ind w:hanging="0" w:left="-24" w:right="57"/>
        <w:jc w:val="both"/>
        <w:rPr>
          <w:rFonts w:ascii="Tinos" w:hAnsi="Tinos"/>
          <w:color w:val="000000"/>
          <w:sz w:val="24"/>
          <w:szCs w:val="24"/>
          <w:lang w:val="ru-RU"/>
        </w:rPr>
      </w:pPr>
      <w:r>
        <w:rPr>
          <w:rFonts w:ascii="Tinos" w:hAnsi="Tinos"/>
          <w:color w:val="000000"/>
          <w:sz w:val="24"/>
          <w:szCs w:val="24"/>
          <w:lang w:val="ru-RU"/>
        </w:rPr>
        <w:t xml:space="preserve">   </w:t>
      </w:r>
      <w:r>
        <w:rPr>
          <w:rFonts w:eastAsia="Times New Roman" w:cs="Times New Roman" w:ascii="Tinos" w:hAnsi="Tinos"/>
          <w:color w:val="000000"/>
          <w:kern w:val="0"/>
          <w:sz w:val="24"/>
          <w:szCs w:val="24"/>
          <w:lang w:val="ru-RU" w:eastAsia="en-US" w:bidi="ar-SA"/>
        </w:rPr>
        <w:t xml:space="preserve"> </w:t>
      </w:r>
      <w:r>
        <w:rPr>
          <w:rFonts w:eastAsia="Times New Roman" w:cs="Times New Roman" w:ascii="Tinos" w:hAnsi="Tinos"/>
          <w:color w:val="000000"/>
          <w:kern w:val="0"/>
          <w:sz w:val="24"/>
          <w:szCs w:val="24"/>
          <w:lang w:val="ru-RU" w:eastAsia="en-US" w:bidi="ar-SA"/>
        </w:rPr>
        <w:t xml:space="preserve">5.5. В случае нарушения сроков оплаты представленных, но не оплаченных в установленный контрактом срок услуг Заказчик выплачивает Исполнителю пени в размере 0,5% от стоимости услуг за каждый день просрочки </w:t>
      </w:r>
      <w:r>
        <w:rPr>
          <w:rFonts w:ascii="Tinos" w:hAnsi="Tinos"/>
          <w:color w:val="000000"/>
          <w:sz w:val="24"/>
          <w:szCs w:val="24"/>
          <w:lang w:val="ru-RU"/>
        </w:rPr>
        <w:t>начиная со дня следующего за датой оплаты в соответствие с п. 2.2. настоящего контракта.</w:t>
      </w:r>
    </w:p>
    <w:p>
      <w:pPr>
        <w:pStyle w:val="Normal"/>
        <w:numPr>
          <w:ilvl w:val="0"/>
          <w:numId w:val="0"/>
        </w:numPr>
        <w:tabs>
          <w:tab w:val="clear" w:pos="720"/>
          <w:tab w:val="left" w:pos="567" w:leader="none"/>
        </w:tabs>
        <w:ind w:hanging="0" w:left="-24"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center"/>
        <w:rPr>
          <w:rFonts w:ascii="Tinos" w:hAnsi="Tinos"/>
          <w:b/>
          <w:bCs/>
          <w:color w:val="000000"/>
          <w:sz w:val="24"/>
          <w:szCs w:val="24"/>
          <w:lang w:val="ru-RU"/>
        </w:rPr>
      </w:pPr>
      <w:r>
        <w:rPr>
          <w:rFonts w:ascii="Tinos" w:hAnsi="Tinos"/>
          <w:b/>
          <w:bCs/>
          <w:color w:val="000000"/>
          <w:sz w:val="24"/>
          <w:szCs w:val="24"/>
          <w:lang w:val="ru-RU"/>
        </w:rPr>
        <w:t>6. ТЕХНИЧЕСКИЕ ТРЕБОВАНИЯ К ОБОРУДОВАНИЮ ЗАКАЗЧИКА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6.1.Рекомендуемые технические характеристики компьютера, с которого осуществляется доступ к трансляции вебинара: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both"/>
        <w:rPr>
          <w:rFonts w:ascii="Tinos" w:hAnsi="Tinos"/>
          <w:b/>
          <w:bCs/>
          <w:color w:val="000000"/>
          <w:sz w:val="24"/>
          <w:szCs w:val="24"/>
          <w:lang w:val="ru-RU"/>
        </w:rPr>
      </w:pPr>
      <w:r>
        <w:rPr>
          <w:rFonts w:ascii="Tinos" w:hAnsi="Tinos"/>
          <w:b/>
          <w:bCs/>
          <w:color w:val="000000"/>
          <w:sz w:val="24"/>
          <w:szCs w:val="24"/>
          <w:lang w:val="ru-RU"/>
        </w:rPr>
        <w:t>Требования к оборудованию пользователя:</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Процессор: Intel Core i3 6-го поколения или аналогичный (и выше)</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Оперативная память: 4 ГБ и выше</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Наушники или колонки (для просмотра вебинара)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both"/>
        <w:rPr>
          <w:rFonts w:ascii="Tinos" w:hAnsi="Tinos"/>
          <w:b/>
          <w:bCs/>
          <w:color w:val="000000"/>
          <w:sz w:val="24"/>
          <w:szCs w:val="24"/>
          <w:lang w:val="ru-RU"/>
        </w:rPr>
      </w:pPr>
      <w:r>
        <w:rPr>
          <w:rFonts w:ascii="Tinos" w:hAnsi="Tinos"/>
          <w:b/>
          <w:bCs/>
          <w:color w:val="000000"/>
          <w:sz w:val="24"/>
          <w:szCs w:val="24"/>
          <w:lang w:val="ru-RU"/>
        </w:rPr>
        <w:t>Требования к программному обеспечению пользователя</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Браузер</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Google Chrome (от версии 122 и выше)</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Microsoft Edge (Chromium) (от версии 118 и выше)</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Яндекс.Браузер (от версии 25.6.0 и выше)</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Apple Safari</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both"/>
        <w:rPr>
          <w:rFonts w:ascii="Tinos" w:hAnsi="Tinos"/>
          <w:b/>
          <w:bCs/>
          <w:color w:val="000000"/>
          <w:sz w:val="24"/>
          <w:szCs w:val="24"/>
          <w:lang w:val="ru-RU"/>
        </w:rPr>
      </w:pPr>
      <w:r>
        <w:rPr>
          <w:rFonts w:ascii="Tinos" w:hAnsi="Tinos"/>
          <w:b/>
          <w:bCs/>
          <w:color w:val="000000"/>
          <w:sz w:val="24"/>
          <w:szCs w:val="24"/>
          <w:lang w:val="ru-RU"/>
        </w:rPr>
        <w:t>Операционная система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Минимальные поддерживаемые версии</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Windows 7</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 В настоящий момент не поддерживается 32-разрядная версия Windows 7 для десктопного приложения.</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macOS 10.10</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iOS 14.5</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Android 8</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ОС семейства Linux последних версий:*</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Ubuntu (через утилиту AppImage).</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 xml:space="preserve"> </w:t>
      </w:r>
      <w:r>
        <w:rPr>
          <w:rFonts w:ascii="Tinos" w:hAnsi="Tinos"/>
          <w:color w:val="000000"/>
          <w:sz w:val="24"/>
          <w:szCs w:val="24"/>
          <w:lang w:val="ru-RU"/>
        </w:rPr>
        <w:t>РЕД ОС и Astra Linux.</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both"/>
        <w:rPr>
          <w:rFonts w:ascii="Tinos" w:hAnsi="Tinos"/>
          <w:b/>
          <w:bCs/>
          <w:color w:val="000000"/>
          <w:sz w:val="24"/>
          <w:szCs w:val="24"/>
          <w:lang w:val="ru-RU"/>
        </w:rPr>
      </w:pPr>
      <w:r>
        <w:rPr>
          <w:rFonts w:ascii="Tinos" w:hAnsi="Tinos"/>
          <w:b/>
          <w:bCs/>
          <w:color w:val="000000"/>
          <w:sz w:val="24"/>
          <w:szCs w:val="24"/>
          <w:lang w:val="ru-RU"/>
        </w:rPr>
        <w:t>Десктоп приложение МТС Линк</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Десктоп приложение для Windows, MacOS, Linux - MTSLink версия 1.2.1 и выше.</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both"/>
        <w:rPr>
          <w:rFonts w:ascii="Tinos" w:hAnsi="Tinos"/>
          <w:b/>
          <w:bCs/>
          <w:color w:val="000000"/>
          <w:sz w:val="24"/>
          <w:szCs w:val="24"/>
          <w:lang w:val="ru-RU"/>
        </w:rPr>
      </w:pPr>
      <w:r>
        <w:rPr>
          <w:rFonts w:ascii="Tinos" w:hAnsi="Tinos"/>
          <w:b/>
          <w:bCs/>
          <w:color w:val="000000"/>
          <w:sz w:val="24"/>
          <w:szCs w:val="24"/>
          <w:lang w:val="ru-RU"/>
        </w:rPr>
        <w:t>Рекомендуемая скорость интернета от 2,5 Мбит/с и выше.</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Доступ к IP-адресам подсетей по 443 порту и TCP-протоколу.</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both"/>
        <w:rPr>
          <w:rFonts w:ascii="Tinos" w:hAnsi="Tinos"/>
          <w:b/>
          <w:bCs/>
          <w:color w:val="000000"/>
          <w:sz w:val="24"/>
          <w:szCs w:val="24"/>
          <w:lang w:val="ru-RU"/>
        </w:rPr>
      </w:pPr>
      <w:r>
        <w:rPr>
          <w:rFonts w:ascii="Tinos" w:hAnsi="Tinos"/>
          <w:b/>
          <w:bCs/>
          <w:color w:val="000000"/>
          <w:sz w:val="24"/>
          <w:szCs w:val="24"/>
          <w:lang w:val="ru-RU"/>
        </w:rPr>
        <w:t>IP-адреса</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37.130.192.0/22</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185.45.80.0/22</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both"/>
        <w:rPr>
          <w:rFonts w:ascii="Tinos" w:hAnsi="Tinos"/>
          <w:b/>
          <w:bCs/>
          <w:color w:val="000000"/>
          <w:sz w:val="24"/>
          <w:szCs w:val="24"/>
          <w:lang w:val="ru-RU"/>
        </w:rPr>
      </w:pPr>
      <w:r>
        <w:rPr>
          <w:rFonts w:ascii="Tinos" w:hAnsi="Tinos"/>
          <w:b/>
          <w:bCs/>
          <w:color w:val="000000"/>
          <w:sz w:val="24"/>
          <w:szCs w:val="24"/>
          <w:lang w:val="ru-RU"/>
        </w:rPr>
        <w:t>Порты/протоколы</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80/HTTP</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443/TCP</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443/UDP</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5349/TCP</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3478/UDP</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935/TCP (для работы энкодера)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Сервис может некорректно работать при использовании proxy-серверов и других специфичных ограничений сети.</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 xml:space="preserve">При настройке </w:t>
      </w:r>
      <w:r>
        <w:rPr>
          <w:rFonts w:ascii="Tinos" w:hAnsi="Tinos"/>
          <w:b/>
          <w:bCs/>
          <w:color w:val="000000"/>
          <w:sz w:val="24"/>
          <w:szCs w:val="24"/>
          <w:lang w:val="ru-RU"/>
        </w:rPr>
        <w:t>SIP-протокола</w:t>
      </w:r>
      <w:r>
        <w:rPr>
          <w:rFonts w:ascii="Tinos" w:hAnsi="Tinos"/>
          <w:color w:val="000000"/>
          <w:sz w:val="24"/>
          <w:szCs w:val="24"/>
          <w:lang w:val="ru-RU"/>
        </w:rPr>
        <w:t xml:space="preserve"> необходимо добавить в исключения порты TCP/UDP:</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5060/TCP</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5061/TCP</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5060/UDP</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3238/UDP</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36000-40000//UDP (IVR)</w:t>
      </w:r>
    </w:p>
    <w:p>
      <w:pPr>
        <w:pStyle w:val="Normal"/>
        <w:numPr>
          <w:ilvl w:val="1"/>
          <w:numId w:val="1"/>
        </w:numPr>
        <w:tabs>
          <w:tab w:val="clear" w:pos="720"/>
          <w:tab w:val="left" w:pos="567" w:leader="none"/>
        </w:tabs>
        <w:ind w:hanging="450" w:left="426" w:right="57"/>
        <w:jc w:val="both"/>
        <w:rPr>
          <w:rFonts w:ascii="Tinos" w:hAnsi="Tinos"/>
          <w:color w:val="000000"/>
          <w:sz w:val="24"/>
          <w:szCs w:val="24"/>
          <w:lang w:val="ru-RU"/>
        </w:rPr>
      </w:pPr>
      <w:r>
        <w:rPr>
          <w:rFonts w:ascii="Tinos" w:hAnsi="Tinos"/>
          <w:color w:val="000000"/>
          <w:sz w:val="24"/>
          <w:szCs w:val="24"/>
          <w:lang w:val="ru-RU"/>
        </w:rPr>
        <w:t>36000-42000/UDP</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center"/>
        <w:rPr>
          <w:rFonts w:ascii="Tinos" w:hAnsi="Tinos"/>
          <w:b/>
          <w:bCs/>
          <w:color w:val="000000"/>
          <w:sz w:val="24"/>
          <w:szCs w:val="24"/>
          <w:lang w:val="ru-RU"/>
        </w:rPr>
      </w:pPr>
      <w:r>
        <w:rPr>
          <w:rFonts w:ascii="Tinos" w:hAnsi="Tinos"/>
          <w:b/>
          <w:bCs/>
          <w:color w:val="000000"/>
          <w:sz w:val="24"/>
          <w:szCs w:val="24"/>
          <w:lang w:val="ru-RU"/>
        </w:rPr>
        <w:t>7. ФОРС - МАЖОР</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7.1. В случае невозможности исполнения обязательств по настоящему контракту вследствие наступления обстоятельств непреодолимой силы (наводнения, пожара, землетрясения, эпидемии, военных конфликтов, военных переворотов, террористических актов, гражданских волнений, забастовок и других), ограничительных или запретительных мер государственных органов и иных чрезвычайных и непредотвратимых обстоятельств Стороны освобождаются от ответственности по настоящему контракту на весь срок действия данных обстоятельств. Если обстоятельства непреодолимой силы продолжаются более одного месяца, каждая из Сторон вправе отказаться от дальнейшего исполнения настоящего контракта. При этом ни одна из сторон не вправе требовать возмещения убытков, вызванных неисполнением настоящего контракта вследствие обстоятельств непреодолимой силы.</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7.2. Стороны обязаны незамедлительно в письменной форме известить друг друга о начале и окончании действия обстоятельств непреодолимой силы, препятствующих выполнению обязательств по настоящему контракту.</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7.3. Сторона, ссылающаяся на обстоятельства непреодолимой силы, обязана предоставить другой стороне в подтверждение их наступления документ компетентного государственного органа.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center"/>
        <w:rPr>
          <w:rFonts w:ascii="Tinos" w:hAnsi="Tinos"/>
          <w:b/>
          <w:bCs/>
          <w:color w:val="000000"/>
          <w:sz w:val="24"/>
          <w:szCs w:val="24"/>
          <w:lang w:val="ru-RU"/>
        </w:rPr>
      </w:pPr>
      <w:r>
        <w:rPr>
          <w:rFonts w:ascii="Tinos" w:hAnsi="Tinos"/>
          <w:b/>
          <w:bCs/>
          <w:color w:val="000000"/>
          <w:sz w:val="24"/>
          <w:szCs w:val="24"/>
          <w:lang w:val="ru-RU"/>
        </w:rPr>
        <w:t>8. СРОК ДЕЙСТВИЯ КОНТРАКТА</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8.1. Настоящий контракт вступает в силу с момента его подписания сторонами и прекращается после исполнения Сторонами всех своих обязательств по настоящему контракту.</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center"/>
        <w:rPr>
          <w:rFonts w:ascii="Tinos" w:hAnsi="Tinos"/>
          <w:b/>
          <w:bCs/>
          <w:color w:val="000000"/>
          <w:sz w:val="24"/>
          <w:szCs w:val="24"/>
          <w:lang w:val="ru-RU"/>
        </w:rPr>
      </w:pPr>
      <w:r>
        <w:rPr>
          <w:rFonts w:ascii="Tinos" w:hAnsi="Tinos"/>
          <w:b/>
          <w:bCs/>
          <w:color w:val="000000"/>
          <w:sz w:val="24"/>
          <w:szCs w:val="24"/>
          <w:lang w:val="ru-RU"/>
        </w:rPr>
        <w:t>9. ПРОЧИЕ УСЛОВИЯ</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9.1. Настоящий контракт составлен и подписан в двух экземплярах, имеющих равную юридическую силу, по одному экземпляру для каждой из сторон.</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9.2. Любые изменения и дополнения к настоящему контракту должны быть совершены в письменной форме в виде заключения дополнительного соглашения и подписаны уполномоченными на то представителями сторон.</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9.3. Стороны обязаны сообщать друг другу об изменении своих юридических, почтовых адресов, банковских реквизитов, номеров контактных телефонов, факсов и электронного адреса в двухдневный срок.</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9.4. По всем вопросам, не урегулированным настоящим контрактом, стороны руководствуются положениями действующего законодательства Российской Федерации.</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9.5. Стороны обязаны обеспечить конфиденциальность информации, полученной друг от друга в связи с исполнением настоящего контракта, в том числе финансовые условия настоящего контракта, а также сведений, разглашение которых может нанести ущерб любой из сторон.</w:t>
      </w:r>
    </w:p>
    <w:p>
      <w:pPr>
        <w:pStyle w:val="Normal"/>
        <w:numPr>
          <w:ilvl w:val="0"/>
          <w:numId w:val="0"/>
        </w:numPr>
        <w:tabs>
          <w:tab w:val="clear" w:pos="720"/>
          <w:tab w:val="left" w:pos="567" w:leader="none"/>
        </w:tabs>
        <w:ind w:hanging="0" w:left="426" w:right="57"/>
        <w:jc w:val="both"/>
        <w:rPr>
          <w:rFonts w:ascii="Tinos" w:hAnsi="Tinos"/>
          <w:color w:val="000000"/>
          <w:sz w:val="24"/>
          <w:szCs w:val="24"/>
          <w:lang w:val="ru-RU"/>
        </w:rPr>
      </w:pPr>
      <w:r>
        <w:rPr>
          <w:rFonts w:ascii="Tinos" w:hAnsi="Tinos"/>
          <w:color w:val="000000"/>
          <w:sz w:val="24"/>
          <w:szCs w:val="24"/>
          <w:lang w:val="ru-RU"/>
        </w:rPr>
        <w:t>9.6. Все споры и разногласия по настоящему контракту разрешаются Сторонами путем переговоров. При невозможности разрешения таких споров и разногласий путем переговоров они подлежат разрешению в Арбитражном суде г. Москвы.</w:t>
      </w:r>
    </w:p>
    <w:p>
      <w:pPr>
        <w:pStyle w:val="Normal"/>
        <w:tabs>
          <w:tab w:val="clear" w:pos="720"/>
          <w:tab w:val="left" w:pos="567" w:leader="none"/>
        </w:tabs>
        <w:ind w:hanging="450" w:left="426" w:right="57"/>
        <w:jc w:val="center"/>
        <w:rPr>
          <w:rFonts w:ascii="Tinos" w:hAnsi="Tinos"/>
          <w:color w:val="000000"/>
          <w:sz w:val="24"/>
          <w:szCs w:val="24"/>
          <w:lang w:val="ru-RU"/>
        </w:rPr>
      </w:pPr>
      <w:r>
        <w:rPr>
          <w:rFonts w:ascii="Tinos" w:hAnsi="Tinos"/>
          <w:color w:val="000000"/>
          <w:sz w:val="24"/>
          <w:szCs w:val="24"/>
          <w:lang w:val="ru-RU"/>
        </w:rPr>
      </w:r>
    </w:p>
    <w:p>
      <w:pPr>
        <w:pStyle w:val="Normal"/>
        <w:numPr>
          <w:ilvl w:val="0"/>
          <w:numId w:val="0"/>
        </w:numPr>
        <w:tabs>
          <w:tab w:val="clear" w:pos="720"/>
          <w:tab w:val="left" w:pos="567" w:leader="none"/>
        </w:tabs>
        <w:ind w:hanging="0" w:left="426" w:right="57"/>
        <w:jc w:val="center"/>
        <w:rPr>
          <w:b/>
          <w:bCs/>
        </w:rPr>
      </w:pPr>
      <w:r>
        <w:rPr>
          <w:rFonts w:ascii="Tinos" w:hAnsi="Tinos"/>
          <w:b/>
          <w:bCs/>
          <w:color w:val="000000"/>
          <w:sz w:val="24"/>
          <w:szCs w:val="24"/>
          <w:lang w:val="ru-RU"/>
        </w:rPr>
        <w:t>Реквизиты и подписи сторон</w:t>
      </w:r>
    </w:p>
    <w:tbl>
      <w:tblPr>
        <w:tblW w:w="5000" w:type="pct"/>
        <w:jc w:val="left"/>
        <w:tblInd w:w="55" w:type="dxa"/>
        <w:tblLayout w:type="fixed"/>
        <w:tblCellMar>
          <w:top w:w="55" w:type="dxa"/>
          <w:left w:w="55" w:type="dxa"/>
          <w:bottom w:w="55" w:type="dxa"/>
          <w:right w:w="55" w:type="dxa"/>
        </w:tblCellMar>
      </w:tblPr>
      <w:tblGrid>
        <w:gridCol w:w="5325"/>
        <w:gridCol w:w="5140"/>
      </w:tblGrid>
      <w:tr>
        <w:trPr/>
        <w:tc>
          <w:tcPr>
            <w:tcW w:w="5325" w:type="dxa"/>
            <w:tcBorders>
              <w:top w:val="single" w:sz="4" w:space="0" w:color="000000"/>
              <w:left w:val="single" w:sz="4" w:space="0" w:color="000000"/>
              <w:bottom w:val="single" w:sz="4" w:space="0" w:color="000000"/>
            </w:tcBorders>
          </w:tcPr>
          <w:p>
            <w:pPr>
              <w:pStyle w:val="user5"/>
              <w:jc w:val="center"/>
              <w:rPr>
                <w:rFonts w:ascii="Tinos" w:hAnsi="Tinos"/>
                <w:color w:val="000000"/>
                <w:sz w:val="24"/>
                <w:szCs w:val="24"/>
                <w:lang w:val="ru-RU" w:bidi="ar-SA"/>
              </w:rPr>
            </w:pPr>
            <w:r>
              <w:rPr>
                <w:rFonts w:ascii="Tinos" w:hAnsi="Tinos"/>
                <w:b/>
                <w:bCs/>
                <w:i w:val="false"/>
                <w:iCs w:val="false"/>
                <w:strike w:val="false"/>
                <w:dstrike w:val="false"/>
                <w:outline w:val="false"/>
                <w:shadow w:val="false"/>
                <w:color w:val="000000"/>
                <w:sz w:val="24"/>
                <w:szCs w:val="24"/>
                <w:u w:val="none"/>
                <w:lang w:val="ru-RU" w:bidi="ar-SA"/>
              </w:rPr>
              <w:t>Заказчик</w:t>
            </w:r>
          </w:p>
          <w:p>
            <w:pPr>
              <w:pStyle w:val="Normal"/>
              <w:rPr>
                <w:rFonts w:ascii="Tinos" w:hAnsi="Tinos"/>
                <w:color w:val="000000"/>
                <w:sz w:val="24"/>
                <w:szCs w:val="24"/>
                <w:lang w:val="ru-RU" w:bidi="ar-SA"/>
              </w:rPr>
            </w:pPr>
            <w:r>
              <w:rPr>
                <w:rFonts w:eastAsia="Times New Roman" w:cs="Times New Roman" w:ascii="Tinos" w:hAnsi="Tinos"/>
                <w:b/>
                <w:bCs/>
                <w:color w:val="000000"/>
                <w:kern w:val="0"/>
                <w:sz w:val="24"/>
                <w:szCs w:val="24"/>
                <w:lang w:val="ru-RU" w:eastAsia="ru-RU" w:bidi="ar-SA"/>
              </w:rPr>
              <w:t>Федеральное</w:t>
            </w:r>
            <w:r>
              <w:rPr>
                <w:rFonts w:eastAsia="Times New Roman" w:cs="Times New Roman" w:ascii="Tinos" w:hAnsi="Tinos"/>
                <w:b/>
                <w:bCs/>
                <w:color w:val="000000"/>
                <w:spacing w:val="-13"/>
                <w:kern w:val="0"/>
                <w:sz w:val="24"/>
                <w:szCs w:val="24"/>
                <w:lang w:val="ru-RU" w:eastAsia="ru-RU" w:bidi="ar-SA"/>
              </w:rPr>
              <w:t xml:space="preserve"> </w:t>
            </w:r>
            <w:r>
              <w:rPr>
                <w:rFonts w:eastAsia="Times New Roman" w:cs="Times New Roman" w:ascii="Tinos" w:hAnsi="Tinos"/>
                <w:b/>
                <w:bCs/>
                <w:color w:val="000000"/>
                <w:kern w:val="0"/>
                <w:sz w:val="24"/>
                <w:szCs w:val="24"/>
                <w:lang w:val="ru-RU" w:eastAsia="ru-RU" w:bidi="ar-SA"/>
              </w:rPr>
              <w:t>государственное</w:t>
            </w:r>
            <w:r>
              <w:rPr>
                <w:rFonts w:eastAsia="Times New Roman" w:cs="Times New Roman" w:ascii="Tinos" w:hAnsi="Tinos"/>
                <w:b/>
                <w:bCs/>
                <w:color w:val="000000"/>
                <w:spacing w:val="-12"/>
                <w:kern w:val="0"/>
                <w:sz w:val="24"/>
                <w:szCs w:val="24"/>
                <w:lang w:val="ru-RU" w:eastAsia="ru-RU" w:bidi="ar-SA"/>
              </w:rPr>
              <w:t xml:space="preserve"> </w:t>
            </w:r>
            <w:r>
              <w:rPr>
                <w:rFonts w:eastAsia="Times New Roman" w:cs="Times New Roman" w:ascii="Tinos" w:hAnsi="Tinos"/>
                <w:b/>
                <w:bCs/>
                <w:color w:val="000000"/>
                <w:kern w:val="0"/>
                <w:sz w:val="24"/>
                <w:szCs w:val="24"/>
                <w:lang w:val="ru-RU" w:eastAsia="ru-RU" w:bidi="ar-SA"/>
              </w:rPr>
              <w:t>бюджетное</w:t>
            </w:r>
            <w:r>
              <w:rPr>
                <w:rFonts w:eastAsia="Times New Roman" w:cs="Times New Roman" w:ascii="Tinos" w:hAnsi="Tinos"/>
                <w:b/>
                <w:bCs/>
                <w:color w:val="000000"/>
                <w:spacing w:val="-13"/>
                <w:kern w:val="0"/>
                <w:sz w:val="24"/>
                <w:szCs w:val="24"/>
                <w:lang w:val="ru-RU" w:eastAsia="ru-RU" w:bidi="ar-SA"/>
              </w:rPr>
              <w:t xml:space="preserve"> </w:t>
            </w:r>
            <w:r>
              <w:rPr>
                <w:rFonts w:eastAsia="Times New Roman" w:cs="Times New Roman" w:ascii="Tinos" w:hAnsi="Tinos"/>
                <w:b/>
                <w:bCs/>
                <w:color w:val="000000"/>
                <w:kern w:val="0"/>
                <w:sz w:val="24"/>
                <w:szCs w:val="24"/>
                <w:lang w:val="ru-RU" w:eastAsia="ru-RU" w:bidi="ar-SA"/>
              </w:rPr>
              <w:t>научное учреждение</w:t>
            </w:r>
            <w:r>
              <w:rPr>
                <w:rFonts w:eastAsia="Times New Roman" w:cs="Times New Roman" w:ascii="Tinos" w:hAnsi="Tinos"/>
                <w:b/>
                <w:bCs/>
                <w:color w:val="000000"/>
                <w:spacing w:val="-13"/>
                <w:kern w:val="0"/>
                <w:sz w:val="24"/>
                <w:szCs w:val="24"/>
                <w:lang w:val="ru-RU" w:eastAsia="ru-RU" w:bidi="ar-SA"/>
              </w:rPr>
              <w:t xml:space="preserve"> </w:t>
            </w:r>
            <w:r>
              <w:rPr>
                <w:rFonts w:eastAsia="Times New Roman" w:cs="Times New Roman" w:ascii="Tinos" w:hAnsi="Tinos"/>
                <w:b/>
                <w:bCs/>
                <w:color w:val="000000"/>
                <w:kern w:val="0"/>
                <w:sz w:val="24"/>
                <w:szCs w:val="24"/>
                <w:lang w:val="ru-RU" w:eastAsia="ru-RU" w:bidi="ar-SA"/>
              </w:rPr>
              <w:t>«Научно-исследовательский</w:t>
            </w:r>
            <w:r>
              <w:rPr>
                <w:rFonts w:eastAsia="Times New Roman" w:cs="Times New Roman" w:ascii="Tinos" w:hAnsi="Tinos"/>
                <w:b/>
                <w:bCs/>
                <w:color w:val="000000"/>
                <w:spacing w:val="-12"/>
                <w:kern w:val="0"/>
                <w:sz w:val="24"/>
                <w:szCs w:val="24"/>
                <w:lang w:val="ru-RU" w:eastAsia="ru-RU" w:bidi="ar-SA"/>
              </w:rPr>
              <w:t xml:space="preserve"> </w:t>
            </w:r>
            <w:r>
              <w:rPr>
                <w:rFonts w:eastAsia="Times New Roman" w:cs="Times New Roman" w:ascii="Tinos" w:hAnsi="Tinos"/>
                <w:b/>
                <w:bCs/>
                <w:color w:val="000000"/>
                <w:kern w:val="0"/>
                <w:sz w:val="24"/>
                <w:szCs w:val="24"/>
                <w:lang w:val="ru-RU" w:eastAsia="ru-RU" w:bidi="ar-SA"/>
              </w:rPr>
              <w:t xml:space="preserve">институт комплексных проблем сердечно-сосудистых </w:t>
            </w:r>
            <w:r>
              <w:rPr>
                <w:rFonts w:eastAsia="Times New Roman" w:cs="Times New Roman" w:ascii="Tinos" w:hAnsi="Tinos"/>
                <w:b/>
                <w:bCs/>
                <w:color w:val="000000"/>
                <w:spacing w:val="-2"/>
                <w:kern w:val="0"/>
                <w:sz w:val="24"/>
                <w:szCs w:val="24"/>
                <w:lang w:val="ru-RU" w:eastAsia="ru-RU" w:bidi="ar-SA"/>
              </w:rPr>
              <w:t>заболеваний» (НИИ КПССЗ)</w:t>
            </w:r>
          </w:p>
          <w:p>
            <w:pPr>
              <w:pStyle w:val="Normal"/>
              <w:rPr>
                <w:rFonts w:ascii="Tinos" w:hAnsi="Tinos" w:eastAsia="Times New Roman" w:cs="Times New Roman"/>
                <w:color w:val="000000"/>
                <w:kern w:val="0"/>
                <w:sz w:val="24"/>
                <w:szCs w:val="24"/>
                <w:lang w:val="ru-RU" w:eastAsia="ru-RU" w:bidi="ar-SA"/>
              </w:rPr>
            </w:pPr>
            <w:r>
              <w:rPr>
                <w:rFonts w:eastAsia="Times New Roman" w:cs="Times New Roman" w:ascii="Tinos" w:hAnsi="Tinos"/>
                <w:color w:val="000000"/>
                <w:kern w:val="0"/>
                <w:sz w:val="24"/>
                <w:szCs w:val="24"/>
                <w:lang w:val="ru-RU" w:eastAsia="ru-RU" w:bidi="ar-SA"/>
              </w:rPr>
            </w:r>
          </w:p>
          <w:p>
            <w:pPr>
              <w:pStyle w:val="Normal"/>
              <w:rPr>
                <w:rFonts w:ascii="Tinos" w:hAnsi="Tinos"/>
                <w:color w:val="000000"/>
                <w:sz w:val="24"/>
                <w:szCs w:val="24"/>
                <w:lang w:val="ru-RU" w:bidi="ar-SA"/>
              </w:rPr>
            </w:pPr>
            <w:r>
              <w:rPr>
                <w:rFonts w:eastAsia="Times New Roman" w:cs="Times New Roman" w:ascii="Tinos" w:hAnsi="Tinos"/>
                <w:color w:val="000000"/>
                <w:kern w:val="0"/>
                <w:sz w:val="24"/>
                <w:szCs w:val="24"/>
                <w:lang w:val="ru-RU" w:eastAsia="ru-RU" w:bidi="ar-SA"/>
              </w:rPr>
              <w:t>Юридический и фактический адрес:</w:t>
            </w:r>
          </w:p>
          <w:p>
            <w:pPr>
              <w:pStyle w:val="Normal"/>
              <w:rPr>
                <w:rFonts w:ascii="Tinos" w:hAnsi="Tinos"/>
                <w:color w:val="000000"/>
                <w:sz w:val="24"/>
                <w:szCs w:val="24"/>
                <w:lang w:val="ru-RU" w:bidi="ar-SA"/>
              </w:rPr>
            </w:pPr>
            <w:r>
              <w:rPr>
                <w:rFonts w:eastAsia="Times New Roman" w:cs="Times New Roman" w:ascii="Tinos" w:hAnsi="Tinos"/>
                <w:color w:val="000000"/>
                <w:kern w:val="0"/>
                <w:sz w:val="24"/>
                <w:szCs w:val="24"/>
                <w:lang w:val="ru-RU" w:eastAsia="ru-RU" w:bidi="ar-SA"/>
              </w:rPr>
              <w:t>650002, Кемеровская область — Кузбасс,              г. Кемерово, бульвар имени академика Л.С. Барбараша, стр. 6</w:t>
            </w:r>
          </w:p>
          <w:p>
            <w:pPr>
              <w:pStyle w:val="Normal"/>
              <w:spacing w:before="0" w:after="0"/>
              <w:rPr>
                <w:rFonts w:ascii="Tinos" w:hAnsi="Tinos"/>
                <w:color w:val="000000"/>
                <w:sz w:val="24"/>
                <w:szCs w:val="24"/>
                <w:lang w:val="ru-RU" w:bidi="ar-SA"/>
              </w:rPr>
            </w:pPr>
            <w:r>
              <w:rPr>
                <w:rFonts w:eastAsia="Times New Roman" w:cs="Times New Roman" w:ascii="Tinos" w:hAnsi="Tinos"/>
                <w:iCs/>
                <w:color w:val="000000"/>
                <w:kern w:val="0"/>
                <w:sz w:val="24"/>
                <w:szCs w:val="24"/>
                <w:lang w:val="ru-RU" w:eastAsia="ru-RU" w:bidi="ar-SA"/>
              </w:rPr>
              <w:t>Тел/факс: +7 (3842) 64-33-08</w:t>
            </w:r>
          </w:p>
          <w:p>
            <w:pPr>
              <w:pStyle w:val="Normal"/>
              <w:overflowPunct w:val="true"/>
              <w:spacing w:before="0" w:after="0"/>
              <w:rPr>
                <w:rFonts w:ascii="Tinos" w:hAnsi="Tinos"/>
                <w:color w:val="000000"/>
                <w:sz w:val="24"/>
                <w:szCs w:val="24"/>
                <w:lang w:val="ru-RU" w:bidi="ar-SA"/>
              </w:rPr>
            </w:pPr>
            <w:r>
              <w:rPr>
                <w:rFonts w:eastAsia="Times New Roman" w:cs="Times New Roman" w:ascii="Tinos" w:hAnsi="Tinos"/>
                <w:iCs/>
                <w:color w:val="000000"/>
                <w:kern w:val="0"/>
                <w:sz w:val="24"/>
                <w:szCs w:val="24"/>
                <w:lang w:val="ru-RU" w:eastAsia="ru-RU" w:bidi="ar-SA"/>
              </w:rPr>
              <w:t>E-mail:  reception@kemcardio.ru</w:t>
            </w:r>
          </w:p>
          <w:p>
            <w:pPr>
              <w:pStyle w:val="Normal"/>
              <w:rPr>
                <w:rFonts w:ascii="Tinos" w:hAnsi="Tinos" w:eastAsia="Times New Roman" w:cs="Times New Roman"/>
                <w:color w:val="000000"/>
                <w:kern w:val="0"/>
                <w:sz w:val="24"/>
                <w:szCs w:val="24"/>
                <w:lang w:val="ru-RU" w:eastAsia="ru-RU" w:bidi="ar-SA"/>
              </w:rPr>
            </w:pPr>
            <w:r>
              <w:rPr>
                <w:rFonts w:eastAsia="Times New Roman" w:cs="Times New Roman" w:ascii="Tinos" w:hAnsi="Tinos"/>
                <w:color w:val="000000"/>
                <w:kern w:val="0"/>
                <w:sz w:val="24"/>
                <w:szCs w:val="24"/>
                <w:lang w:val="ru-RU" w:eastAsia="ru-RU" w:bidi="ar-SA"/>
              </w:rPr>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Банковские реквизиты:</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УФК по Новосибирской области (НИИ КПССЗ л/с 20396Х66880)</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УФК по Новосибирской области (НИИ КПССЗ л/с 22396Х66880)</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УФК по Новосибирской области (НИИ КПССЗ л/с 21396Х66880)</w:t>
            </w:r>
          </w:p>
          <w:p>
            <w:pPr>
              <w:pStyle w:val="BodyText"/>
              <w:widowControl w:val="false"/>
              <w:bidi w:val="0"/>
              <w:spacing w:lineRule="auto" w:line="240" w:before="0" w:after="0"/>
              <w:ind w:left="316" w:right="0"/>
              <w:jc w:val="left"/>
              <w:rPr>
                <w:rFonts w:ascii="Tinos" w:hAnsi="Tinos"/>
                <w:color w:val="000000"/>
                <w:sz w:val="24"/>
                <w:szCs w:val="24"/>
                <w:lang w:val="ru-RU" w:bidi="ar-SA"/>
              </w:rPr>
            </w:pPr>
            <w:r>
              <w:rPr>
                <w:rFonts w:ascii="Tinos" w:hAnsi="Tinos"/>
                <w:color w:val="000000"/>
                <w:sz w:val="24"/>
                <w:szCs w:val="24"/>
                <w:lang w:val="ru-RU" w:bidi="ar-SA"/>
              </w:rPr>
            </w:r>
          </w:p>
          <w:p>
            <w:pPr>
              <w:pStyle w:val="BodyText"/>
              <w:widowControl w:val="false"/>
              <w:bidi w:val="0"/>
              <w:spacing w:lineRule="auto" w:line="240" w:before="0" w:after="0"/>
              <w:ind w:left="316" w:right="0"/>
              <w:jc w:val="left"/>
              <w:rPr>
                <w:rFonts w:ascii="Tinos" w:hAnsi="Tinos"/>
                <w:color w:val="000000"/>
                <w:sz w:val="24"/>
                <w:szCs w:val="24"/>
                <w:lang w:val="ru-RU" w:bidi="ar-SA"/>
              </w:rPr>
            </w:pPr>
            <w:r>
              <w:rPr>
                <w:rFonts w:ascii="Tinos" w:hAnsi="Tinos"/>
                <w:color w:val="000000"/>
                <w:sz w:val="24"/>
                <w:szCs w:val="24"/>
                <w:lang w:val="ru-RU" w:bidi="ar-SA"/>
              </w:rPr>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ИНН 4205012290</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КПП 420501001</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КС 03214643000000015106</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ОКЦ № 1 СибГУ Банка России//УФК по Новосибирской области, г. Новосибирск</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БИК 015004950</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ЕКС 40102810445370000043</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КБК 00000000000000000130</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ОГРН 1034205024479</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ОКПО 55608705</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ОКАТО 32401000000</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ОКТМО 32701000</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ОКОГУ 1330612</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ОКФС 12</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ОКОПФ 75103</w:t>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ОКВЭД 72.19</w:t>
            </w:r>
          </w:p>
          <w:p>
            <w:pPr>
              <w:pStyle w:val="BodyText"/>
              <w:widowControl w:val="false"/>
              <w:bidi w:val="0"/>
              <w:spacing w:lineRule="auto" w:line="240" w:before="0" w:after="0"/>
              <w:ind w:left="316" w:right="0"/>
              <w:jc w:val="left"/>
              <w:rPr>
                <w:rFonts w:ascii="Tinos" w:hAnsi="Tinos"/>
                <w:color w:val="000000"/>
                <w:sz w:val="24"/>
                <w:szCs w:val="24"/>
                <w:lang w:val="ru-RU" w:bidi="ar-SA"/>
              </w:rPr>
            </w:pPr>
            <w:r>
              <w:rPr>
                <w:rFonts w:ascii="Tinos" w:hAnsi="Tinos"/>
                <w:color w:val="000000"/>
                <w:sz w:val="24"/>
                <w:szCs w:val="24"/>
                <w:lang w:val="ru-RU" w:bidi="ar-SA"/>
              </w:rPr>
            </w:r>
          </w:p>
          <w:p>
            <w:pPr>
              <w:pStyle w:val="BodyText"/>
              <w:widowControl w:val="false"/>
              <w:bidi w:val="0"/>
              <w:spacing w:lineRule="auto" w:line="240" w:before="0" w:after="0"/>
              <w:ind w:hanging="0" w:left="0" w:right="0"/>
              <w:jc w:val="left"/>
              <w:rPr>
                <w:rFonts w:ascii="Tinos" w:hAnsi="Tinos"/>
                <w:color w:val="000000"/>
                <w:sz w:val="24"/>
                <w:szCs w:val="24"/>
                <w:lang w:val="ru-RU" w:bidi="ar-SA"/>
              </w:rPr>
            </w:pPr>
            <w:r>
              <w:rPr>
                <w:rFonts w:ascii="Tinos" w:hAnsi="Tinos"/>
                <w:color w:val="000000"/>
                <w:sz w:val="24"/>
                <w:szCs w:val="24"/>
                <w:lang w:val="ru-RU" w:bidi="ar-SA"/>
              </w:rPr>
              <w:t>Начальник отдела материально- технического снабжения</w:t>
            </w:r>
          </w:p>
          <w:p>
            <w:pPr>
              <w:pStyle w:val="BodyText"/>
              <w:widowControl w:val="false"/>
              <w:bidi w:val="0"/>
              <w:spacing w:lineRule="auto" w:line="240" w:before="0" w:after="0"/>
              <w:ind w:left="316" w:right="0"/>
              <w:jc w:val="left"/>
              <w:rPr>
                <w:rFonts w:ascii="Tinos" w:hAnsi="Tinos"/>
                <w:color w:val="000000"/>
                <w:sz w:val="24"/>
                <w:szCs w:val="24"/>
                <w:lang w:val="ru-RU" w:bidi="ar-SA"/>
              </w:rPr>
            </w:pPr>
            <w:r>
              <w:rPr>
                <w:rFonts w:ascii="Tinos" w:hAnsi="Tinos"/>
                <w:color w:val="000000"/>
                <w:sz w:val="24"/>
                <w:szCs w:val="24"/>
                <w:lang w:val="ru-RU" w:bidi="ar-SA"/>
              </w:rPr>
            </w:r>
          </w:p>
          <w:p>
            <w:pPr>
              <w:pStyle w:val="BodyText"/>
              <w:widowControl w:val="false"/>
              <w:bidi w:val="0"/>
              <w:spacing w:lineRule="auto" w:line="240" w:before="0" w:after="0"/>
              <w:ind w:left="316" w:right="0"/>
              <w:jc w:val="left"/>
              <w:rPr>
                <w:rFonts w:ascii="Tinos" w:hAnsi="Tinos"/>
                <w:color w:val="000000"/>
                <w:sz w:val="24"/>
                <w:szCs w:val="24"/>
                <w:lang w:val="ru-RU" w:bidi="ar-SA"/>
              </w:rPr>
            </w:pPr>
            <w:r>
              <w:rPr>
                <w:rFonts w:ascii="Tinos" w:hAnsi="Tinos"/>
                <w:color w:val="000000"/>
                <w:sz w:val="24"/>
                <w:szCs w:val="24"/>
                <w:lang w:val="ru-RU" w:bidi="ar-SA"/>
              </w:rPr>
              <w:t>_______________ А.Е. Кузнецова</w:t>
            </w:r>
          </w:p>
          <w:p>
            <w:pPr>
              <w:pStyle w:val="BodyText"/>
              <w:widowControl w:val="false"/>
              <w:bidi w:val="0"/>
              <w:spacing w:lineRule="auto" w:line="240" w:before="0" w:after="0"/>
              <w:ind w:left="316" w:right="0"/>
              <w:jc w:val="left"/>
              <w:rPr>
                <w:rFonts w:ascii="Tinos" w:hAnsi="Tinos"/>
                <w:color w:val="000000"/>
                <w:sz w:val="24"/>
                <w:szCs w:val="24"/>
                <w:lang w:val="ru-RU" w:bidi="ar-SA"/>
              </w:rPr>
            </w:pPr>
            <w:r>
              <w:rPr>
                <w:rFonts w:ascii="Tinos" w:hAnsi="Tinos"/>
                <w:color w:val="000000"/>
                <w:sz w:val="24"/>
                <w:szCs w:val="24"/>
                <w:lang w:val="ru-RU" w:bidi="ar-SA"/>
              </w:rPr>
            </w:r>
          </w:p>
        </w:tc>
        <w:tc>
          <w:tcPr>
            <w:tcW w:w="5140" w:type="dxa"/>
            <w:tcBorders>
              <w:top w:val="single" w:sz="4" w:space="0" w:color="000000"/>
              <w:left w:val="single" w:sz="4" w:space="0" w:color="000000"/>
              <w:bottom w:val="single" w:sz="4" w:space="0" w:color="000000"/>
              <w:right w:val="single" w:sz="4" w:space="0" w:color="000000"/>
            </w:tcBorders>
          </w:tcPr>
          <w:p>
            <w:pPr>
              <w:pStyle w:val="Normal"/>
              <w:ind w:firstLine="34" w:left="170" w:right="1891"/>
              <w:jc w:val="center"/>
              <w:rPr>
                <w:rFonts w:ascii="Tinos" w:hAnsi="Tinos"/>
                <w:color w:val="000000"/>
                <w:sz w:val="24"/>
                <w:szCs w:val="24"/>
                <w:lang w:val="ru-RU" w:bidi="ar-SA"/>
              </w:rPr>
            </w:pPr>
            <w:r>
              <w:rPr>
                <w:rFonts w:ascii="Tinos" w:hAnsi="Tinos"/>
                <w:b/>
                <w:bCs/>
                <w:i w:val="false"/>
                <w:iCs w:val="false"/>
                <w:strike w:val="false"/>
                <w:dstrike w:val="false"/>
                <w:outline w:val="false"/>
                <w:shadow w:val="false"/>
                <w:color w:val="000000"/>
                <w:spacing w:val="-2"/>
                <w:sz w:val="24"/>
                <w:szCs w:val="24"/>
                <w:u w:val="none"/>
                <w:lang w:val="ru-RU" w:bidi="ar-SA"/>
              </w:rPr>
              <w:t>Исполнитель</w:t>
            </w:r>
          </w:p>
          <w:p>
            <w:pPr>
              <w:pStyle w:val="BodyText"/>
              <w:ind w:hanging="0" w:left="0" w:right="0"/>
              <w:jc w:val="both"/>
              <w:rPr>
                <w:rFonts w:ascii="Tinos" w:hAnsi="Tinos"/>
                <w:color w:val="000000"/>
                <w:sz w:val="24"/>
                <w:szCs w:val="24"/>
                <w:lang w:val="ru-RU" w:bidi="ar-SA"/>
              </w:rPr>
            </w:pPr>
            <w:r>
              <w:rPr>
                <w:rFonts w:ascii="Tinos" w:hAnsi="Tinos"/>
                <w:color w:val="000000"/>
                <w:spacing w:val="-4"/>
                <w:sz w:val="24"/>
                <w:szCs w:val="24"/>
                <w:lang w:val="ru-RU" w:bidi="ar-SA"/>
              </w:rPr>
              <w:t xml:space="preserve"> </w:t>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p>
            <w:pPr>
              <w:pStyle w:val="user5"/>
              <w:jc w:val="left"/>
              <w:rPr>
                <w:rFonts w:ascii="Tinos" w:hAnsi="Tinos"/>
                <w:color w:val="000000"/>
                <w:sz w:val="24"/>
                <w:szCs w:val="24"/>
                <w:lang w:val="ru-RU" w:bidi="ar-SA"/>
              </w:rPr>
            </w:pPr>
            <w:r>
              <w:rPr/>
            </w:r>
          </w:p>
          <w:p>
            <w:pPr>
              <w:pStyle w:val="BodyText"/>
              <w:ind w:firstLine="34" w:left="170" w:right="1891"/>
              <w:rPr>
                <w:rFonts w:ascii="Tinos" w:hAnsi="Tinos"/>
                <w:color w:val="000000"/>
                <w:spacing w:val="-2"/>
                <w:sz w:val="24"/>
                <w:szCs w:val="24"/>
                <w:lang w:val="ru-RU" w:bidi="ar-SA"/>
              </w:rPr>
            </w:pPr>
            <w:r>
              <w:rPr>
                <w:rFonts w:ascii="Tinos" w:hAnsi="Tinos"/>
                <w:color w:val="000000"/>
                <w:spacing w:val="-2"/>
                <w:sz w:val="24"/>
                <w:szCs w:val="24"/>
                <w:lang w:val="ru-RU" w:bidi="ar-SA"/>
              </w:rPr>
            </w:r>
          </w:p>
        </w:tc>
      </w:tr>
    </w:tbl>
    <w:p>
      <w:pPr>
        <w:pStyle w:val="Normal"/>
        <w:jc w:val="both"/>
        <w:rPr>
          <w:rFonts w:ascii="Tinos" w:hAnsi="Tinos"/>
          <w:color w:val="000000"/>
          <w:sz w:val="24"/>
          <w:szCs w:val="24"/>
        </w:rPr>
      </w:pPr>
      <w:r>
        <w:rPr>
          <w:rFonts w:ascii="Tinos" w:hAnsi="Tinos"/>
          <w:color w:val="000000"/>
          <w:sz w:val="24"/>
          <w:szCs w:val="24"/>
        </w:rPr>
      </w:r>
    </w:p>
    <w:p>
      <w:pPr>
        <w:pStyle w:val="Normal"/>
        <w:jc w:val="both"/>
        <w:rPr>
          <w:rFonts w:ascii="Tinos" w:hAnsi="Tinos"/>
          <w:color w:val="000000"/>
          <w:sz w:val="24"/>
          <w:szCs w:val="24"/>
        </w:rPr>
      </w:pPr>
      <w:r>
        <w:rPr>
          <w:rFonts w:ascii="Tinos" w:hAnsi="Tinos"/>
          <w:color w:val="000000"/>
          <w:sz w:val="24"/>
          <w:szCs w:val="24"/>
        </w:rPr>
      </w:r>
    </w:p>
    <w:p>
      <w:pPr>
        <w:pStyle w:val="Normal"/>
        <w:jc w:val="both"/>
        <w:rPr>
          <w:rFonts w:ascii="Tinos" w:hAnsi="Tinos"/>
          <w:color w:val="000000"/>
          <w:sz w:val="24"/>
          <w:szCs w:val="24"/>
        </w:rPr>
      </w:pPr>
      <w:r>
        <w:rPr>
          <w:rFonts w:ascii="Tinos" w:hAnsi="Tinos"/>
          <w:color w:val="000000"/>
          <w:sz w:val="24"/>
          <w:szCs w:val="24"/>
        </w:rPr>
      </w:r>
    </w:p>
    <w:p>
      <w:pPr>
        <w:pStyle w:val="Normal"/>
        <w:jc w:val="both"/>
        <w:rPr>
          <w:rFonts w:ascii="Tinos" w:hAnsi="Tinos"/>
          <w:color w:val="000000"/>
          <w:sz w:val="24"/>
          <w:szCs w:val="24"/>
        </w:rPr>
      </w:pPr>
      <w:r>
        <w:rPr>
          <w:rFonts w:ascii="Tinos" w:hAnsi="Tinos"/>
          <w:color w:val="000000"/>
          <w:sz w:val="24"/>
          <w:szCs w:val="24"/>
        </w:rPr>
      </w:r>
    </w:p>
    <w:p>
      <w:pPr>
        <w:pStyle w:val="Normal"/>
        <w:jc w:val="both"/>
        <w:rPr>
          <w:rFonts w:ascii="Tinos" w:hAnsi="Tinos"/>
          <w:color w:val="000000"/>
          <w:sz w:val="24"/>
          <w:szCs w:val="24"/>
        </w:rPr>
      </w:pPr>
      <w:r>
        <w:rPr>
          <w:rFonts w:ascii="Tinos" w:hAnsi="Tinos"/>
          <w:color w:val="000000"/>
          <w:sz w:val="24"/>
          <w:szCs w:val="24"/>
        </w:rPr>
      </w:r>
    </w:p>
    <w:p>
      <w:pPr>
        <w:pStyle w:val="Normal"/>
        <w:jc w:val="both"/>
        <w:rPr>
          <w:rFonts w:ascii="Tinos" w:hAnsi="Tinos"/>
          <w:color w:val="000000"/>
          <w:sz w:val="24"/>
          <w:szCs w:val="24"/>
        </w:rPr>
      </w:pPr>
      <w:r>
        <w:rPr>
          <w:rFonts w:ascii="Tinos" w:hAnsi="Tinos"/>
          <w:color w:val="000000"/>
          <w:sz w:val="24"/>
          <w:szCs w:val="24"/>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720" w:right="720" w:gutter="0" w:header="181" w:top="851" w:footer="709"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Cambria">
    <w:charset w:val="01"/>
    <w:family w:val="roman"/>
    <w:pitch w:val="default"/>
  </w:font>
  <w:font w:name="Courier New">
    <w:charset w:val="01"/>
    <w:family w:val="roman"/>
    <w:pitch w:val="default"/>
  </w:font>
  <w:font w:name="Arial">
    <w:charset w:val="01"/>
    <w:family w:val="swiss"/>
    <w:pitch w:val="default"/>
  </w:font>
  <w:font w:name="Tahoma">
    <w:charset w:val="01"/>
    <w:family w:val="swiss"/>
    <w:pitch w:val="default"/>
  </w:font>
  <w:font w:name="OpenSymbol">
    <w:altName w:val="Arial Unicode MS"/>
    <w:charset w:val="01"/>
    <w:family w:val="roman"/>
    <w:pitch w:val="default"/>
  </w:font>
  <w:font w:name="PT Astra Serif">
    <w:charset w:val="01"/>
    <w:family w:val="roman"/>
    <w:pitch w:val="default"/>
  </w:font>
  <w:font w:name="Arial Unicode MS">
    <w:charset w:val="01"/>
    <w:family w:val="swiss"/>
    <w:pitch w:val="default"/>
  </w:font>
  <w:font w:name="GaramondC">
    <w:charset w:val="01"/>
    <w:family w:val="roman"/>
    <w:pitch w:val="default"/>
  </w:font>
  <w:font w:name="Tinos">
    <w:charset w:val="01"/>
    <w:family w:val="roman"/>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1" distT="0" distB="0" distL="0" distR="0" simplePos="0" locked="0" layoutInCell="0" allowOverlap="1" relativeHeight="11">
              <wp:simplePos x="0" y="0"/>
              <wp:positionH relativeFrom="margin">
                <wp:align>right</wp:align>
              </wp:positionH>
              <wp:positionV relativeFrom="paragraph">
                <wp:posOffset>635</wp:posOffset>
              </wp:positionV>
              <wp:extent cx="14605" cy="14605"/>
              <wp:effectExtent l="0" t="0" r="0" b="0"/>
              <wp:wrapSquare wrapText="bothSides"/>
              <wp:docPr id="3"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lang w:val="ru-RU"/>
      </w:rPr>
    </w:pPr>
    <w:r>
      <w:rPr>
        <w:lang w:val="ru-RU"/>
      </w:rPr>
      <mc:AlternateContent>
        <mc:Choice Requires="wps">
          <w:drawing>
            <wp:anchor behindDoc="1" distT="0" distB="0" distL="0" distR="0" simplePos="0" locked="0" layoutInCell="0" allowOverlap="1" relativeHeight="9">
              <wp:simplePos x="0" y="0"/>
              <wp:positionH relativeFrom="margin">
                <wp:align>right</wp:align>
              </wp:positionH>
              <wp:positionV relativeFrom="paragraph">
                <wp:posOffset>635</wp:posOffset>
              </wp:positionV>
              <wp:extent cx="14605" cy="173990"/>
              <wp:effectExtent l="0" t="0" r="0" b="0"/>
              <wp:wrapSquare wrapText="bothSides"/>
              <wp:docPr id="4" name="Врезка3"/>
              <a:graphic xmlns:a="http://schemas.openxmlformats.org/drawingml/2006/main">
                <a:graphicData uri="http://schemas.microsoft.com/office/word/2010/wordprocessingShape">
                  <wps:wsp>
                    <wps:cNvSpPr/>
                    <wps:spPr>
                      <a:xfrm>
                        <a:off x="0" y="0"/>
                        <a:ext cx="14760" cy="173880"/>
                      </a:xfrm>
                      <a:prstGeom prst="rect">
                        <a:avLst/>
                      </a:prstGeom>
                      <a:noFill/>
                      <a:ln w="0">
                        <a:noFill/>
                      </a:ln>
                    </wps:spPr>
                    <wps:style>
                      <a:lnRef idx="0"/>
                      <a:fillRef idx="0"/>
                      <a:effectRef idx="0"/>
                      <a:fontRef idx="minor"/>
                    </wps:style>
                    <wps:txbx>
                      <w:txbxContent>
                        <w:p>
                          <w:pPr>
                            <w:pStyle w:val="Footer"/>
                            <w:rPr>
                              <w:rStyle w:val="PageNumber"/>
                            </w:rPr>
                          </w:pPr>
                          <w:r>
                            <w:rPr/>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522.05pt;margin-top:0.05pt;width:1.1pt;height:13.65pt;mso-wrap-style:none;v-text-anchor:middle;mso-position-horizontal:right;mso-position-horizontal-relative:margin">
              <v:fill o:detectmouseclick="t" on="false"/>
              <v:stroke color="#3465a4" joinstyle="round" endcap="flat"/>
              <v:textbox>
                <w:txbxContent>
                  <w:p>
                    <w:pPr>
                      <w:pStyle w:val="Footer"/>
                      <w:rPr>
                        <w:rStyle w:val="PageNumber"/>
                      </w:rPr>
                    </w:pPr>
                    <w:r>
                      <w:rPr/>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drawing>
        <wp:anchor behindDoc="1" distT="0" distB="0" distL="0" distR="0" simplePos="0" locked="0" layoutInCell="1" allowOverlap="1" relativeHeight="0">
          <wp:simplePos x="0" y="0"/>
          <wp:positionH relativeFrom="margin">
            <wp:align>center</wp:align>
          </wp:positionH>
          <wp:positionV relativeFrom="margin">
            <wp:align>center</wp:align>
          </wp:positionV>
          <wp:extent cx="6477635" cy="3862070"/>
          <wp:effectExtent l="0" t="0" r="0" b="0"/>
          <wp:wrapNone/>
          <wp:docPr id="2" name="WordPictureWatermark868272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868272112" descr=""/>
                  <pic:cNvPicPr>
                    <a:picLocks noChangeAspect="1" noChangeArrowheads="1"/>
                  </pic:cNvPicPr>
                </pic:nvPicPr>
                <pic:blipFill>
                  <a:blip r:embed="rId1"/>
                  <a:stretch>
                    <a:fillRect/>
                  </a:stretch>
                </pic:blipFill>
                <pic:spPr bwMode="auto">
                  <a:xfrm>
                    <a:off x="0" y="0"/>
                    <a:ext cx="6477635" cy="386207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80" w:hanging="360"/>
      </w:pPr>
      <w:rPr>
        <w:rFonts w:cs="Times New Roman"/>
      </w:rPr>
    </w:lvl>
    <w:lvl w:ilvl="1">
      <w:start w:val="1"/>
      <w:isLgl/>
      <w:numFmt w:val="bullet"/>
      <w:lvlText w:val=""/>
      <w:lvlJc w:val="left"/>
      <w:pPr>
        <w:tabs>
          <w:tab w:val="num" w:pos="0"/>
        </w:tabs>
        <w:ind w:left="-90" w:hanging="450"/>
      </w:pPr>
      <w:rPr>
        <w:rFonts w:ascii="Wingdings" w:hAnsi="Wingdings" w:cs="Wingdings" w:hint="default"/>
      </w:rPr>
    </w:lvl>
    <w:lvl w:ilvl="2">
      <w:start w:val="1"/>
      <w:isLgl/>
      <w:numFmt w:val="decimal"/>
      <w:lvlText w:val="%1.%2.%3."/>
      <w:lvlJc w:val="left"/>
      <w:pPr>
        <w:tabs>
          <w:tab w:val="num" w:pos="180"/>
        </w:tabs>
        <w:ind w:left="180" w:hanging="720"/>
      </w:pPr>
      <w:rPr>
        <w:rFonts w:cs="Times New Roman"/>
      </w:rPr>
    </w:lvl>
    <w:lvl w:ilvl="3">
      <w:start w:val="1"/>
      <w:isLgl/>
      <w:numFmt w:val="decimal"/>
      <w:lvlText w:val="%1.%2.%3.%4."/>
      <w:lvlJc w:val="left"/>
      <w:pPr>
        <w:tabs>
          <w:tab w:val="num" w:pos="180"/>
        </w:tabs>
        <w:ind w:left="180" w:hanging="720"/>
      </w:pPr>
      <w:rPr>
        <w:rFonts w:cs="Times New Roman"/>
      </w:rPr>
    </w:lvl>
    <w:lvl w:ilvl="4">
      <w:start w:val="1"/>
      <w:isLgl/>
      <w:numFmt w:val="decimal"/>
      <w:lvlText w:val="%1.%2.%3.%4.%5."/>
      <w:lvlJc w:val="left"/>
      <w:pPr>
        <w:tabs>
          <w:tab w:val="num" w:pos="540"/>
        </w:tabs>
        <w:ind w:left="540" w:hanging="1080"/>
      </w:pPr>
      <w:rPr>
        <w:rFonts w:cs="Times New Roman"/>
      </w:rPr>
    </w:lvl>
    <w:lvl w:ilvl="5">
      <w:start w:val="1"/>
      <w:isLgl/>
      <w:numFmt w:val="decimal"/>
      <w:lvlText w:val="%1.%2.%3.%4.%5.%6."/>
      <w:lvlJc w:val="left"/>
      <w:pPr>
        <w:tabs>
          <w:tab w:val="num" w:pos="540"/>
        </w:tabs>
        <w:ind w:left="540" w:hanging="1080"/>
      </w:pPr>
      <w:rPr>
        <w:rFonts w:cs="Times New Roman"/>
      </w:rPr>
    </w:lvl>
    <w:lvl w:ilvl="6">
      <w:start w:val="1"/>
      <w:isLgl/>
      <w:numFmt w:val="decimal"/>
      <w:lvlText w:val="%1.%2.%3.%4.%5.%6.%7."/>
      <w:lvlJc w:val="left"/>
      <w:pPr>
        <w:tabs>
          <w:tab w:val="num" w:pos="540"/>
        </w:tabs>
        <w:ind w:left="540" w:hanging="1080"/>
      </w:pPr>
      <w:rPr>
        <w:rFonts w:cs="Times New Roman"/>
      </w:rPr>
    </w:lvl>
    <w:lvl w:ilvl="7">
      <w:start w:val="1"/>
      <w:isLgl/>
      <w:numFmt w:val="decimal"/>
      <w:lvlText w:val="%1.%2.%3.%4.%5.%6.%7.%8."/>
      <w:lvlJc w:val="left"/>
      <w:pPr>
        <w:tabs>
          <w:tab w:val="num" w:pos="900"/>
        </w:tabs>
        <w:ind w:left="900" w:hanging="1440"/>
      </w:pPr>
      <w:rPr>
        <w:rFonts w:cs="Times New Roman"/>
      </w:rPr>
    </w:lvl>
    <w:lvl w:ilvl="8">
      <w:start w:val="1"/>
      <w:isLgl/>
      <w:numFmt w:val="decimal"/>
      <w:lvlText w:val="%1.%2.%3.%4.%5.%6.%7.%8.%9."/>
      <w:lvlJc w:val="left"/>
      <w:pPr>
        <w:tabs>
          <w:tab w:val="num" w:pos="900"/>
        </w:tabs>
        <w:ind w:left="900" w:hanging="1440"/>
      </w:pPr>
      <w:rPr>
        <w:rFonts w:cs="Times New Roman"/>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embedSystem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043a5"/>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Normal"/>
    <w:next w:val="Normal"/>
    <w:link w:val="1"/>
    <w:uiPriority w:val="9"/>
    <w:qFormat/>
    <w:rsid w:val="003043a5"/>
    <w:pPr>
      <w:keepNext w:val="true"/>
      <w:outlineLvl w:val="0"/>
    </w:pPr>
    <w:rPr>
      <w:rFonts w:ascii="Cambria" w:hAnsi="Cambria"/>
      <w:b/>
      <w:bCs/>
      <w:kern w:val="2"/>
      <w:sz w:val="32"/>
      <w:szCs w:val="32"/>
    </w:rPr>
  </w:style>
  <w:style w:type="paragraph" w:styleId="Heading2">
    <w:name w:val="heading 2"/>
    <w:basedOn w:val="Normal"/>
    <w:next w:val="Normal"/>
    <w:link w:val="2"/>
    <w:uiPriority w:val="9"/>
    <w:qFormat/>
    <w:rsid w:val="003043a5"/>
    <w:pPr>
      <w:keepNext w:val="true"/>
      <w:spacing w:before="240" w:after="60"/>
      <w:outlineLvl w:val="1"/>
    </w:pPr>
    <w:rPr>
      <w:rFonts w:ascii="Cambria" w:hAnsi="Cambria"/>
      <w:b/>
      <w:bCs/>
      <w:i/>
      <w:iCs/>
      <w:sz w:val="28"/>
      <w:szCs w:val="28"/>
    </w:rPr>
  </w:style>
  <w:style w:type="paragraph" w:styleId="Heading3">
    <w:name w:val="heading 3"/>
    <w:basedOn w:val="Normal"/>
    <w:next w:val="Normal"/>
    <w:link w:val="3"/>
    <w:uiPriority w:val="9"/>
    <w:qFormat/>
    <w:rsid w:val="003043a5"/>
    <w:pPr>
      <w:keepNext w:val="true"/>
      <w:ind w:left="-540" w:right="99"/>
      <w:jc w:val="both"/>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1" w:customStyle="1">
    <w:name w:val="Заголовок 1 Знак"/>
    <w:uiPriority w:val="9"/>
    <w:qFormat/>
    <w:locked/>
    <w:rsid w:val="003043a5"/>
    <w:rPr>
      <w:rFonts w:ascii="Cambria" w:hAnsi="Cambria" w:eastAsia="Times New Roman" w:cs="Times New Roman"/>
      <w:b/>
      <w:bCs/>
      <w:kern w:val="2"/>
      <w:sz w:val="32"/>
      <w:szCs w:val="32"/>
      <w:lang w:val="en-US" w:eastAsia="en-US"/>
    </w:rPr>
  </w:style>
  <w:style w:type="character" w:styleId="2" w:customStyle="1">
    <w:name w:val="Заголовок 2 Знак"/>
    <w:uiPriority w:val="9"/>
    <w:semiHidden/>
    <w:qFormat/>
    <w:locked/>
    <w:rsid w:val="003043a5"/>
    <w:rPr>
      <w:rFonts w:ascii="Cambria" w:hAnsi="Cambria" w:eastAsia="Times New Roman" w:cs="Times New Roman"/>
      <w:b/>
      <w:bCs/>
      <w:i/>
      <w:iCs/>
      <w:sz w:val="28"/>
      <w:szCs w:val="28"/>
      <w:lang w:val="en-US" w:eastAsia="en-US"/>
    </w:rPr>
  </w:style>
  <w:style w:type="character" w:styleId="3" w:customStyle="1">
    <w:name w:val="Заголовок 3 Знак"/>
    <w:uiPriority w:val="9"/>
    <w:semiHidden/>
    <w:qFormat/>
    <w:locked/>
    <w:rsid w:val="003043a5"/>
    <w:rPr>
      <w:rFonts w:ascii="Cambria" w:hAnsi="Cambria" w:eastAsia="Times New Roman" w:cs="Times New Roman"/>
      <w:b/>
      <w:bCs/>
      <w:sz w:val="26"/>
      <w:szCs w:val="26"/>
      <w:lang w:val="en-US" w:eastAsia="en-US"/>
    </w:rPr>
  </w:style>
  <w:style w:type="character" w:styleId="Style11" w:customStyle="1">
    <w:name w:val="Заголовок Знак"/>
    <w:uiPriority w:val="99"/>
    <w:qFormat/>
    <w:locked/>
    <w:rsid w:val="003043a5"/>
    <w:rPr>
      <w:rFonts w:ascii="Cambria" w:hAnsi="Cambria" w:eastAsia="Times New Roman" w:cs="Times New Roman"/>
      <w:b/>
      <w:bCs/>
      <w:kern w:val="2"/>
      <w:sz w:val="32"/>
      <w:szCs w:val="32"/>
      <w:lang w:val="en-US" w:eastAsia="en-US"/>
    </w:rPr>
  </w:style>
  <w:style w:type="character" w:styleId="Hyperlink">
    <w:name w:val="Hyperlink"/>
    <w:uiPriority w:val="99"/>
    <w:rsid w:val="003043a5"/>
    <w:rPr>
      <w:rFonts w:cs="Times New Roman"/>
      <w:color w:val="0000FF"/>
      <w:u w:val="single"/>
    </w:rPr>
  </w:style>
  <w:style w:type="character" w:styleId="Style12" w:customStyle="1">
    <w:name w:val="Основной текст Знак"/>
    <w:uiPriority w:val="99"/>
    <w:semiHidden/>
    <w:qFormat/>
    <w:locked/>
    <w:rsid w:val="003043a5"/>
    <w:rPr>
      <w:rFonts w:cs="Times New Roman"/>
      <w:sz w:val="24"/>
      <w:szCs w:val="24"/>
      <w:lang w:val="en-US" w:eastAsia="en-US"/>
    </w:rPr>
  </w:style>
  <w:style w:type="character" w:styleId="21" w:customStyle="1">
    <w:name w:val="Основной текст с отступом 2 Знак"/>
    <w:link w:val="BodyTextIndent2"/>
    <w:uiPriority w:val="99"/>
    <w:semiHidden/>
    <w:qFormat/>
    <w:locked/>
    <w:rsid w:val="003043a5"/>
    <w:rPr>
      <w:rFonts w:cs="Times New Roman"/>
      <w:sz w:val="24"/>
      <w:szCs w:val="24"/>
      <w:lang w:val="en-US" w:eastAsia="en-US"/>
    </w:rPr>
  </w:style>
  <w:style w:type="character" w:styleId="31" w:customStyle="1">
    <w:name w:val="Основной текст с отступом 3 Знак"/>
    <w:link w:val="BodyTextIndent3"/>
    <w:uiPriority w:val="99"/>
    <w:semiHidden/>
    <w:qFormat/>
    <w:locked/>
    <w:rsid w:val="003043a5"/>
    <w:rPr>
      <w:rFonts w:cs="Times New Roman"/>
      <w:sz w:val="16"/>
      <w:szCs w:val="16"/>
      <w:lang w:val="en-US" w:eastAsia="en-US"/>
    </w:rPr>
  </w:style>
  <w:style w:type="character" w:styleId="Style13" w:customStyle="1">
    <w:name w:val="Основной текст с отступом Знак"/>
    <w:uiPriority w:val="99"/>
    <w:semiHidden/>
    <w:qFormat/>
    <w:locked/>
    <w:rsid w:val="003043a5"/>
    <w:rPr>
      <w:rFonts w:cs="Times New Roman"/>
      <w:sz w:val="24"/>
      <w:szCs w:val="24"/>
      <w:lang w:val="en-US" w:eastAsia="en-US"/>
    </w:rPr>
  </w:style>
  <w:style w:type="character" w:styleId="Style14" w:customStyle="1">
    <w:name w:val="Нижний колонтитул Знак"/>
    <w:uiPriority w:val="99"/>
    <w:semiHidden/>
    <w:qFormat/>
    <w:locked/>
    <w:rsid w:val="003043a5"/>
    <w:rPr>
      <w:rFonts w:cs="Times New Roman"/>
      <w:sz w:val="24"/>
      <w:szCs w:val="24"/>
      <w:lang w:val="en-US" w:eastAsia="en-US"/>
    </w:rPr>
  </w:style>
  <w:style w:type="character" w:styleId="Style15" w:customStyle="1">
    <w:name w:val="Верхний колонтитул Знак"/>
    <w:uiPriority w:val="99"/>
    <w:semiHidden/>
    <w:qFormat/>
    <w:locked/>
    <w:rsid w:val="003043a5"/>
    <w:rPr>
      <w:rFonts w:cs="Times New Roman"/>
      <w:sz w:val="24"/>
      <w:szCs w:val="24"/>
      <w:lang w:val="en-US" w:eastAsia="en-US"/>
    </w:rPr>
  </w:style>
  <w:style w:type="character" w:styleId="HTML" w:customStyle="1">
    <w:name w:val="Стандартный HTML Знак"/>
    <w:link w:val="HTMLPreformatted"/>
    <w:uiPriority w:val="99"/>
    <w:semiHidden/>
    <w:qFormat/>
    <w:locked/>
    <w:rsid w:val="003043a5"/>
    <w:rPr>
      <w:rFonts w:ascii="Courier New" w:hAnsi="Courier New" w:cs="Courier New"/>
      <w:sz w:val="20"/>
      <w:szCs w:val="20"/>
      <w:lang w:val="en-US" w:eastAsia="en-US"/>
    </w:rPr>
  </w:style>
  <w:style w:type="character" w:styleId="PageNumber">
    <w:name w:val="page number"/>
    <w:uiPriority w:val="99"/>
    <w:rsid w:val="003043a5"/>
    <w:rPr>
      <w:rFonts w:cs="Times New Roman"/>
    </w:rPr>
  </w:style>
  <w:style w:type="character" w:styleId="A1" w:customStyle="1">
    <w:name w:val="A1"/>
    <w:uiPriority w:val="99"/>
    <w:qFormat/>
    <w:rsid w:val="00fb6251"/>
    <w:rPr>
      <w:rFonts w:ascii="Arial" w:hAnsi="Arial"/>
      <w:color w:val="000000"/>
    </w:rPr>
  </w:style>
  <w:style w:type="character" w:styleId="A0" w:customStyle="1">
    <w:name w:val="A0"/>
    <w:uiPriority w:val="99"/>
    <w:qFormat/>
    <w:rsid w:val="00fb6251"/>
    <w:rPr>
      <w:b/>
      <w:color w:val="000000"/>
      <w:sz w:val="28"/>
    </w:rPr>
  </w:style>
  <w:style w:type="character" w:styleId="Style16" w:customStyle="1">
    <w:name w:val="Текст выноски Знак"/>
    <w:link w:val="BalloonText"/>
    <w:uiPriority w:val="99"/>
    <w:semiHidden/>
    <w:qFormat/>
    <w:locked/>
    <w:rsid w:val="003043a5"/>
    <w:rPr>
      <w:rFonts w:ascii="Tahoma" w:hAnsi="Tahoma" w:cs="Tahoma"/>
      <w:sz w:val="16"/>
      <w:szCs w:val="16"/>
      <w:lang w:val="en-US" w:eastAsia="en-US"/>
    </w:rPr>
  </w:style>
  <w:style w:type="character" w:styleId="Strong">
    <w:name w:val="Strong"/>
    <w:uiPriority w:val="99"/>
    <w:qFormat/>
    <w:rsid w:val="00c812db"/>
    <w:rPr>
      <w:rFonts w:cs="Times New Roman"/>
      <w:b/>
      <w:bCs/>
    </w:rPr>
  </w:style>
  <w:style w:type="character" w:styleId="Normaltext" w:customStyle="1">
    <w:name w:val="Normal text"/>
    <w:uiPriority w:val="99"/>
    <w:qFormat/>
    <w:rsid w:val="00596d8e"/>
    <w:rPr>
      <w:sz w:val="20"/>
    </w:rPr>
  </w:style>
  <w:style w:type="character" w:styleId="Heading" w:customStyle="1">
    <w:name w:val="Heading"/>
    <w:uiPriority w:val="99"/>
    <w:qFormat/>
    <w:rsid w:val="00596d8e"/>
    <w:rPr>
      <w:b/>
      <w:sz w:val="20"/>
    </w:rPr>
  </w:style>
  <w:style w:type="character" w:styleId="32" w:customStyle="1">
    <w:name w:val="Основной текст 3 Знак"/>
    <w:link w:val="BodyText3"/>
    <w:uiPriority w:val="99"/>
    <w:semiHidden/>
    <w:qFormat/>
    <w:locked/>
    <w:rsid w:val="003043a5"/>
    <w:rPr>
      <w:rFonts w:cs="Times New Roman"/>
      <w:sz w:val="16"/>
      <w:szCs w:val="16"/>
      <w:lang w:val="en-US" w:eastAsia="en-US"/>
    </w:rPr>
  </w:style>
  <w:style w:type="character" w:styleId="22" w:customStyle="1">
    <w:name w:val="Основной текст 2 Знак"/>
    <w:link w:val="BodyText2"/>
    <w:uiPriority w:val="99"/>
    <w:semiHidden/>
    <w:qFormat/>
    <w:locked/>
    <w:rsid w:val="002c4758"/>
    <w:rPr>
      <w:rFonts w:cs="Times New Roman"/>
      <w:sz w:val="24"/>
      <w:szCs w:val="24"/>
      <w:lang w:val="en-US" w:eastAsia="en-US"/>
    </w:rPr>
  </w:style>
  <w:style w:type="character" w:styleId="11">
    <w:name w:val="Основной текст Знак1"/>
    <w:qFormat/>
    <w:rPr>
      <w:b/>
    </w:rPr>
  </w:style>
  <w:style w:type="character" w:styleId="user">
    <w:name w:val="Маркеры (user)"/>
    <w:qFormat/>
    <w:rPr>
      <w:rFonts w:ascii="OpenSymbol" w:hAnsi="OpenSymbol" w:eastAsia="OpenSymbol" w:cs="OpenSymbol"/>
    </w:rPr>
  </w:style>
  <w:style w:type="paragraph" w:styleId="Style17">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link w:val="Style12"/>
    <w:uiPriority w:val="99"/>
    <w:rsid w:val="003043a5"/>
    <w:pPr>
      <w:jc w:val="both"/>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8">
    <w:name w:val="Указатель"/>
    <w:basedOn w:val="Normal"/>
    <w:qFormat/>
    <w:pPr>
      <w:suppressLineNumbers/>
    </w:pPr>
    <w:rPr>
      <w:rFonts w:ascii="PT Astra Serif" w:hAnsi="PT Astra Serif" w:cs="FreeSans"/>
    </w:rPr>
  </w:style>
  <w:style w:type="paragraph" w:styleId="user1">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2">
    <w:name w:val="Указатель (user)"/>
    <w:basedOn w:val="Normal"/>
    <w:qFormat/>
    <w:pPr>
      <w:suppressLineNumbers/>
    </w:pPr>
    <w:rPr>
      <w:rFonts w:ascii="PT Astra Serif" w:hAnsi="PT Astra Serif" w:cs="FreeSans"/>
    </w:rPr>
  </w:style>
  <w:style w:type="paragraph" w:styleId="Title">
    <w:name w:val="Title"/>
    <w:basedOn w:val="Normal"/>
    <w:link w:val="Style11"/>
    <w:uiPriority w:val="99"/>
    <w:qFormat/>
    <w:rsid w:val="003043a5"/>
    <w:pPr>
      <w:jc w:val="center"/>
    </w:pPr>
    <w:rPr>
      <w:rFonts w:ascii="Cambria" w:hAnsi="Cambria"/>
      <w:b/>
      <w:bCs/>
      <w:kern w:val="2"/>
      <w:sz w:val="32"/>
      <w:szCs w:val="32"/>
    </w:rPr>
  </w:style>
  <w:style w:type="paragraph" w:styleId="BlockText">
    <w:name w:val="Block Text"/>
    <w:basedOn w:val="Normal"/>
    <w:uiPriority w:val="99"/>
    <w:qFormat/>
    <w:rsid w:val="003043a5"/>
    <w:pPr>
      <w:ind w:left="-360" w:right="-185"/>
    </w:pPr>
    <w:rPr>
      <w:lang w:val="ru-RU" w:eastAsia="ru-RU"/>
    </w:rPr>
  </w:style>
  <w:style w:type="paragraph" w:styleId="NormalWeb">
    <w:name w:val="Normal (Web)"/>
    <w:basedOn w:val="Normal"/>
    <w:uiPriority w:val="99"/>
    <w:qFormat/>
    <w:rsid w:val="003043a5"/>
    <w:pPr>
      <w:spacing w:beforeAutospacing="1" w:afterAutospacing="1"/>
    </w:pPr>
    <w:rPr>
      <w:rFonts w:ascii="Arial Unicode MS" w:hAnsi="Arial Unicode MS" w:eastAsia="Arial Unicode MS"/>
      <w:color w:val="000000"/>
    </w:rPr>
  </w:style>
  <w:style w:type="paragraph" w:styleId="BodyTextIndent2">
    <w:name w:val="Body Text Indent 2"/>
    <w:basedOn w:val="Normal"/>
    <w:link w:val="21"/>
    <w:uiPriority w:val="99"/>
    <w:qFormat/>
    <w:rsid w:val="003043a5"/>
    <w:pPr>
      <w:spacing w:lineRule="auto" w:line="360"/>
      <w:ind w:firstLine="567" w:right="45"/>
      <w:jc w:val="both"/>
    </w:pPr>
    <w:rPr/>
  </w:style>
  <w:style w:type="paragraph" w:styleId="BodyTextIndent3">
    <w:name w:val="Body Text Indent 3"/>
    <w:basedOn w:val="Normal"/>
    <w:link w:val="31"/>
    <w:uiPriority w:val="99"/>
    <w:qFormat/>
    <w:rsid w:val="003043a5"/>
    <w:pPr>
      <w:ind w:firstLine="540" w:left="-540"/>
      <w:jc w:val="both"/>
    </w:pPr>
    <w:rPr>
      <w:sz w:val="16"/>
      <w:szCs w:val="16"/>
    </w:rPr>
  </w:style>
  <w:style w:type="paragraph" w:styleId="BodyTextIndent">
    <w:name w:val="Body Text Indent"/>
    <w:basedOn w:val="Normal"/>
    <w:link w:val="Style13"/>
    <w:uiPriority w:val="99"/>
    <w:rsid w:val="003043a5"/>
    <w:pPr>
      <w:ind w:firstLine="720"/>
      <w:jc w:val="both"/>
    </w:pPr>
    <w:rPr/>
  </w:style>
  <w:style w:type="paragraph" w:styleId="Style19">
    <w:name w:val="Колонтитулы"/>
    <w:basedOn w:val="Normal"/>
    <w:qFormat/>
    <w:pPr/>
    <w:rPr/>
  </w:style>
  <w:style w:type="paragraph" w:styleId="user3">
    <w:name w:val="Колонтитулы (user)"/>
    <w:basedOn w:val="Normal"/>
    <w:qFormat/>
    <w:pPr/>
    <w:rPr/>
  </w:style>
  <w:style w:type="paragraph" w:styleId="Footer">
    <w:name w:val="footer"/>
    <w:basedOn w:val="Normal"/>
    <w:link w:val="Style14"/>
    <w:uiPriority w:val="99"/>
    <w:rsid w:val="003043a5"/>
    <w:pPr>
      <w:tabs>
        <w:tab w:val="clear" w:pos="720"/>
        <w:tab w:val="center" w:pos="4677" w:leader="none"/>
        <w:tab w:val="right" w:pos="9355" w:leader="none"/>
      </w:tabs>
    </w:pPr>
    <w:rPr/>
  </w:style>
  <w:style w:type="paragraph" w:styleId="Header">
    <w:name w:val="header"/>
    <w:basedOn w:val="Normal"/>
    <w:link w:val="Style15"/>
    <w:uiPriority w:val="99"/>
    <w:rsid w:val="003043a5"/>
    <w:pPr>
      <w:tabs>
        <w:tab w:val="clear" w:pos="720"/>
        <w:tab w:val="center" w:pos="4844" w:leader="none"/>
        <w:tab w:val="right" w:pos="9689" w:leader="none"/>
      </w:tabs>
    </w:pPr>
    <w:rPr/>
  </w:style>
  <w:style w:type="paragraph" w:styleId="HTMLPreformatted">
    <w:name w:val="HTML Preformatted"/>
    <w:basedOn w:val="Normal"/>
    <w:link w:val="HTML"/>
    <w:uiPriority w:val="99"/>
    <w:qFormat/>
    <w:rsid w:val="003043a5"/>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szCs w:val="20"/>
    </w:rPr>
  </w:style>
  <w:style w:type="paragraph" w:styleId="ConsPlusNormal" w:customStyle="1">
    <w:name w:val="ConsPlusNormal"/>
    <w:uiPriority w:val="99"/>
    <w:qFormat/>
    <w:rsid w:val="00cb2cc3"/>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Default" w:customStyle="1">
    <w:name w:val="Default"/>
    <w:uiPriority w:val="99"/>
    <w:qFormat/>
    <w:rsid w:val="00fb6251"/>
    <w:pPr>
      <w:widowControl/>
      <w:suppressAutoHyphens w:val="true"/>
      <w:bidi w:val="0"/>
      <w:spacing w:before="0" w:after="0"/>
      <w:jc w:val="left"/>
    </w:pPr>
    <w:rPr>
      <w:rFonts w:ascii="GaramondC" w:hAnsi="GaramondC" w:eastAsia="Times New Roman" w:cs="GaramondC"/>
      <w:color w:val="000000"/>
      <w:kern w:val="0"/>
      <w:sz w:val="24"/>
      <w:szCs w:val="24"/>
      <w:lang w:val="ru-RU" w:eastAsia="ru-RU" w:bidi="lo-LA"/>
    </w:rPr>
  </w:style>
  <w:style w:type="paragraph" w:styleId="Pa1" w:customStyle="1">
    <w:name w:val="Pa1"/>
    <w:basedOn w:val="Default"/>
    <w:next w:val="Default"/>
    <w:uiPriority w:val="99"/>
    <w:qFormat/>
    <w:rsid w:val="00fb6251"/>
    <w:pPr>
      <w:spacing w:lineRule="atLeast" w:line="241"/>
    </w:pPr>
    <w:rPr>
      <w:rFonts w:cs="Arial Unicode MS"/>
      <w:color w:val="auto"/>
    </w:rPr>
  </w:style>
  <w:style w:type="paragraph" w:styleId="BalloonText">
    <w:name w:val="Balloon Text"/>
    <w:basedOn w:val="Normal"/>
    <w:link w:val="Style16"/>
    <w:uiPriority w:val="99"/>
    <w:semiHidden/>
    <w:qFormat/>
    <w:rsid w:val="007162cb"/>
    <w:pPr/>
    <w:rPr>
      <w:rFonts w:ascii="Tahoma" w:hAnsi="Tahoma"/>
      <w:sz w:val="16"/>
      <w:szCs w:val="16"/>
    </w:rPr>
  </w:style>
  <w:style w:type="paragraph" w:styleId="ListParagraph">
    <w:name w:val="List Paragraph"/>
    <w:basedOn w:val="Normal"/>
    <w:uiPriority w:val="99"/>
    <w:qFormat/>
    <w:rsid w:val="001b402e"/>
    <w:pPr>
      <w:spacing w:before="0" w:after="0"/>
      <w:ind w:left="720"/>
      <w:contextualSpacing/>
    </w:pPr>
    <w:rPr>
      <w:lang w:val="ru-RU" w:eastAsia="ru-RU"/>
    </w:rPr>
  </w:style>
  <w:style w:type="paragraph" w:styleId="ParagraphStyle" w:customStyle="1">
    <w:name w:val="Paragraph Style"/>
    <w:uiPriority w:val="99"/>
    <w:qFormat/>
    <w:rsid w:val="00f91720"/>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Centered" w:customStyle="1">
    <w:name w:val="Centered"/>
    <w:uiPriority w:val="99"/>
    <w:qFormat/>
    <w:rsid w:val="005a5a30"/>
    <w:pPr>
      <w:widowControl w:val="false"/>
      <w:suppressAutoHyphens w:val="true"/>
      <w:bidi w:val="0"/>
      <w:spacing w:before="0" w:after="0"/>
      <w:jc w:val="center"/>
    </w:pPr>
    <w:rPr>
      <w:rFonts w:ascii="Times New Roman" w:hAnsi="Times New Roman" w:eastAsia="Times New Roman" w:cs="Times New Roman"/>
      <w:color w:val="auto"/>
      <w:kern w:val="0"/>
      <w:sz w:val="24"/>
      <w:szCs w:val="24"/>
      <w:lang w:val="ru-RU" w:eastAsia="ru-RU" w:bidi="ar-SA"/>
    </w:rPr>
  </w:style>
  <w:style w:type="paragraph" w:styleId="BodyText3">
    <w:name w:val="Body Text 3"/>
    <w:basedOn w:val="Normal"/>
    <w:link w:val="32"/>
    <w:uiPriority w:val="99"/>
    <w:qFormat/>
    <w:rsid w:val="00a2748e"/>
    <w:pPr>
      <w:spacing w:before="0" w:after="120"/>
    </w:pPr>
    <w:rPr>
      <w:sz w:val="16"/>
      <w:szCs w:val="16"/>
    </w:rPr>
  </w:style>
  <w:style w:type="paragraph" w:styleId="BodyText2">
    <w:name w:val="Body Text 2"/>
    <w:basedOn w:val="Normal"/>
    <w:link w:val="22"/>
    <w:uiPriority w:val="99"/>
    <w:semiHidden/>
    <w:unhideWhenUsed/>
    <w:qFormat/>
    <w:rsid w:val="002c4758"/>
    <w:pPr>
      <w:spacing w:lineRule="auto" w:line="480" w:before="0" w:after="120"/>
    </w:pPr>
    <w:rPr/>
  </w:style>
  <w:style w:type="paragraph" w:styleId="Style20">
    <w:name w:val="Содержимое врезки"/>
    <w:basedOn w:val="Normal"/>
    <w:qFormat/>
    <w:pPr/>
    <w:rPr/>
  </w:style>
  <w:style w:type="paragraph" w:styleId="user4">
    <w:name w:val="Содержимое врезки (user)"/>
    <w:basedOn w:val="Normal"/>
    <w:qFormat/>
    <w:pPr/>
    <w:rPr/>
  </w:style>
  <w:style w:type="paragraph" w:styleId="user5">
    <w:name w:val="Содержимое таблицы (user)"/>
    <w:basedOn w:val="Normal"/>
    <w:qFormat/>
    <w:pPr>
      <w:widowControl w:val="false"/>
      <w:suppressLineNumbers/>
    </w:pPr>
    <w:rPr/>
  </w:style>
  <w:style w:type="paragraph" w:styleId="Style21">
    <w:name w:val="Комментарий"/>
    <w:basedOn w:val="Normal"/>
    <w:qFormat/>
    <w:pPr>
      <w:spacing w:lineRule="auto" w:line="240" w:before="56" w:after="0"/>
      <w:ind w:hanging="0" w:left="57" w:right="57"/>
    </w:pPr>
    <w:rPr>
      <w:color w:val="auto"/>
      <w:sz w:val="20"/>
      <w:szCs w:val="20"/>
    </w:rPr>
  </w:style>
  <w:style w:type="paragraph" w:styleId="user6">
    <w:name w:val="Заголовок таблицы (user)"/>
    <w:basedOn w:val="user5"/>
    <w:qFormat/>
    <w:pPr>
      <w:suppressLineNumbers/>
      <w:jc w:val="center"/>
    </w:pPr>
    <w:rPr>
      <w:b/>
      <w:bCs/>
    </w:rPr>
  </w:style>
  <w:style w:type="numbering" w:styleId="Style22"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1">
    <w:name w:val="Table Grid"/>
    <w:basedOn w:val="a1"/>
    <w:uiPriority w:val="99"/>
    <w:rsid w:val="00da15d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F41C7-650C-4043-B97C-A4F2F7440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НА ОМ (НЕ В КОСМОСЕ)_100%</Template>
  <TotalTime>176</TotalTime>
  <Application>LibreOffice/25.2.6.2$Linux_X86_64 LibreOffice_project/520$Build-2</Application>
  <AppVersion>15.0000</AppVersion>
  <Pages>5</Pages>
  <Words>1486</Words>
  <Characters>10189</Characters>
  <CharactersWithSpaces>11564</CharactersWithSpaces>
  <Paragraphs>130</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2026-08-25T06:55:00Z</dcterms:created>
  <dc:creator>Ekaterin V. Mashkovceva</dc:creator>
  <dc:description/>
  <dc:language>ru-RU</dc:language>
  <cp:lastModifiedBy/>
  <cp:lastPrinted>2011-11-14T11:51:00Z</cp:lastPrinted>
  <dcterms:modified xsi:type="dcterms:W3CDTF">2026-10-14T14:56:01Z</dcterms:modified>
  <cp:revision>17</cp:revision>
  <dc:subject/>
  <dc:title>ДОГОВОР  № ____</dc:title>
</cp:coreProperties>
</file>

<file path=docProps/custom.xml><?xml version="1.0" encoding="utf-8"?>
<Properties xmlns="http://schemas.openxmlformats.org/officeDocument/2006/custom-properties" xmlns:vt="http://schemas.openxmlformats.org/officeDocument/2006/docPropsVTypes"/>
</file>