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ageBreakBefore w:val="0"/>
        <w:widowControl w:val="1"/>
        <w:spacing w:before="0" w:line="240" w:lineRule="auto"/>
        <w:ind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Государственный контракт</w:t>
      </w:r>
    </w:p>
    <w:p w14:paraId="02000000">
      <w:pPr>
        <w:pageBreakBefore w:val="0"/>
        <w:widowControl w:val="1"/>
        <w:spacing w:before="0" w:line="240" w:lineRule="auto"/>
        <w:ind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на оказание услуг</w:t>
      </w:r>
      <w:r>
        <w:rPr>
          <w:rFonts w:ascii="Times New Roman" w:hAnsi="Times New Roman"/>
          <w:b w:val="1"/>
          <w:color w:val="000000"/>
          <w:sz w:val="20"/>
        </w:rPr>
        <w:t xml:space="preserve"> по утилизации списанного оборудования</w:t>
      </w:r>
      <w:r>
        <w:rPr>
          <w:rFonts w:ascii="Times New Roman" w:hAnsi="Times New Roman"/>
          <w:b w:val="1"/>
          <w:color w:val="000000"/>
          <w:sz w:val="20"/>
        </w:rPr>
        <w:t xml:space="preserve"> </w:t>
      </w:r>
      <w:r>
        <w:rPr>
          <w:rFonts w:ascii="Times New Roman" w:hAnsi="Times New Roman"/>
          <w:b w:val="1"/>
          <w:color w:val="000000"/>
          <w:sz w:val="20"/>
          <w:shd w:fill="F8D957" w:val="clear"/>
        </w:rPr>
        <w:t>№_______________</w:t>
      </w:r>
    </w:p>
    <w:p w14:paraId="0300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sz w:val="20"/>
        </w:rPr>
      </w:pPr>
    </w:p>
    <w:p w14:paraId="0400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p w14:paraId="05000000">
      <w:pPr>
        <w:pageBreakBefore w:val="0"/>
        <w:widowControl w:val="1"/>
        <w:numPr>
          <w:ilvl w:val="0"/>
          <w:numId w:val="0"/>
        </w:numPr>
        <w:spacing w:before="0" w:line="240" w:lineRule="auto"/>
        <w:ind w:firstLine="0" w:left="-142"/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г. Белгород</w:t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« ___ »______________ 2026 г.</w:t>
      </w:r>
    </w:p>
    <w:p w14:paraId="06000000">
      <w:pPr>
        <w:pageBreakBefore w:val="0"/>
        <w:widowControl w:val="1"/>
        <w:spacing w:before="0" w:line="240" w:lineRule="auto"/>
        <w:ind w:left="-426"/>
        <w:jc w:val="both"/>
        <w:rPr>
          <w:rFonts w:ascii="Times New Roman" w:hAnsi="Times New Roman"/>
          <w:color w:val="000000"/>
          <w:sz w:val="20"/>
        </w:rPr>
      </w:pPr>
    </w:p>
    <w:p w14:paraId="07000000">
      <w:pPr>
        <w:pageBreakBefore w:val="0"/>
        <w:widowControl w:val="1"/>
        <w:spacing w:after="0" w:before="0" w:line="240" w:lineRule="auto"/>
        <w:ind w:firstLine="709" w:right="0"/>
        <w:contextualSpacing w:val="1"/>
        <w:jc w:val="both"/>
        <w:rPr>
          <w:rFonts w:ascii="Times New Roman" w:hAnsi="Times New Roman"/>
          <w:color w:val="000000"/>
          <w:sz w:val="20"/>
        </w:rPr>
      </w:pPr>
      <w:r>
        <w:rPr>
          <w:b w:val="1"/>
          <w:sz w:val="20"/>
        </w:rPr>
        <w:t>Межрегиональное территориальное управление Федерального агентства по управлению государственным имуществом в Курской и Белгородской областях</w:t>
      </w:r>
      <w:r>
        <w:rPr>
          <w:sz w:val="20"/>
        </w:rPr>
        <w:t xml:space="preserve"> в лице Руководителя Буравле</w:t>
      </w:r>
      <w:r>
        <w:rPr>
          <w:sz w:val="20"/>
        </w:rPr>
        <w:t>ва Юрия Викторовича, действующего на основании Положения о Межрегиональном территориальном управлении Федерального агентства по управлению государственным имуществом в Курской и Белгородской областях, утвержденного Приказом Федерального агентства по управлению государственным имуществом от 23 июня 2023 г. №131, приказа МИНФИНА России от 16.12.2024 № 2372 л/с, именуемое в дальнейшем «Заказчик»</w:t>
      </w:r>
      <w:r>
        <w:rPr>
          <w:rFonts w:ascii="Times New Roman" w:hAnsi="Times New Roman"/>
          <w:sz w:val="20"/>
        </w:rPr>
        <w:t xml:space="preserve">, с одной стороны </w:t>
      </w:r>
      <w:r>
        <w:rPr>
          <w:rFonts w:ascii="Times New Roman" w:hAnsi="Times New Roman"/>
          <w:sz w:val="20"/>
        </w:rPr>
        <w:t xml:space="preserve"> и </w:t>
      </w:r>
      <w:r>
        <w:rPr>
          <w:rFonts w:ascii="Times New Roman" w:hAnsi="Times New Roman"/>
          <w:sz w:val="20"/>
          <w:shd w:fill="F8D957" w:val="clear"/>
        </w:rPr>
        <w:t>_____________________</w:t>
      </w:r>
      <w:r>
        <w:rPr>
          <w:rFonts w:ascii="Times New Roman" w:hAnsi="Times New Roman"/>
          <w:sz w:val="20"/>
          <w:shd w:fill="F8D957" w:val="clear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именуемое в дальнейшем «Исполнитель», в лице </w:t>
      </w:r>
      <w:r>
        <w:rPr>
          <w:rFonts w:ascii="Times New Roman" w:hAnsi="Times New Roman"/>
          <w:sz w:val="20"/>
          <w:shd w:fill="F8D957" w:val="clear"/>
        </w:rPr>
        <w:t>___________________</w:t>
      </w:r>
      <w:r>
        <w:rPr>
          <w:rFonts w:ascii="Times New Roman" w:hAnsi="Times New Roman"/>
          <w:sz w:val="20"/>
          <w:shd w:fill="F8D957" w:val="clear"/>
        </w:rPr>
        <w:t>,</w:t>
      </w:r>
      <w:r>
        <w:rPr>
          <w:rFonts w:ascii="Times New Roman" w:hAnsi="Times New Roman"/>
          <w:sz w:val="20"/>
        </w:rPr>
        <w:t xml:space="preserve"> действующ</w:t>
      </w:r>
      <w:r>
        <w:rPr>
          <w:rFonts w:ascii="Times New Roman" w:hAnsi="Times New Roman"/>
          <w:sz w:val="20"/>
        </w:rPr>
        <w:t>его</w:t>
      </w:r>
      <w:r>
        <w:rPr>
          <w:rFonts w:ascii="Times New Roman" w:hAnsi="Times New Roman"/>
          <w:sz w:val="20"/>
        </w:rPr>
        <w:t xml:space="preserve"> на основании </w:t>
      </w:r>
      <w:r>
        <w:rPr>
          <w:rFonts w:ascii="Times New Roman" w:hAnsi="Times New Roman"/>
          <w:sz w:val="20"/>
          <w:shd w:fill="F8D957" w:val="clear"/>
        </w:rPr>
        <w:t>______________________</w:t>
      </w:r>
      <w:r>
        <w:rPr>
          <w:rFonts w:ascii="Times New Roman" w:hAnsi="Times New Roman"/>
          <w:sz w:val="20"/>
          <w:shd w:fill="F8D957" w:val="clear"/>
        </w:rPr>
        <w:t>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другой стороны, здесь и далее именуемые «Стороны»,</w:t>
      </w:r>
      <w:r>
        <w:rPr>
          <w:rFonts w:ascii="Times New Roman" w:hAnsi="Times New Roman"/>
          <w:color w:val="000000"/>
          <w:sz w:val="20"/>
        </w:rPr>
        <w:t xml:space="preserve"> в порядке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 (далее – Федеральный закон о контрактной системе), </w:t>
      </w:r>
      <w:r>
        <w:rPr>
          <w:rFonts w:ascii="Times New Roman" w:hAnsi="Times New Roman"/>
          <w:color w:val="000000"/>
          <w:sz w:val="20"/>
        </w:rPr>
        <w:t>заключили настоящий контракт (далее - Контракт) о нижеследующем:</w:t>
      </w:r>
    </w:p>
    <w:p w14:paraId="08000000">
      <w:pPr>
        <w:pageBreakBefore w:val="0"/>
        <w:widowControl w:val="1"/>
        <w:spacing w:after="0" w:before="0" w:line="240" w:lineRule="auto"/>
        <w:ind w:firstLine="709" w:right="0"/>
        <w:contextualSpacing w:val="1"/>
        <w:jc w:val="both"/>
        <w:rPr>
          <w:rFonts w:ascii="Times New Roman" w:hAnsi="Times New Roman"/>
          <w:color w:val="000000"/>
          <w:sz w:val="20"/>
        </w:rPr>
      </w:pPr>
    </w:p>
    <w:p w14:paraId="09000000">
      <w:pPr>
        <w:pageBreakBefore w:val="0"/>
        <w:widowControl w:val="1"/>
        <w:spacing w:before="0" w:line="240" w:lineRule="auto"/>
        <w:ind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1. Предмет контракта</w:t>
      </w:r>
    </w:p>
    <w:p w14:paraId="0A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1.1. </w:t>
      </w:r>
      <w:r>
        <w:rPr>
          <w:rFonts w:ascii="Times New Roman" w:hAnsi="Times New Roman"/>
          <w:color w:val="000000"/>
          <w:sz w:val="20"/>
        </w:rPr>
        <w:t>Исполнитель принимает на себя обязательства по оказанию услуг по утилизации списанного оборудования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(далее – услуги), а Заказчик обязуется принять и оплатить оказанные у</w:t>
      </w:r>
      <w:r>
        <w:rPr>
          <w:rFonts w:ascii="Times New Roman" w:hAnsi="Times New Roman"/>
          <w:color w:val="000000"/>
          <w:sz w:val="20"/>
        </w:rPr>
        <w:t>слуги в соответствии с условиями настоящего контракта.</w:t>
      </w:r>
    </w:p>
    <w:p w14:paraId="0B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1.2. </w:t>
      </w:r>
      <w:r>
        <w:rPr>
          <w:rFonts w:ascii="Times New Roman" w:hAnsi="Times New Roman"/>
          <w:color w:val="000000"/>
          <w:sz w:val="20"/>
        </w:rPr>
        <w:t xml:space="preserve">Наименование и объем оказываемых услуг согласован Сторонами и указан в </w:t>
      </w:r>
      <w:r>
        <w:rPr>
          <w:rFonts w:ascii="Times New Roman" w:hAnsi="Times New Roman"/>
          <w:color w:val="000000"/>
          <w:sz w:val="20"/>
        </w:rPr>
        <w:t xml:space="preserve">Описании объекта закупки (далее по тексту - </w:t>
      </w:r>
      <w:r>
        <w:rPr>
          <w:rFonts w:ascii="Times New Roman" w:hAnsi="Times New Roman"/>
          <w:color w:val="000000"/>
          <w:sz w:val="20"/>
        </w:rPr>
        <w:t>техническое задание, приложение № 1 к контракту), являющемся неотъемлемой частью контракта.</w:t>
      </w:r>
    </w:p>
    <w:p w14:paraId="0C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1.3. </w:t>
      </w:r>
      <w:r>
        <w:rPr>
          <w:rFonts w:ascii="Times New Roman" w:hAnsi="Times New Roman"/>
          <w:color w:val="000000"/>
          <w:sz w:val="20"/>
        </w:rPr>
        <w:t>Срок оказания услуг: до 30 ноября 2026 года</w:t>
      </w:r>
      <w:r>
        <w:rPr>
          <w:rFonts w:ascii="Times New Roman" w:hAnsi="Times New Roman"/>
          <w:color w:val="000000"/>
          <w:sz w:val="20"/>
        </w:rPr>
        <w:t xml:space="preserve"> с даты заключения контракта.</w:t>
      </w:r>
    </w:p>
    <w:p w14:paraId="0D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1.4. ИКЗ _________________________________</w:t>
      </w:r>
    </w:p>
    <w:p w14:paraId="0E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1.5. КБК _______________________________</w:t>
      </w:r>
    </w:p>
    <w:p w14:paraId="0F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1.6. ОКПД2: 38.21.29.</w:t>
      </w:r>
    </w:p>
    <w:p w14:paraId="10000000">
      <w:pPr>
        <w:pageBreakBefore w:val="0"/>
        <w:widowControl w:val="1"/>
        <w:spacing w:before="0" w:line="240" w:lineRule="auto"/>
        <w:ind w:firstLine="737"/>
        <w:jc w:val="both"/>
        <w:rPr>
          <w:rFonts w:ascii="Times New Roman" w:hAnsi="Times New Roman"/>
          <w:color w:val="000000"/>
          <w:sz w:val="20"/>
        </w:rPr>
      </w:pPr>
    </w:p>
    <w:p w14:paraId="11000000">
      <w:pPr>
        <w:pageBreakBefore w:val="0"/>
        <w:widowControl w:val="1"/>
        <w:spacing w:before="0" w:line="240" w:lineRule="auto"/>
        <w:ind w:firstLine="567"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2. Цена контракта, порядок и срок расчетов</w:t>
      </w:r>
    </w:p>
    <w:p w14:paraId="12000000">
      <w:pPr>
        <w:pageBreakBefore w:val="0"/>
        <w:widowControl w:val="1"/>
        <w:spacing w:before="0" w:line="240" w:lineRule="auto"/>
        <w:ind w:firstLine="709" w:right="-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2.1. </w:t>
      </w:r>
      <w:r>
        <w:rPr>
          <w:rFonts w:ascii="Times New Roman" w:hAnsi="Times New Roman"/>
          <w:color w:val="000000"/>
          <w:sz w:val="20"/>
        </w:rPr>
        <w:t>Цена настоящего контракта составляет</w:t>
      </w:r>
      <w:r>
        <w:rPr>
          <w:rFonts w:ascii="Times New Roman" w:hAnsi="Times New Roman"/>
          <w:b w:val="1"/>
          <w:color w:val="000000"/>
          <w:sz w:val="20"/>
          <w:shd w:fill="F8D957" w:val="clear"/>
        </w:rPr>
        <w:t xml:space="preserve"> ___________</w:t>
      </w:r>
      <w:r>
        <w:rPr>
          <w:rFonts w:ascii="Times New Roman" w:hAnsi="Times New Roman"/>
          <w:b w:val="1"/>
          <w:color w:val="000000"/>
          <w:sz w:val="20"/>
          <w:shd w:fill="F8D957" w:val="clear"/>
        </w:rPr>
        <w:t xml:space="preserve"> (______________</w:t>
      </w:r>
      <w:r>
        <w:rPr>
          <w:rFonts w:ascii="Times New Roman" w:hAnsi="Times New Roman"/>
          <w:b w:val="1"/>
          <w:color w:val="000000"/>
          <w:sz w:val="20"/>
          <w:shd w:fill="F8D957" w:val="clear"/>
        </w:rPr>
        <w:t xml:space="preserve"> рублей __ копеек)</w:t>
      </w:r>
      <w:r>
        <w:rPr>
          <w:rFonts w:ascii="Times New Roman" w:hAnsi="Times New Roman"/>
          <w:b w:val="1"/>
          <w:color w:val="000000"/>
          <w:sz w:val="20"/>
          <w:shd w:fill="F8D957" w:val="clear"/>
        </w:rPr>
        <w:t xml:space="preserve">., </w:t>
      </w:r>
      <w:r>
        <w:rPr>
          <w:rFonts w:ascii="Times New Roman" w:hAnsi="Times New Roman"/>
          <w:b w:val="1"/>
          <w:color w:val="000000"/>
          <w:sz w:val="20"/>
          <w:shd w:fill="F8D957" w:val="clear"/>
        </w:rPr>
        <w:t>в том числе НДС / НДС не облагается</w:t>
      </w:r>
      <w:r>
        <w:rPr>
          <w:rFonts w:ascii="Times New Roman" w:hAnsi="Times New Roman"/>
          <w:color w:val="000000"/>
          <w:sz w:val="20"/>
        </w:rPr>
        <w:t xml:space="preserve">, и включает в себя все затраты, связанные с оказанием услуг, </w:t>
      </w:r>
      <w:r>
        <w:rPr>
          <w:rFonts w:ascii="Times New Roman" w:hAnsi="Times New Roman"/>
          <w:color w:val="000000"/>
          <w:sz w:val="20"/>
        </w:rPr>
        <w:t xml:space="preserve">стоимость оборудования, материалов, изделий, комплектующих, применяемых при оказании услуг, стоимость погрузочно-разгрузочных работ, </w:t>
      </w:r>
      <w:r>
        <w:rPr>
          <w:rFonts w:ascii="Times New Roman" w:hAnsi="Times New Roman"/>
          <w:color w:val="000000"/>
          <w:sz w:val="20"/>
        </w:rPr>
        <w:t>транспортные расходы, а также стоимость расходов по уплате пошлин, налогов, сборов и других обязательных платежей, бремя уплаты которых в соответствии с законодательством РФ возлагается на Исполнителя. Единицей измерения является 1 условная единица, которая включает в себя весь объем услуг по Приложению №1 к Контракту и 1 условная единица соответственно равна цене настоящего Контракта.</w:t>
      </w:r>
    </w:p>
    <w:p w14:paraId="13000000">
      <w:pPr>
        <w:pageBreakBefore w:val="0"/>
        <w:widowControl w:val="1"/>
        <w:spacing w:before="0" w:line="240" w:lineRule="auto"/>
        <w:ind w:firstLine="709" w:right="-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2.2. Цена контракта является твердой и определяется на весь срок исполнения контракта </w:t>
      </w:r>
      <w:r>
        <w:rPr>
          <w:rFonts w:ascii="Times New Roman" w:hAnsi="Times New Roman"/>
          <w:color w:val="000000"/>
          <w:spacing w:val="-1"/>
          <w:sz w:val="20"/>
        </w:rPr>
        <w:t>и изменению не подлежит, за исключением случаев,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r>
        <w:rPr>
          <w:rFonts w:ascii="Times New Roman" w:hAnsi="Times New Roman"/>
          <w:color w:val="000000"/>
          <w:spacing w:val="-1"/>
          <w:sz w:val="20"/>
        </w:rPr>
        <w:t>.</w:t>
      </w:r>
    </w:p>
    <w:p w14:paraId="14000000">
      <w:pPr>
        <w:pageBreakBefore w:val="0"/>
        <w:widowControl w:val="1"/>
        <w:spacing w:before="0" w:line="240" w:lineRule="auto"/>
        <w:ind w:firstLine="709" w:right="-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2.3. Оплата услуг Исполнителя по настоящему контракту производится Заказчиком за счет средств федерального бюджете путем безналичного перечисления денежных средств на расчетный счет Исполнителя.</w:t>
      </w:r>
    </w:p>
    <w:p w14:paraId="15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2.5. Оплата по контракту производит</w:t>
      </w:r>
      <w:r>
        <w:rPr>
          <w:rFonts w:ascii="Times New Roman" w:hAnsi="Times New Roman"/>
          <w:b w:val="0"/>
          <w:color w:val="000000"/>
          <w:sz w:val="20"/>
        </w:rPr>
        <w:t xml:space="preserve">ся по факту оказания услуг </w:t>
      </w:r>
      <w:r>
        <w:rPr>
          <w:rFonts w:ascii="Times New Roman" w:hAnsi="Times New Roman"/>
          <w:b w:val="0"/>
          <w:color w:val="000000"/>
          <w:sz w:val="20"/>
        </w:rPr>
        <w:t>в течение 7 (семь) рабочих дней</w:t>
      </w:r>
      <w:r>
        <w:rPr>
          <w:rFonts w:ascii="Times New Roman" w:hAnsi="Times New Roman"/>
          <w:b w:val="0"/>
          <w:color w:val="000000"/>
          <w:sz w:val="20"/>
        </w:rPr>
        <w:t xml:space="preserve"> с даты подписания Заказчиком документа о приемке</w:t>
      </w:r>
      <w:r>
        <w:rPr>
          <w:rFonts w:ascii="Times New Roman" w:hAnsi="Times New Roman"/>
          <w:b w:val="0"/>
          <w:color w:val="000000"/>
          <w:sz w:val="20"/>
        </w:rPr>
        <w:t>.</w:t>
      </w:r>
    </w:p>
    <w:p w14:paraId="16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2.6. Заказчик удерживает суммы неисполненных Исполнителем требований об уплате неустоек (штрафов, пеней), предъявленных Заказчиком в соответствии с Федеральным законом № 44-ФЗ, из суммы, подлежащей оплате Исполнителю. </w:t>
      </w:r>
    </w:p>
    <w:p w14:paraId="17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2.7. Обязательство Заказчика по оплате считается выполненным с момента списания денежных средств с расчетного счёта Заказчика.</w:t>
      </w:r>
    </w:p>
    <w:p w14:paraId="18000000">
      <w:pPr>
        <w:pageBreakBefore w:val="0"/>
        <w:widowControl w:val="1"/>
        <w:spacing w:before="0" w:line="240" w:lineRule="auto"/>
        <w:ind w:firstLine="709" w:left="-142"/>
        <w:jc w:val="both"/>
        <w:rPr>
          <w:rFonts w:ascii="Times New Roman" w:hAnsi="Times New Roman"/>
          <w:color w:val="000000"/>
          <w:sz w:val="20"/>
        </w:rPr>
      </w:pPr>
    </w:p>
    <w:p w14:paraId="19000000">
      <w:pPr>
        <w:pageBreakBefore w:val="0"/>
        <w:widowControl w:val="1"/>
        <w:spacing w:before="0" w:line="240" w:lineRule="auto"/>
        <w:ind w:firstLine="709"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3. Права и обязанности Сторон</w:t>
      </w:r>
    </w:p>
    <w:p w14:paraId="1A000000">
      <w:pPr>
        <w:pageBreakBefore w:val="0"/>
        <w:widowControl w:val="0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3.1. Исполнитель обязуется:</w:t>
      </w:r>
    </w:p>
    <w:p w14:paraId="1B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3.1.1. Своевременно и должным образом выполнить принятые на себя обязательства в соответствии с условиями настоящего контракта.</w:t>
      </w:r>
    </w:p>
    <w:p w14:paraId="1C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3.1.2. Оказать услуги по контракту в соответствии с действующими регламентами, нормами, правилами, иными нормативными правовыми актами Российской Федерации, регламентирующими данный вид деятельности, в том числе:</w:t>
      </w:r>
    </w:p>
    <w:p w14:paraId="1D000000">
      <w:pPr>
        <w:pageBreakBefore w:val="0"/>
        <w:widowControl w:val="1"/>
        <w:spacing w:after="0" w:before="0" w:line="240" w:lineRule="auto"/>
        <w:ind w:firstLine="567" w:right="-142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 Федеральным законом от 24.06.1998 № 89-ФЗ «Об отходах производства и потребления»;</w:t>
      </w:r>
    </w:p>
    <w:p w14:paraId="1E000000">
      <w:pPr>
        <w:pageBreakBefore w:val="0"/>
        <w:widowControl w:val="1"/>
        <w:spacing w:after="0" w:before="0" w:line="240" w:lineRule="auto"/>
        <w:ind w:firstLine="567" w:right="-142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 Федеральным законом от 10.01.2002 № 7-ФЗ «Об охране окружающей среды»;</w:t>
      </w:r>
    </w:p>
    <w:p w14:paraId="1F000000">
      <w:pPr>
        <w:pageBreakBefore w:val="0"/>
        <w:widowControl w:val="1"/>
        <w:spacing w:after="0" w:before="0" w:line="240" w:lineRule="auto"/>
        <w:ind w:firstLine="567" w:right="-142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- Федеральным законом от 04.05.2011 № 99-ФЗ «О лицензировании отдельных видов деятельности»; </w:t>
      </w:r>
    </w:p>
    <w:p w14:paraId="20000000">
      <w:pPr>
        <w:pageBreakBefore w:val="0"/>
        <w:widowControl w:val="1"/>
        <w:spacing w:after="0" w:before="0" w:line="240" w:lineRule="auto"/>
        <w:ind w:firstLine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 «ГОСТ Р 55102-2012. 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14:paraId="21000000">
      <w:pPr>
        <w:pageBreakBefore w:val="0"/>
        <w:widowControl w:val="1"/>
        <w:spacing w:before="0" w:line="240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 «ГОСТ Р 52108-2003. Национальный стандарт Российской Федерации. Ресурсосбережение. Обращение с отходами. Основные положения».</w:t>
      </w:r>
    </w:p>
    <w:p w14:paraId="22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- Постановлением Правительства РФ от 26.12.2020 № 2290 «О лицензировании деятельности по сбору, транспортированию, обработке, утилизации, обезвреживанию, размещению отходов I - IV классов опасности» (вместе с «Положением о лицензировании деятельности по сбору, транспортированию, обработке, утилизации, обезвреживанию, размещению отходов I - IV классов опасности»).</w:t>
      </w:r>
    </w:p>
    <w:p w14:paraId="23000000">
      <w:pPr>
        <w:pStyle w:val="Style_1"/>
        <w:pageBreakBefore w:val="0"/>
        <w:widowControl w:val="1"/>
        <w:spacing w:after="0"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3"/>
          <w:sz w:val="20"/>
        </w:rPr>
        <w:t xml:space="preserve">3.1.3. Оказать услуги в полном объеме в соответствии с условиями контракта </w:t>
      </w:r>
      <w:r>
        <w:rPr>
          <w:rFonts w:ascii="Times New Roman" w:hAnsi="Times New Roman"/>
          <w:sz w:val="20"/>
        </w:rPr>
        <w:t xml:space="preserve">своими силами, средствами и с применением своих материалов, оборудования, </w:t>
      </w:r>
      <w:r>
        <w:rPr>
          <w:rFonts w:ascii="Times New Roman" w:hAnsi="Times New Roman"/>
          <w:sz w:val="20"/>
        </w:rPr>
        <w:t xml:space="preserve">оборудования, комплектующих. Исполнитель </w:t>
      </w:r>
      <w:r>
        <w:rPr>
          <w:rFonts w:ascii="Times New Roman" w:hAnsi="Times New Roman"/>
          <w:sz w:val="20"/>
        </w:rPr>
        <w:t>не имеет права</w:t>
      </w:r>
      <w:r>
        <w:rPr>
          <w:rFonts w:ascii="Times New Roman" w:hAnsi="Times New Roman"/>
          <w:sz w:val="20"/>
        </w:rPr>
        <w:t xml:space="preserve"> привлекать для оказания услуг третьих лиц</w:t>
      </w:r>
      <w:r>
        <w:rPr>
          <w:rFonts w:ascii="Times New Roman" w:hAnsi="Times New Roman"/>
          <w:sz w:val="20"/>
        </w:rPr>
        <w:t>/соисполнителей</w:t>
      </w:r>
      <w:r>
        <w:rPr>
          <w:rFonts w:ascii="Times New Roman" w:hAnsi="Times New Roman"/>
          <w:sz w:val="20"/>
        </w:rPr>
        <w:t xml:space="preserve">. </w:t>
      </w:r>
    </w:p>
    <w:p w14:paraId="24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3.1.4. Соблюдать правила и нормы по охране труда и технике безопасности, пожарной безопасности, </w:t>
      </w:r>
      <w:r>
        <w:rPr>
          <w:rFonts w:ascii="Times New Roman" w:hAnsi="Times New Roman"/>
          <w:color w:val="000000"/>
          <w:sz w:val="20"/>
        </w:rPr>
        <w:t>радиационной безопасности.</w:t>
      </w:r>
    </w:p>
    <w:p w14:paraId="25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3.1.5. Выполнять указания Заказчика, представленные в письменном виде, если они не противоречат условиям настоящего контракта, действующему законодательству РФ.</w:t>
      </w:r>
    </w:p>
    <w:p w14:paraId="26000000">
      <w:pPr>
        <w:pageBreakBefore w:val="0"/>
        <w:widowControl w:val="0"/>
        <w:tabs>
          <w:tab w:leader="none" w:pos="0" w:val="left"/>
          <w:tab w:leader="none" w:pos="720" w:val="left"/>
          <w:tab w:leader="none" w:pos="1440" w:val="left"/>
          <w:tab w:leader="none" w:pos="2160" w:val="left"/>
          <w:tab w:leader="none" w:pos="2880" w:val="left"/>
          <w:tab w:leader="none" w:pos="3600" w:val="left"/>
          <w:tab w:leader="none" w:pos="4320" w:val="left"/>
        </w:tabs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3.1.6. В установленные Заказчиком сроки и за свой счет устранять недостатки, несоответствия в  оказываемой услуге по получении от Заказчика мотивированной письменной претензии</w:t>
      </w:r>
      <w:r>
        <w:rPr>
          <w:rFonts w:ascii="Times New Roman" w:hAnsi="Times New Roman"/>
          <w:color w:val="000000"/>
          <w:sz w:val="20"/>
        </w:rPr>
        <w:t>.</w:t>
      </w:r>
      <w:r>
        <w:rPr>
          <w:rFonts w:ascii="Times New Roman" w:hAnsi="Times New Roman"/>
          <w:color w:val="000000"/>
          <w:sz w:val="20"/>
        </w:rPr>
        <w:t xml:space="preserve"> </w:t>
      </w:r>
    </w:p>
    <w:p w14:paraId="27000000">
      <w:pPr>
        <w:pageBreakBefore w:val="0"/>
        <w:widowControl w:val="0"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3.1.7. Устранить все недостатки и дефекты оказанных услуг за свой счет, если эти дефекты являются следствием некачественной услуги, оказанной Исполнителем. </w:t>
      </w:r>
    </w:p>
    <w:p w14:paraId="28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3.1.8. Обеспечивать Заказчику возможность контроля и надзора за ходом оказания услуг.</w:t>
      </w:r>
    </w:p>
    <w:p w14:paraId="29000000">
      <w:pPr>
        <w:pageBreakBefore w:val="0"/>
        <w:widowControl w:val="0"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3.1.9. Оказывать услуги по настоящему контракту при наличии действующих лицензий и иных разрешений в случаях, предусмотренных действующим законодательством Российской Федерации, в том числе </w:t>
      </w:r>
      <w:r>
        <w:rPr>
          <w:rFonts w:ascii="Times New Roman" w:hAnsi="Times New Roman"/>
          <w:color w:val="000000"/>
          <w:sz w:val="20"/>
        </w:rPr>
        <w:t>лицензии</w:t>
      </w:r>
      <w:r>
        <w:rPr>
          <w:rFonts w:ascii="Times New Roman" w:hAnsi="Times New Roman"/>
          <w:color w:val="000000"/>
          <w:sz w:val="20"/>
        </w:rPr>
        <w:t xml:space="preserve"> на осуществление деятельнос</w:t>
      </w:r>
      <w:r>
        <w:rPr>
          <w:rFonts w:ascii="Times New Roman" w:hAnsi="Times New Roman"/>
          <w:i w:val="0"/>
          <w:color w:val="000000"/>
          <w:sz w:val="20"/>
        </w:rPr>
        <w:t>ти по сбору, транспортированию, обработке, утилизации, обезвреживанию, размещению отходов I - IV классов опасности (</w:t>
      </w:r>
      <w:r>
        <w:rPr>
          <w:rFonts w:ascii="Times New Roman" w:hAnsi="Times New Roman"/>
          <w:i w:val="0"/>
          <w:color w:val="000000"/>
          <w:sz w:val="20"/>
        </w:rPr>
        <w:t xml:space="preserve">основание: п. 30 ч. 1 ст. 12 Федерального закона от 04.05.2011 № 99-ФЗ «О лицензировании отдельных видов деятельности» и </w:t>
      </w:r>
      <w:r>
        <w:rPr>
          <w:rFonts w:ascii="Times New Roman" w:hAnsi="Times New Roman"/>
          <w:i w:val="0"/>
          <w:color w:val="000000"/>
          <w:sz w:val="20"/>
        </w:rPr>
        <w:t>Постановление Правительства РФ от 26.12.2020 № 2290 «О лицензировании деятельности по сбору, транспортированию, обработке, утилизации, обезвреживанию, размещению отходов I - IV классов опасности...»</w:t>
      </w:r>
      <w:r>
        <w:rPr>
          <w:rFonts w:ascii="Times New Roman" w:hAnsi="Times New Roman"/>
          <w:i w:val="0"/>
          <w:color w:val="000000"/>
          <w:sz w:val="20"/>
        </w:rPr>
        <w:t>)</w:t>
      </w:r>
      <w:r>
        <w:rPr>
          <w:rFonts w:ascii="Times New Roman" w:hAnsi="Times New Roman"/>
          <w:i w:val="0"/>
          <w:color w:val="000000"/>
          <w:sz w:val="20"/>
        </w:rPr>
        <w:t xml:space="preserve">, </w:t>
      </w:r>
      <w:r>
        <w:rPr>
          <w:rFonts w:ascii="Times New Roman" w:hAnsi="Times New Roman"/>
          <w:i w:val="0"/>
          <w:color w:val="000000"/>
          <w:sz w:val="20"/>
        </w:rPr>
        <w:t>д</w:t>
      </w:r>
      <w:r>
        <w:rPr>
          <w:rFonts w:ascii="Times New Roman" w:hAnsi="Times New Roman"/>
          <w:i w:val="0"/>
          <w:sz w:val="20"/>
        </w:rPr>
        <w:t>окумент (Уведомление, свидетельство) о постановке на специальный учет в Российской государственной пробирной палате, в соответствии с требованиями, установленными постановлением Правительства РФ от 01.10.2015 № 1052 «О ведении специального у</w:t>
      </w:r>
      <w:r>
        <w:rPr>
          <w:rFonts w:ascii="Times New Roman" w:hAnsi="Times New Roman"/>
          <w:sz w:val="20"/>
        </w:rPr>
        <w:t>чета юридических лиц и индивидуальных предпринимателей, осуществляющих операции с драгоценными металлами и драгоценными камнями»</w:t>
      </w:r>
      <w:r>
        <w:rPr>
          <w:rFonts w:ascii="Times New Roman" w:hAnsi="Times New Roman"/>
          <w:sz w:val="20"/>
        </w:rPr>
        <w:t>,с</w:t>
      </w:r>
      <w:r>
        <w:rPr>
          <w:rFonts w:ascii="Times New Roman" w:hAnsi="Times New Roman"/>
          <w:sz w:val="20"/>
        </w:rPr>
        <w:t>анитарно-эпидемиологическое заключение о соответствии санитарным правилам зданий, строений, сооружений, помещений, оборудования и иного имущества, которые Исполнитель предполагает использовать для осуществления деятельности по сбору, использованию, обезвреживанию, транспортированию и размещению отходов I – IV класса опасности (в соответствии с ФЗ № 52 – ФЗ от 30.03.1999 «О санитарно-эпидемиологическом благополучии населения»).</w:t>
      </w:r>
    </w:p>
    <w:p w14:paraId="2A000000">
      <w:pPr>
        <w:pageBreakBefore w:val="0"/>
        <w:widowControl w:val="0"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При оказании услуг:</w:t>
      </w:r>
    </w:p>
    <w:p w14:paraId="2B000000">
      <w:pPr>
        <w:pageBreakBefore w:val="0"/>
        <w:widowControl w:val="0"/>
        <w:spacing w:after="0" w:before="0" w:line="240" w:lineRule="auto"/>
        <w:ind/>
        <w:jc w:val="both"/>
        <w:rPr>
          <w:rFonts w:ascii="Times New Roman" w:hAnsi="Times New Roman"/>
          <w:i w:val="0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1</w:t>
      </w:r>
      <w:r>
        <w:rPr>
          <w:rFonts w:ascii="Times New Roman" w:hAnsi="Times New Roman"/>
          <w:color w:val="000000"/>
          <w:sz w:val="20"/>
        </w:rPr>
        <w:t>)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 xml:space="preserve">по обработке (переработке) лома и отходов драгоценных металлов (за исключением </w:t>
      </w:r>
      <w:r>
        <w:rPr>
          <w:rFonts w:ascii="Times New Roman" w:hAnsi="Times New Roman"/>
          <w:color w:val="000000"/>
          <w:sz w:val="20"/>
        </w:rPr>
        <w:t>деятельности по обработке (переработке) организациями и</w:t>
      </w:r>
      <w:r>
        <w:rPr>
          <w:rFonts w:ascii="Times New Roman" w:hAnsi="Times New Roman"/>
          <w:i w:val="0"/>
          <w:color w:val="000000"/>
          <w:sz w:val="20"/>
        </w:rPr>
        <w:t xml:space="preserve">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производителю), </w:t>
      </w:r>
      <w:r>
        <w:rPr>
          <w:rFonts w:ascii="Times New Roman" w:hAnsi="Times New Roman"/>
          <w:i w:val="0"/>
          <w:color w:val="000000"/>
          <w:sz w:val="20"/>
        </w:rPr>
        <w:t xml:space="preserve">требующего наличия </w:t>
      </w:r>
      <w:r>
        <w:rPr>
          <w:rFonts w:ascii="Times New Roman" w:hAnsi="Times New Roman"/>
          <w:i w:val="0"/>
          <w:color w:val="000000"/>
          <w:sz w:val="20"/>
        </w:rPr>
        <w:t xml:space="preserve">соответствующей лицензии </w:t>
      </w:r>
      <w:r>
        <w:rPr>
          <w:rFonts w:ascii="Times New Roman" w:hAnsi="Times New Roman"/>
          <w:i w:val="0"/>
          <w:color w:val="000000"/>
          <w:sz w:val="20"/>
        </w:rPr>
        <w:t xml:space="preserve">(основание: п. 56 ч. 1 ст. 12 Федерального закона от 04.05.2011 № 99-ФЗ «О лицензировании отдельных видов деятельности», Постановление Правительства РФ от 12.09.2020 № 1418 «О лицензировании отдельных видов деятельности, связанных с драгоценными металлами и драгоценными камнями»), </w:t>
      </w:r>
      <w:r>
        <w:rPr>
          <w:rFonts w:ascii="Times New Roman" w:hAnsi="Times New Roman"/>
          <w:i w:val="0"/>
          <w:color w:val="000000"/>
          <w:sz w:val="20"/>
        </w:rPr>
        <w:t>Исполнитель оказывает такие услуги лично (при наличии такой лицензии).</w:t>
      </w:r>
    </w:p>
    <w:p w14:paraId="2C000000">
      <w:pPr>
        <w:pageBreakBefore w:val="0"/>
        <w:widowControl w:val="0"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3.1.10. Обеспечивать сохранность зданий, сооружений, инженерных коммуникаций и иного имущества при оказании услуг.</w:t>
      </w:r>
    </w:p>
    <w:p w14:paraId="2D000000">
      <w:pPr>
        <w:pageBreakBefore w:val="0"/>
        <w:widowControl w:val="0"/>
        <w:spacing w:after="0"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3.1.11. Соблюдать правила внутреннего распорядка Заказчика, контрольно-пропускной режим.</w:t>
      </w:r>
    </w:p>
    <w:p w14:paraId="2E000000">
      <w:pPr>
        <w:pageBreakBefore w:val="0"/>
        <w:widowControl w:val="1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3.1.12. Использовать квалифицированный персонал для оказания услуг по контракту, имеющий соответствующий допуск к</w:t>
      </w:r>
      <w:r>
        <w:rPr>
          <w:rFonts w:ascii="Times New Roman" w:hAnsi="Times New Roman"/>
          <w:color w:val="000000"/>
          <w:sz w:val="20"/>
        </w:rPr>
        <w:t xml:space="preserve"> соответствующим видам работ (услуг) в полном соответствии с действующим законодательством Российской Федерации</w:t>
      </w:r>
      <w:r>
        <w:rPr>
          <w:rFonts w:ascii="Times New Roman" w:hAnsi="Times New Roman"/>
          <w:color w:val="000000"/>
          <w:sz w:val="20"/>
        </w:rPr>
        <w:t>.</w:t>
      </w:r>
    </w:p>
    <w:p w14:paraId="2F000000">
      <w:pPr>
        <w:pageBreakBefore w:val="0"/>
        <w:widowControl w:val="1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3.1.13. Предоставлять в течение двух рабочих дней со дня получения запроса от Заказчика заверенные копии документов, подтверждающих наличие у </w:t>
      </w:r>
      <w:r>
        <w:rPr>
          <w:rFonts w:ascii="Times New Roman" w:hAnsi="Times New Roman"/>
          <w:color w:val="000000"/>
          <w:sz w:val="20"/>
        </w:rPr>
        <w:t>Исполнителя</w:t>
      </w:r>
      <w:r>
        <w:rPr>
          <w:rFonts w:ascii="Times New Roman" w:hAnsi="Times New Roman"/>
          <w:color w:val="000000"/>
          <w:sz w:val="20"/>
        </w:rPr>
        <w:t xml:space="preserve"> действующих свидетельств (лицензий), допусков и иных разрешений, требуемых для оказания услуг по настоящему контракту в случаях, предусмотренных действующим законодательством Российской Федерации.</w:t>
      </w:r>
    </w:p>
    <w:p w14:paraId="30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3.1.14. Восстановить своими силами и за свой счет в случае повреждения во время оказания услуг сети электроснабжения, связи, пожарной сигнализации, охраны, отопления, водопровода, канализации. Поврежденное во время оказания услуг имущество и оборудование Заказчика восстанавливается силами и за счет Исполнителя.</w:t>
      </w:r>
    </w:p>
    <w:p w14:paraId="31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3.1.15. При обнаружении любых дефектов, отступлений от требований руководящих документов, немедленно сообщать об этом Заказчику и приостановить оказание услуг до получения от него необходимых указаний.</w:t>
      </w:r>
    </w:p>
    <w:p w14:paraId="32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3.1.16. Информировать и предоставлять Заказчику по его запросам отчетные данные и другую необходимую информацию о ходе оказания услуг по настоящему контракту.</w:t>
      </w:r>
    </w:p>
    <w:p w14:paraId="33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3.1.17. Незамедлительно уведомлять Заказчика об обнаружении любых обстоятельств, угрожающих качеству оказываемых услуг, либо об обстоятельствах, создающих невозможность завершения оказания услуг в сроки, установленные контрактом.</w:t>
      </w:r>
    </w:p>
    <w:p w14:paraId="34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3.1.18. Проводить сверку расчетов с Заказчиком.</w:t>
      </w:r>
    </w:p>
    <w:p w14:paraId="35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3.1.19.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оказанных услуг, предусмотренные настоящим контрактом, при этом Заказчик обязан обеспечить приемку оказанных услуг в соответствии с требованиями действующего законодательства и в порядке, предусмотренном контрактом.</w:t>
      </w:r>
    </w:p>
    <w:p w14:paraId="36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ab/>
      </w:r>
      <w:r>
        <w:rPr>
          <w:rFonts w:ascii="Times New Roman" w:hAnsi="Times New Roman"/>
          <w:color w:themeColor="text1" w:val="000000"/>
          <w:sz w:val="20"/>
        </w:rPr>
        <w:t>3.1.20. В течение</w:t>
      </w:r>
      <w:r>
        <w:rPr>
          <w:rFonts w:ascii="Times New Roman" w:hAnsi="Times New Roman"/>
          <w:color w:val="000000"/>
          <w:sz w:val="20"/>
        </w:rPr>
        <w:t xml:space="preserve"> одного рабочего дня, следующего за днем окончания оказания услуг, предоставить</w:t>
      </w:r>
      <w:r>
        <w:rPr>
          <w:rFonts w:ascii="Times New Roman" w:hAnsi="Times New Roman"/>
          <w:color w:themeColor="text1" w:val="000000"/>
          <w:sz w:val="20"/>
        </w:rPr>
        <w:t xml:space="preserve"> Заказчику отчетные документы, предусмотренные в техническом задании</w:t>
      </w:r>
      <w:r>
        <w:rPr>
          <w:rFonts w:ascii="Times New Roman" w:hAnsi="Times New Roman"/>
          <w:color w:val="000000"/>
          <w:sz w:val="20"/>
        </w:rPr>
        <w:t xml:space="preserve"> (приложение № 1 к контракту):</w:t>
      </w:r>
    </w:p>
    <w:p w14:paraId="37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- акт приема-передачи оборудования на утилизацию,</w:t>
      </w:r>
    </w:p>
    <w:p w14:paraId="38000000">
      <w:pPr>
        <w:pageBreakBefore w:val="0"/>
        <w:widowControl w:val="0"/>
        <w:spacing w:before="0" w:line="240" w:lineRule="auto"/>
        <w:ind w:left="28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- акт утилизации </w:t>
      </w:r>
      <w:r>
        <w:rPr>
          <w:rFonts w:ascii="Times New Roman" w:hAnsi="Times New Roman"/>
          <w:color w:val="000000"/>
          <w:sz w:val="20"/>
        </w:rPr>
        <w:t xml:space="preserve">оборудования </w:t>
      </w:r>
      <w:r>
        <w:rPr>
          <w:rFonts w:ascii="Times New Roman" w:hAnsi="Times New Roman"/>
          <w:color w:val="000000"/>
          <w:sz w:val="20"/>
        </w:rPr>
        <w:t>,</w:t>
      </w:r>
    </w:p>
    <w:p w14:paraId="39000000">
      <w:pPr>
        <w:pageBreakBefore w:val="0"/>
        <w:widowControl w:val="0"/>
        <w:spacing w:before="0" w:line="240" w:lineRule="auto"/>
        <w:ind w:left="283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- паспорт-расчет </w:t>
      </w:r>
      <w:r>
        <w:rPr>
          <w:rFonts w:ascii="Times New Roman" w:hAnsi="Times New Roman"/>
          <w:sz w:val="20"/>
        </w:rPr>
        <w:t>за</w:t>
      </w:r>
      <w:r>
        <w:rPr>
          <w:rFonts w:ascii="Times New Roman" w:hAnsi="Times New Roman"/>
          <w:sz w:val="20"/>
        </w:rPr>
        <w:t xml:space="preserve"> металлы поступившие в ломе и отходах</w:t>
      </w:r>
      <w:r>
        <w:rPr>
          <w:rFonts w:ascii="Times New Roman" w:hAnsi="Times New Roman"/>
          <w:sz w:val="20"/>
        </w:rPr>
        <w:t>,</w:t>
      </w:r>
    </w:p>
    <w:p w14:paraId="3A000000">
      <w:pPr>
        <w:pageBreakBefore w:val="0"/>
        <w:widowControl w:val="0"/>
        <w:spacing w:before="0" w:line="240" w:lineRule="auto"/>
        <w:ind w:left="283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- документ о приемке оказанных услуг.</w:t>
      </w:r>
    </w:p>
    <w:p w14:paraId="3B000000">
      <w:pPr>
        <w:pageBreakBefore w:val="0"/>
        <w:widowControl w:val="0"/>
        <w:spacing w:before="0" w:line="24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3.2.  Исполнитель вправе:</w:t>
      </w:r>
    </w:p>
    <w:p w14:paraId="3C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3.2.1. Требовать от Заказчика выполнения условий контракта, в т.ч. условий по своевременной оплате за оказанные услуги в соответствии с условиями контракта.</w:t>
      </w:r>
    </w:p>
    <w:p w14:paraId="3D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3.2.2. Запрашивать у Заказчика информацию, необходимую для оказания услуг по контракту.</w:t>
      </w:r>
    </w:p>
    <w:p w14:paraId="3E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3.3. Заказчик обязуется:</w:t>
      </w:r>
    </w:p>
    <w:p w14:paraId="3F000000">
      <w:pPr>
        <w:pageBreakBefore w:val="0"/>
        <w:widowControl w:val="0"/>
        <w:tabs>
          <w:tab w:leader="none" w:pos="0" w:val="left"/>
          <w:tab w:leader="none" w:pos="142" w:val="left"/>
          <w:tab w:leader="none" w:pos="851" w:val="left"/>
          <w:tab w:leader="none" w:pos="993" w:val="left"/>
        </w:tabs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3.3.1. Принять и оплатить оказанные Исполнителем услуги в порядке, предусмотренном контрактом.</w:t>
      </w:r>
    </w:p>
    <w:p w14:paraId="40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3.3.2. Проводить контроль за качеством оказываемых Исполнителем услуг.</w:t>
      </w:r>
    </w:p>
    <w:p w14:paraId="41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3.3.3. Для проверки предоставленных Исполнителем результатов, предусмотренных контрактом, в части их соответствия условиям контракта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</w:p>
    <w:p w14:paraId="42000000">
      <w:pPr>
        <w:pageBreakBefore w:val="0"/>
        <w:widowControl w:val="1"/>
        <w:spacing w:after="0"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3.3.4. Выполнить в полном объеме иные свои обязательства по контракту.</w:t>
      </w:r>
    </w:p>
    <w:p w14:paraId="43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3.4. Заказчик вправе: </w:t>
      </w:r>
    </w:p>
    <w:p w14:paraId="44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3.4.1. Осуществлять контроль за ходом и качеством, соблюдением сроков оказания услуг, не вмешиваясь при этом в оперативно-хозяйственную деятельность Исполнителя.</w:t>
      </w:r>
    </w:p>
    <w:p w14:paraId="45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3.4.2. Требовать от Исполнителя предоставления отчетных данных о ходе оказания услуг по настоящему контракту.</w:t>
      </w:r>
    </w:p>
    <w:p w14:paraId="46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color w:val="000000"/>
          <w:sz w:val="20"/>
        </w:rPr>
      </w:pPr>
    </w:p>
    <w:p w14:paraId="47000000">
      <w:pPr>
        <w:pageBreakBefore w:val="0"/>
        <w:widowControl w:val="1"/>
        <w:spacing w:before="0" w:line="240" w:lineRule="auto"/>
        <w:ind w:firstLine="851"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4. Порядок и срок сдачи-приемки оказанных услуг</w:t>
      </w:r>
    </w:p>
    <w:p w14:paraId="48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4.1. Приемка </w:t>
      </w:r>
      <w:r>
        <w:rPr>
          <w:rFonts w:ascii="Times New Roman" w:hAnsi="Times New Roman"/>
          <w:color w:val="000000"/>
          <w:sz w:val="20"/>
        </w:rPr>
        <w:t>ок</w:t>
      </w:r>
      <w:r>
        <w:rPr>
          <w:rFonts w:ascii="Times New Roman" w:hAnsi="Times New Roman"/>
          <w:b w:val="0"/>
          <w:color w:val="000000"/>
          <w:sz w:val="20"/>
        </w:rPr>
        <w:t>азанных услуг</w:t>
      </w:r>
      <w:r>
        <w:rPr>
          <w:rFonts w:ascii="Times New Roman" w:hAnsi="Times New Roman"/>
          <w:b w:val="0"/>
          <w:color w:val="000000"/>
          <w:sz w:val="20"/>
        </w:rPr>
        <w:t xml:space="preserve"> производится по месту нахождения Заказчика.</w:t>
      </w:r>
    </w:p>
    <w:p w14:paraId="49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color w:val="000000"/>
          <w:sz w:val="20"/>
        </w:rPr>
        <w:tab/>
      </w:r>
      <w:r>
        <w:rPr>
          <w:rFonts w:ascii="Times New Roman" w:hAnsi="Times New Roman"/>
          <w:b w:val="0"/>
          <w:color w:val="000000"/>
          <w:sz w:val="20"/>
        </w:rPr>
        <w:t xml:space="preserve">4.2. </w:t>
      </w:r>
      <w:r>
        <w:rPr>
          <w:rFonts w:ascii="Times New Roman" w:hAnsi="Times New Roman"/>
          <w:b w:val="0"/>
          <w:color w:val="000000"/>
          <w:sz w:val="20"/>
        </w:rPr>
        <w:t xml:space="preserve">Исполнитель </w:t>
      </w:r>
      <w:r>
        <w:rPr>
          <w:rFonts w:ascii="Times New Roman" w:hAnsi="Times New Roman"/>
          <w:b w:val="0"/>
          <w:color w:val="000000"/>
          <w:sz w:val="20"/>
        </w:rPr>
        <w:t>в течение одного рабочего дня</w:t>
      </w:r>
      <w:r>
        <w:rPr>
          <w:rFonts w:ascii="Times New Roman" w:hAnsi="Times New Roman"/>
          <w:b w:val="0"/>
          <w:color w:val="000000"/>
          <w:sz w:val="20"/>
        </w:rPr>
        <w:t>, следующего за днем окончания оказания услуг, направляет Заказчику документ о приемке в порядке, установленном контрактом и действующим законодательством.</w:t>
      </w:r>
      <w:r>
        <w:rPr>
          <w:rFonts w:ascii="Times New Roman" w:hAnsi="Times New Roman"/>
          <w:b w:val="0"/>
          <w:sz w:val="20"/>
        </w:rPr>
        <w:t xml:space="preserve"> </w:t>
      </w:r>
      <w:r>
        <w:rPr>
          <w:rFonts w:ascii="Times New Roman" w:hAnsi="Times New Roman"/>
          <w:b w:val="0"/>
          <w:color w:val="000000"/>
          <w:sz w:val="20"/>
        </w:rPr>
        <w:t>К документу о приемке могут прилагаться документы, которые считаются его неотъемлемой частью (счет на оплату, счет-фактура, документы, предусмотренные в техническом задании к контракту и т.п.).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приемке.</w:t>
      </w:r>
    </w:p>
    <w:p w14:paraId="4A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color w:val="000000"/>
          <w:sz w:val="20"/>
        </w:rPr>
        <w:tab/>
      </w:r>
      <w:r>
        <w:rPr>
          <w:rFonts w:ascii="Times New Roman" w:hAnsi="Times New Roman"/>
          <w:b w:val="0"/>
          <w:color w:val="000000"/>
          <w:sz w:val="20"/>
        </w:rPr>
        <w:t xml:space="preserve">4.3. Заказчик </w:t>
      </w:r>
      <w:r>
        <w:rPr>
          <w:rFonts w:ascii="Times New Roman" w:hAnsi="Times New Roman"/>
          <w:b w:val="0"/>
          <w:color w:val="000000"/>
          <w:sz w:val="20"/>
        </w:rPr>
        <w:t>не позднее двадцати рабочих дней</w:t>
      </w:r>
      <w:r>
        <w:rPr>
          <w:rFonts w:ascii="Times New Roman" w:hAnsi="Times New Roman"/>
          <w:b w:val="0"/>
          <w:color w:val="000000"/>
          <w:sz w:val="20"/>
        </w:rPr>
        <w:t>, следующих за днем поступления документа о приемке</w:t>
      </w:r>
      <w:r>
        <w:rPr>
          <w:rFonts w:ascii="Times New Roman" w:hAnsi="Times New Roman"/>
          <w:b w:val="0"/>
          <w:color w:val="000000"/>
          <w:sz w:val="20"/>
        </w:rPr>
        <w:t xml:space="preserve"> (за исключением случая создания приемочной комиссии в соответствии с частью 6 статьи 94 Федерального закона № 44-ФЗ) </w:t>
      </w:r>
      <w:r>
        <w:rPr>
          <w:rFonts w:ascii="Times New Roman" w:hAnsi="Times New Roman"/>
          <w:b w:val="0"/>
          <w:color w:val="000000"/>
          <w:sz w:val="20"/>
        </w:rPr>
        <w:t>производит приемку оказанных услуг в части соответствия  требованиям, установленным контрактом, и осуществляет одно из следующих действий:</w:t>
      </w:r>
    </w:p>
    <w:p w14:paraId="4B000000">
      <w:pPr>
        <w:pageBreakBefore w:val="0"/>
        <w:widowControl w:val="1"/>
        <w:spacing w:before="0" w:line="240" w:lineRule="auto"/>
        <w:ind w:firstLine="540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color w:val="000000"/>
          <w:sz w:val="20"/>
        </w:rPr>
        <w:tab/>
      </w:r>
      <w:r>
        <w:rPr>
          <w:rFonts w:ascii="Times New Roman" w:hAnsi="Times New Roman"/>
          <w:b w:val="0"/>
          <w:color w:val="000000"/>
          <w:sz w:val="20"/>
        </w:rPr>
        <w:t>а) подписывает документ о приемке;</w:t>
      </w:r>
    </w:p>
    <w:p w14:paraId="4C000000">
      <w:pPr>
        <w:pageBreakBefore w:val="0"/>
        <w:widowControl w:val="1"/>
        <w:spacing w:before="0" w:line="240" w:lineRule="auto"/>
        <w:ind w:firstLine="540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color w:val="000000"/>
          <w:sz w:val="20"/>
        </w:rPr>
        <w:tab/>
      </w:r>
      <w:r>
        <w:rPr>
          <w:rFonts w:ascii="Times New Roman" w:hAnsi="Times New Roman"/>
          <w:b w:val="0"/>
          <w:color w:val="000000"/>
          <w:sz w:val="20"/>
        </w:rPr>
        <w:t>б) формирует и подписывает мотивированный отказ от подписания документа о приемке с указанием причин такого отказа.</w:t>
      </w:r>
    </w:p>
    <w:p w14:paraId="4D000000">
      <w:pPr>
        <w:pageBreakBefore w:val="0"/>
        <w:widowControl w:val="1"/>
        <w:spacing w:before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4.4. В случае получения в соответствии с пунктом 4.3. контракта мотивированного отказа от подписания документа о приемке Исполнитель вправе устранить причины, указанные в таком мотивированном отказе, и направить Заказчику документ о приемке в порядке, предусмотренном контрактом.</w:t>
      </w:r>
    </w:p>
    <w:p w14:paraId="4E000000">
      <w:pPr>
        <w:pageBreakBefore w:val="0"/>
        <w:widowControl w:val="1"/>
        <w:spacing w:before="0" w:line="240" w:lineRule="auto"/>
        <w:ind w:firstLine="5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4.5. Для проверки предоставленных </w:t>
      </w:r>
      <w:r>
        <w:rPr>
          <w:rFonts w:ascii="Times New Roman" w:hAnsi="Times New Roman"/>
          <w:color w:val="000000"/>
          <w:sz w:val="20"/>
        </w:rPr>
        <w:t xml:space="preserve">Исполнителем </w:t>
      </w:r>
      <w:r>
        <w:rPr>
          <w:rFonts w:ascii="Times New Roman" w:hAnsi="Times New Roman"/>
          <w:color w:val="000000"/>
          <w:sz w:val="20"/>
        </w:rPr>
        <w:t>результатов, предусмотренных контрактом, в части их соответствия условиям контракта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</w:p>
    <w:p w14:paraId="4F000000">
      <w:pPr>
        <w:pageBreakBefore w:val="0"/>
        <w:widowControl w:val="1"/>
        <w:spacing w:before="0" w:line="240" w:lineRule="auto"/>
        <w:ind w:firstLine="540"/>
        <w:jc w:val="both"/>
        <w:rPr>
          <w:rFonts w:ascii="Times New Roman" w:hAnsi="Times New Roman"/>
          <w:color w:val="000000"/>
          <w:sz w:val="20"/>
        </w:rPr>
      </w:pPr>
    </w:p>
    <w:p w14:paraId="50000000">
      <w:pPr>
        <w:pageBreakBefore w:val="0"/>
        <w:widowControl w:val="1"/>
        <w:spacing w:before="0" w:line="240" w:lineRule="auto"/>
        <w:ind w:firstLine="851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5. Гарантийные обязательства</w:t>
      </w:r>
    </w:p>
    <w:p w14:paraId="51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5.1. Исполнитель гарантирует:</w:t>
      </w:r>
    </w:p>
    <w:p w14:paraId="52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5.1.1. Качество оказания услуг в соответствии с действующими регламентами, нормами, правилами, техническими условиями, </w:t>
      </w:r>
      <w:r>
        <w:rPr>
          <w:rFonts w:ascii="Times New Roman" w:hAnsi="Times New Roman"/>
          <w:color w:val="000000"/>
          <w:sz w:val="20"/>
        </w:rPr>
        <w:t xml:space="preserve">требованиями сертификации, безопасности, санитарными нормами и правилами, </w:t>
      </w:r>
      <w:r>
        <w:rPr>
          <w:rFonts w:ascii="Times New Roman" w:hAnsi="Times New Roman"/>
          <w:color w:val="000000"/>
          <w:sz w:val="20"/>
        </w:rPr>
        <w:t>иными нормативными правовыми актами Российской Федерации, регламентирующими данный вид деятельности</w:t>
      </w:r>
      <w:r>
        <w:rPr>
          <w:rFonts w:ascii="Times New Roman" w:hAnsi="Times New Roman"/>
          <w:color w:val="000000"/>
          <w:sz w:val="20"/>
        </w:rPr>
        <w:t>.</w:t>
      </w:r>
    </w:p>
    <w:p w14:paraId="53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5.1.2. Устранение недостатков и дефектов, выявленных при приемке услуг в сроки, согласованные с Заказчиком.</w:t>
      </w:r>
    </w:p>
    <w:p w14:paraId="54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55000000">
      <w:pPr>
        <w:pageBreakBefore w:val="0"/>
        <w:widowControl w:val="0"/>
        <w:spacing w:before="0" w:line="240" w:lineRule="auto"/>
        <w:ind w:firstLine="851" w:left="-42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6. Ответственность Сторон</w:t>
      </w:r>
    </w:p>
    <w:p w14:paraId="56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6.1. 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Федерации, в том числе в порядке, установленном постановлением Правительства Российской Федерации от </w:t>
      </w:r>
      <w:r>
        <w:rPr>
          <w:rFonts w:ascii="Times New Roman" w:hAnsi="Times New Roman"/>
          <w:color w:val="000000"/>
          <w:sz w:val="20"/>
        </w:rPr>
        <w:t>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 (далее – постановление Правительства)</w:t>
      </w:r>
      <w:r>
        <w:rPr>
          <w:rFonts w:ascii="Times New Roman" w:hAnsi="Times New Roman"/>
          <w:color w:val="000000"/>
          <w:sz w:val="20"/>
        </w:rPr>
        <w:t>.</w:t>
      </w:r>
    </w:p>
    <w:p w14:paraId="57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6.2. В случае просрочки исполнения Исполнителем обязательств (в том числе гарантийного обязательства), предусмотренных настоящим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58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6.3.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</w:t>
      </w:r>
      <w:r>
        <w:rPr>
          <w:rFonts w:ascii="Times New Roman" w:hAnsi="Times New Roman"/>
          <w:color w:val="000000"/>
          <w:sz w:val="20"/>
        </w:rPr>
        <w:t>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59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6.4. Штрафы начисляются за неисполнение или ненадлежащее исполнение Исполнителем обязательств, предусмотренных настоящим контрактом, за исключением просрочки исполнения Исполнителем обязательств (в том числе гарантийного обязательства), предусмотренных настоящим контрактом.</w:t>
      </w:r>
    </w:p>
    <w:p w14:paraId="5A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6.5. Размер штрафа устанавливается контрактом в порядке, установленном Правительством Российской Федерации,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(этапа)), а именно:</w:t>
      </w:r>
      <w:r>
        <w:rPr>
          <w:rFonts w:ascii="Times New Roman" w:hAnsi="Times New Roman"/>
          <w:color w:val="000000"/>
          <w:sz w:val="20"/>
        </w:rPr>
        <w:t xml:space="preserve"> 10 процентов цены контракта (этапа), так как цена контракта (этапа) не превышает 3 млн. рублей.</w:t>
      </w:r>
    </w:p>
    <w:p w14:paraId="5B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6.6. 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</w:t>
      </w:r>
      <w:r>
        <w:rPr>
          <w:rFonts w:ascii="Times New Roman" w:hAnsi="Times New Roman"/>
          <w:color w:val="000000"/>
          <w:sz w:val="20"/>
        </w:rPr>
        <w:t>законом</w:t>
      </w:r>
      <w:r>
        <w:rPr>
          <w:rFonts w:ascii="Times New Roman" w:hAnsi="Times New Roman"/>
          <w:color w:val="000000"/>
          <w:sz w:val="20"/>
        </w:rPr>
        <w:t>), предложившим наиболее высокую цену за право заключения контракта, размер штрафа рассчитывается в порядке, установленном Правилами, утвержденными постановлением Правительства,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</w:t>
      </w:r>
      <w:r>
        <w:rPr>
          <w:rFonts w:ascii="Times New Roman" w:hAnsi="Times New Roman"/>
          <w:color w:val="000000"/>
          <w:sz w:val="20"/>
        </w:rPr>
        <w:t xml:space="preserve">: </w:t>
      </w:r>
      <w:r>
        <w:rPr>
          <w:rFonts w:ascii="Times New Roman" w:hAnsi="Times New Roman"/>
          <w:color w:val="000000"/>
          <w:sz w:val="20"/>
        </w:rPr>
        <w:t>10 процентов начальной (максимальной) цены контракта, так как цена контракта не превышает 3 млн. рублей.</w:t>
      </w:r>
    </w:p>
    <w:p w14:paraId="5C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6.7. За каждый факт неисполнения или ненадлежащего исполнения </w:t>
      </w:r>
      <w:r>
        <w:rPr>
          <w:rFonts w:ascii="Times New Roman" w:hAnsi="Times New Roman"/>
          <w:color w:val="000000"/>
          <w:sz w:val="20"/>
        </w:rPr>
        <w:t xml:space="preserve">Исполнителем </w:t>
      </w:r>
      <w:r>
        <w:rPr>
          <w:rFonts w:ascii="Times New Roman" w:hAnsi="Times New Roman"/>
          <w:color w:val="000000"/>
          <w:sz w:val="20"/>
        </w:rPr>
        <w:t xml:space="preserve">обязательства, предусмотренного настоящим контрактом, которое не имеет стоимостного выражения, размер штрафа устанавливается (при наличии в контракте таких обязательств) </w:t>
      </w:r>
      <w:r>
        <w:rPr>
          <w:rFonts w:ascii="Times New Roman" w:hAnsi="Times New Roman"/>
          <w:color w:val="000000"/>
          <w:sz w:val="20"/>
        </w:rPr>
        <w:t>в следующем порядке:</w:t>
      </w:r>
      <w:r>
        <w:rPr>
          <w:rFonts w:ascii="Times New Roman" w:hAnsi="Times New Roman"/>
          <w:color w:val="000000"/>
          <w:sz w:val="20"/>
        </w:rPr>
        <w:t xml:space="preserve"> 1 000 рублей, так как цена контракта не превышает 3 млн. рублей.</w:t>
      </w:r>
    </w:p>
    <w:p w14:paraId="5D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6.8. За каждый факт неисполнения или ненадлежащего исполнения </w:t>
      </w:r>
      <w:r>
        <w:rPr>
          <w:rFonts w:ascii="Times New Roman" w:hAnsi="Times New Roman"/>
          <w:color w:val="000000"/>
          <w:sz w:val="20"/>
        </w:rPr>
        <w:t>Исполнителем</w:t>
      </w:r>
      <w:r>
        <w:rPr>
          <w:rFonts w:ascii="Times New Roman" w:hAnsi="Times New Roman"/>
          <w:color w:val="000000"/>
          <w:sz w:val="20"/>
        </w:rPr>
        <w:t xml:space="preserve"> обязательств, предусмотренных настоящим контрактом, заключенным по результатам определения Исполнителя в соответствии с пунктом 1 части 1 статьи 30 Федерального закона «О контрактной системе в сфере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настоящим контрактом, размер штрафа устанавливается в размере 1 процента цены контракта (этапа), но не более 5 тыс. рублей и не менее 1 тыс. рублей</w:t>
      </w:r>
      <w:r>
        <w:rPr>
          <w:rFonts w:ascii="Times New Roman" w:hAnsi="Times New Roman"/>
          <w:color w:val="000000"/>
          <w:sz w:val="20"/>
        </w:rPr>
        <w:t>.</w:t>
      </w:r>
    </w:p>
    <w:p w14:paraId="5E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6.9. </w:t>
      </w:r>
      <w:r>
        <w:rPr>
          <w:rFonts w:ascii="Times New Roman" w:hAnsi="Times New Roman"/>
          <w:color w:val="000000"/>
          <w:sz w:val="20"/>
        </w:rPr>
        <w:t xml:space="preserve">В </w:t>
      </w:r>
      <w:r>
        <w:rPr>
          <w:rFonts w:ascii="Times New Roman" w:hAnsi="Times New Roman"/>
          <w:color w:val="000000"/>
          <w:sz w:val="20"/>
        </w:rPr>
        <w:t>случае</w:t>
      </w:r>
      <w:r>
        <w:rPr>
          <w:rFonts w:ascii="Times New Roman" w:hAnsi="Times New Roman"/>
          <w:color w:val="000000"/>
          <w:sz w:val="20"/>
        </w:rPr>
        <w:t xml:space="preserve">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</w:t>
      </w:r>
      <w:r>
        <w:rPr>
          <w:rFonts w:ascii="Times New Roman" w:hAnsi="Times New Roman"/>
          <w:color w:val="000000"/>
          <w:sz w:val="20"/>
        </w:rPr>
        <w:t xml:space="preserve">настоящим </w:t>
      </w:r>
      <w:r>
        <w:rPr>
          <w:rFonts w:ascii="Times New Roman" w:hAnsi="Times New Roman"/>
          <w:color w:val="000000"/>
          <w:sz w:val="20"/>
        </w:rPr>
        <w:t>контрактом, Исполнитель вправе потребовать уплаты неустоек (штрафов, пеней).</w:t>
      </w:r>
    </w:p>
    <w:p w14:paraId="5F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6.10. </w:t>
      </w:r>
      <w:r>
        <w:rPr>
          <w:rFonts w:ascii="Times New Roman" w:hAnsi="Times New Roman"/>
          <w:color w:val="000000"/>
          <w:sz w:val="20"/>
        </w:rPr>
        <w:t>Пеня</w:t>
      </w:r>
      <w:r>
        <w:rPr>
          <w:rFonts w:ascii="Times New Roman" w:hAnsi="Times New Roman"/>
          <w:color w:val="000000"/>
          <w:sz w:val="20"/>
        </w:rPr>
        <w:t xml:space="preserve"> начисляется за каждый день просрочки исполнения Заказчиком обязательства, предусмотренного настоящим контрактом, начиная со дня, следующего после дня истечения установленного настоящим контрактом срока исполнения обязательства.</w:t>
      </w:r>
    </w:p>
    <w:p w14:paraId="60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6.11. </w:t>
      </w:r>
      <w:r>
        <w:rPr>
          <w:rFonts w:ascii="Times New Roman" w:hAnsi="Times New Roman"/>
          <w:color w:val="000000"/>
          <w:sz w:val="20"/>
        </w:rPr>
        <w:t>Размер</w:t>
      </w:r>
      <w:r>
        <w:rPr>
          <w:rFonts w:ascii="Times New Roman" w:hAnsi="Times New Roman"/>
          <w:color w:val="000000"/>
          <w:sz w:val="20"/>
        </w:rPr>
        <w:t xml:space="preserve"> такой пени устанавливается в размере одной трехсотой действующей на день уплаты пеней ключевой ставки Центрального банка Российской Федерации от не уплаченной в срок суммы.</w:t>
      </w:r>
    </w:p>
    <w:p w14:paraId="61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6.12. </w:t>
      </w:r>
      <w:r>
        <w:rPr>
          <w:rFonts w:ascii="Times New Roman" w:hAnsi="Times New Roman"/>
          <w:color w:val="000000"/>
          <w:sz w:val="20"/>
        </w:rPr>
        <w:t>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контрактом.</w:t>
      </w:r>
    </w:p>
    <w:p w14:paraId="62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6.13.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настоящим контрактом, размер штрафа устанавливается </w:t>
      </w:r>
      <w:r>
        <w:rPr>
          <w:rFonts w:ascii="Times New Roman" w:hAnsi="Times New Roman"/>
          <w:color w:val="000000"/>
          <w:sz w:val="20"/>
        </w:rPr>
        <w:t>в следующем порядке:</w:t>
      </w:r>
      <w:r>
        <w:rPr>
          <w:rFonts w:ascii="Times New Roman" w:hAnsi="Times New Roman"/>
          <w:color w:val="000000"/>
          <w:sz w:val="20"/>
        </w:rPr>
        <w:t xml:space="preserve"> 1 000 рублей, так как цена контракта не превышает 3 млн. рублей (включительно).</w:t>
      </w:r>
    </w:p>
    <w:p w14:paraId="63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6.14. Общая сумма начисленных штрафов за неисполнение или ненадлежащее исполнение Исполнителем обязательств, предусмотренных настоящим контрактом, не может превышать цену контракта.</w:t>
      </w:r>
    </w:p>
    <w:p w14:paraId="64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6.15. Общая сумма начисленных штрафов за ненадлежащее исполнение Заказчиком обязательств, предусмотренных настоящим контрактом, не может превышать цену контракта.</w:t>
      </w:r>
    </w:p>
    <w:p w14:paraId="65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6.16. Сторона</w:t>
      </w:r>
      <w:r>
        <w:rPr>
          <w:rFonts w:ascii="Times New Roman" w:hAnsi="Times New Roman"/>
          <w:color w:val="000000"/>
          <w:sz w:val="20"/>
        </w:rPr>
        <w:t xml:space="preserve">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>
        <w:rPr>
          <w:rFonts w:ascii="Times New Roman" w:hAnsi="Times New Roman"/>
          <w:color w:val="000000"/>
          <w:sz w:val="20"/>
        </w:rPr>
        <w:t xml:space="preserve">настоящим </w:t>
      </w:r>
      <w:r>
        <w:rPr>
          <w:rFonts w:ascii="Times New Roman" w:hAnsi="Times New Roman"/>
          <w:color w:val="000000"/>
          <w:sz w:val="20"/>
        </w:rPr>
        <w:t>контрактом, произошло вследствие непреодолимой силы или по вине другой стороны. Срок исполнения обязательств по настоящему контракту приостанавливается на время, в течение которого действовали обстоятельства непреодолимой силы, а также последствия, вызванные этими обстоятельствами.</w:t>
      </w:r>
    </w:p>
    <w:p w14:paraId="66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6.17. </w:t>
      </w:r>
      <w:r>
        <w:rPr>
          <w:rFonts w:ascii="Times New Roman" w:hAnsi="Times New Roman"/>
          <w:color w:val="000000"/>
          <w:sz w:val="20"/>
        </w:rPr>
        <w:t>Уплата</w:t>
      </w:r>
      <w:r>
        <w:rPr>
          <w:rFonts w:ascii="Times New Roman" w:hAnsi="Times New Roman"/>
          <w:color w:val="000000"/>
          <w:sz w:val="20"/>
        </w:rPr>
        <w:t xml:space="preserve"> неустоек (штрафов, пеней) не освобождает Стороны от выполнения обязательств по контракту.</w:t>
      </w:r>
    </w:p>
    <w:p w14:paraId="67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68000000">
      <w:pPr>
        <w:pageBreakBefore w:val="0"/>
        <w:widowControl w:val="0"/>
        <w:spacing w:after="0" w:before="0" w:line="240" w:lineRule="auto"/>
        <w:ind w:firstLine="567"/>
        <w:contextualSpacing w:val="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7. </w:t>
      </w:r>
      <w:r>
        <w:rPr>
          <w:rFonts w:ascii="Times New Roman" w:hAnsi="Times New Roman"/>
          <w:b w:val="1"/>
          <w:color w:val="000000"/>
          <w:sz w:val="20"/>
        </w:rPr>
        <w:t>Обеспечение исполнения по контракту</w:t>
      </w:r>
    </w:p>
    <w:p w14:paraId="69000000">
      <w:pPr>
        <w:pageBreakBefore w:val="0"/>
        <w:widowControl w:val="1"/>
        <w:tabs>
          <w:tab w:leader="none" w:pos="1134" w:val="left"/>
        </w:tabs>
        <w:spacing w:after="0" w:before="0" w:line="240" w:lineRule="auto"/>
        <w:ind w:firstLine="510" w:righ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</w:t>
      </w:r>
      <w:r>
        <w:rPr>
          <w:rFonts w:ascii="Times New Roman" w:hAnsi="Times New Roman"/>
          <w:sz w:val="20"/>
        </w:rPr>
        <w:t>.1. Обеспечение исполнения Контракта не требуется.</w:t>
      </w:r>
    </w:p>
    <w:p w14:paraId="6A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color w:val="000000"/>
          <w:sz w:val="20"/>
        </w:rPr>
      </w:pPr>
    </w:p>
    <w:p w14:paraId="6B000000">
      <w:pPr>
        <w:pageBreakBefore w:val="0"/>
        <w:widowControl w:val="1"/>
        <w:spacing w:before="0" w:line="240" w:lineRule="auto"/>
        <w:ind w:firstLine="567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8. Обстоятельства непреодолимой силы (форс-мажор)</w:t>
      </w:r>
    </w:p>
    <w:p w14:paraId="6C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8.1. Под обстоятельствами непреодолимой силы понимаются обстоятельства, возникшие после заключения контракта в результате непредвиденных событий, за которые Стороны не несут ответственности, в соответствии с действующим законодательством. </w:t>
      </w:r>
    </w:p>
    <w:p w14:paraId="6D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8.2. Стороны освобождаются от ответственности за частичное или полное неисполнение обязательств по настоящему контракту, если оно явилось следствием природных явлений, действий внешних объективных факторов и прочих обстоятельств непреодолимой силы, и, если эти обстоятельства непосредственно повлияли на исполнение контракта.</w:t>
      </w:r>
    </w:p>
    <w:p w14:paraId="6E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8.3.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F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>8.4. Сторона по контракту, затронутая обстоятельствами непреодолимой силы, должна немедленно (не позднее трех рабочих дней) известить другую Сторону о наступлении, виде и возможной продолжительности действия обстоятельств непреодолимой силы, препятствующих исполнению обязательств по контракту. Если о вышеупомянутых событиях не будет своевременно сообщено, Сторона, затронутая обстоятельством непреодолимой силы, не может на него ссылаться как на основание освобождения от ответственности.</w:t>
      </w:r>
    </w:p>
    <w:p w14:paraId="70000000">
      <w:pPr>
        <w:pageBreakBefore w:val="0"/>
        <w:widowControl w:val="0"/>
        <w:spacing w:before="0" w:line="240" w:lineRule="auto"/>
        <w:ind w:firstLine="567"/>
        <w:jc w:val="both"/>
        <w:rPr>
          <w:rFonts w:ascii="Times New Roman" w:hAnsi="Times New Roman"/>
          <w:i w:val="1"/>
          <w:color w:val="000000"/>
          <w:sz w:val="20"/>
        </w:rPr>
      </w:pPr>
    </w:p>
    <w:p w14:paraId="71000000">
      <w:pPr>
        <w:pageBreakBefore w:val="0"/>
        <w:widowControl w:val="0"/>
        <w:spacing w:before="0" w:line="240" w:lineRule="auto"/>
        <w:ind w:firstLine="567" w:left="54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9.</w:t>
      </w:r>
      <w:r>
        <w:rPr>
          <w:rFonts w:ascii="Times New Roman" w:hAnsi="Times New Roman"/>
          <w:b w:val="1"/>
          <w:color w:val="000000"/>
          <w:sz w:val="20"/>
        </w:rPr>
        <w:t xml:space="preserve"> Порядок изменения и расторжения контракта</w:t>
      </w:r>
    </w:p>
    <w:p w14:paraId="72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9.1. </w:t>
      </w:r>
      <w:r>
        <w:rPr>
          <w:rFonts w:ascii="Times New Roman" w:hAnsi="Times New Roman"/>
          <w:color w:val="000000"/>
          <w:sz w:val="20"/>
        </w:rPr>
        <w:t xml:space="preserve">При исполнении контракта изменение его существенных условий не допускается, за исключением случаев, предусмотренных статьей 95 Федерального закона № 44-ФЗ. </w:t>
      </w:r>
    </w:p>
    <w:p w14:paraId="73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9.2. Изменения и дополнения, предусмотренные действующим законодательством, вносятся в настоящий контракт по соглашению сторон и оформляются двусторонним документом (дополнительным соглашением) и действительны при условии, если они подписаны уполномоченными на то представителями сторон.</w:t>
      </w:r>
    </w:p>
    <w:p w14:paraId="74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9.3.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14:paraId="75000000">
      <w:pPr>
        <w:pageBreakBefore w:val="0"/>
        <w:widowControl w:val="1"/>
        <w:spacing w:before="0" w:line="240" w:lineRule="auto"/>
        <w:ind w:firstLine="68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9.4. Расторжение настоящего контракта в одностороннем порядке осуществляется с соблюдением требований Федерального закона № 44-ФЗ.</w:t>
      </w:r>
    </w:p>
    <w:p w14:paraId="76000000">
      <w:pPr>
        <w:pageBreakBefore w:val="0"/>
        <w:widowControl w:val="0"/>
        <w:tabs>
          <w:tab w:leader="none" w:pos="540" w:val="left"/>
          <w:tab w:leader="none" w:pos="1080" w:val="left"/>
          <w:tab w:leader="none" w:pos="1440" w:val="left"/>
        </w:tabs>
        <w:spacing w:before="0" w:line="240" w:lineRule="auto"/>
        <w:ind w:firstLine="567"/>
        <w:jc w:val="both"/>
        <w:rPr>
          <w:rFonts w:ascii="Times New Roman" w:hAnsi="Times New Roman"/>
          <w:color w:val="000000"/>
          <w:sz w:val="20"/>
        </w:rPr>
      </w:pPr>
    </w:p>
    <w:p w14:paraId="7700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10. </w:t>
      </w:r>
      <w:r>
        <w:rPr>
          <w:rFonts w:ascii="Times New Roman" w:hAnsi="Times New Roman"/>
          <w:b w:val="1"/>
          <w:color w:val="000000"/>
          <w:sz w:val="20"/>
        </w:rPr>
        <w:t>Срок действия контракта</w:t>
      </w:r>
    </w:p>
    <w:p w14:paraId="78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10.1. Настоящий контракт составлен в форме электронного документа, подписан электронными цифровыми подписями Сторон и имеет для них одинаковую юридическую силу.</w:t>
      </w:r>
    </w:p>
    <w:p w14:paraId="79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 w:val="0"/>
          <w:color w:val="000000"/>
          <w:sz w:val="20"/>
        </w:rPr>
        <w:t xml:space="preserve">10.2. </w:t>
      </w:r>
      <w:r>
        <w:rPr>
          <w:rFonts w:ascii="Times New Roman" w:hAnsi="Times New Roman"/>
          <w:b w:val="0"/>
          <w:color w:val="000000"/>
          <w:sz w:val="20"/>
        </w:rPr>
        <w:t>Настоящий контракт вступает в силу с даты его заключения и дей</w:t>
      </w:r>
      <w:r>
        <w:rPr>
          <w:rFonts w:ascii="Times New Roman" w:hAnsi="Times New Roman"/>
          <w:b w:val="0"/>
          <w:color w:val="000000"/>
          <w:sz w:val="20"/>
        </w:rPr>
        <w:t xml:space="preserve">ствует </w:t>
      </w:r>
      <w:r>
        <w:rPr>
          <w:rFonts w:ascii="Times New Roman" w:hAnsi="Times New Roman"/>
          <w:b w:val="0"/>
          <w:color w:val="000000"/>
          <w:sz w:val="20"/>
        </w:rPr>
        <w:t xml:space="preserve">по </w:t>
      </w:r>
      <w:r>
        <w:rPr>
          <w:rFonts w:ascii="Times New Roman" w:hAnsi="Times New Roman"/>
          <w:b w:val="0"/>
          <w:color w:val="000000"/>
          <w:sz w:val="20"/>
        </w:rPr>
        <w:t>«</w:t>
      </w:r>
      <w:r>
        <w:rPr>
          <w:rFonts w:ascii="Times New Roman" w:hAnsi="Times New Roman"/>
          <w:b w:val="0"/>
          <w:color w:val="000000"/>
          <w:sz w:val="20"/>
        </w:rPr>
        <w:t>30</w:t>
      </w:r>
      <w:r>
        <w:rPr>
          <w:rFonts w:ascii="Times New Roman" w:hAnsi="Times New Roman"/>
          <w:b w:val="0"/>
          <w:color w:val="000000"/>
          <w:sz w:val="20"/>
        </w:rPr>
        <w:t>»</w:t>
      </w:r>
      <w:r>
        <w:rPr>
          <w:rFonts w:ascii="Times New Roman" w:hAnsi="Times New Roman"/>
          <w:b w:val="0"/>
          <w:color w:val="000000"/>
          <w:sz w:val="20"/>
        </w:rPr>
        <w:t xml:space="preserve"> ноября</w:t>
      </w:r>
      <w:r>
        <w:rPr>
          <w:rFonts w:ascii="Times New Roman" w:hAnsi="Times New Roman"/>
          <w:b w:val="0"/>
          <w:color w:val="000000"/>
          <w:sz w:val="20"/>
        </w:rPr>
        <w:t xml:space="preserve"> 2026</w:t>
      </w:r>
      <w:r>
        <w:rPr>
          <w:rFonts w:ascii="Times New Roman" w:hAnsi="Times New Roman"/>
          <w:b w:val="0"/>
          <w:color w:val="000000"/>
          <w:sz w:val="20"/>
        </w:rPr>
        <w:t xml:space="preserve"> года,</w:t>
      </w:r>
      <w:r>
        <w:rPr>
          <w:rFonts w:ascii="Times New Roman" w:hAnsi="Times New Roman"/>
          <w:b w:val="0"/>
          <w:color w:val="000000"/>
          <w:sz w:val="20"/>
        </w:rPr>
        <w:t xml:space="preserve"> </w:t>
      </w:r>
      <w:r>
        <w:rPr>
          <w:rFonts w:ascii="Times New Roman" w:hAnsi="Times New Roman"/>
          <w:b w:val="0"/>
          <w:color w:val="000000"/>
          <w:sz w:val="20"/>
        </w:rPr>
        <w:t>но в любом случае</w:t>
      </w:r>
      <w:r>
        <w:rPr>
          <w:rFonts w:ascii="Times New Roman" w:hAnsi="Times New Roman"/>
          <w:color w:val="000000"/>
          <w:sz w:val="20"/>
        </w:rPr>
        <w:t xml:space="preserve"> до момента выполнения Сторонами всех обязательств по контракту. </w:t>
      </w:r>
      <w:r>
        <w:rPr>
          <w:rFonts w:ascii="Times New Roman" w:hAnsi="Times New Roman"/>
          <w:color w:val="000000"/>
          <w:sz w:val="20"/>
        </w:rPr>
        <w:t>Срок исполнения контракта равен сроку действия контракта.</w:t>
      </w:r>
    </w:p>
    <w:p w14:paraId="7A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10.3. Истечение срока действия контракта не прекращает возникших обязательств, включая  взаиморасчеты.</w:t>
      </w:r>
    </w:p>
    <w:p w14:paraId="7B000000">
      <w:pPr>
        <w:pStyle w:val="Style_2"/>
        <w:pageBreakBefore w:val="0"/>
        <w:widowControl w:val="0"/>
        <w:spacing w:before="0" w:line="240" w:lineRule="auto"/>
        <w:ind w:left="1440"/>
        <w:jc w:val="center"/>
        <w:rPr>
          <w:rFonts w:ascii="Times New Roman" w:hAnsi="Times New Roman"/>
          <w:color w:val="000000"/>
          <w:sz w:val="20"/>
        </w:rPr>
      </w:pPr>
    </w:p>
    <w:p w14:paraId="7C000000">
      <w:pPr>
        <w:pStyle w:val="Style_2"/>
        <w:pageBreakBefore w:val="0"/>
        <w:widowControl w:val="0"/>
        <w:spacing w:before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11. Порядок урегулирования споров</w:t>
      </w:r>
    </w:p>
    <w:p w14:paraId="7D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11.1. </w:t>
      </w:r>
      <w:r>
        <w:rPr>
          <w:rFonts w:ascii="Times New Roman" w:hAnsi="Times New Roman"/>
          <w:color w:val="000000"/>
          <w:sz w:val="20"/>
        </w:rPr>
        <w:t xml:space="preserve">Стороны принимают все меры к тому, чтобы любые спорные вопросы, разногласия либо претензии, касающиеся исполнения настоящего контракта </w:t>
      </w:r>
      <w:r>
        <w:rPr>
          <w:rFonts w:ascii="Times New Roman" w:hAnsi="Times New Roman"/>
          <w:color w:val="000000"/>
          <w:sz w:val="20"/>
        </w:rPr>
        <w:t>или в связи с ним, были урегулированы путем переговоров.</w:t>
      </w:r>
    </w:p>
    <w:p w14:paraId="7E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11.2. В случае наличия претензий, споров,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настоящему контракту, сторона, которой адресована данная претензия, должна дать письменный ответ по существу претензии в срок не по</w:t>
      </w:r>
      <w:bookmarkStart w:id="1" w:name="_GoBack1"/>
      <w:bookmarkEnd w:id="1"/>
      <w:r>
        <w:rPr>
          <w:rFonts w:ascii="Times New Roman" w:hAnsi="Times New Roman"/>
          <w:color w:val="000000"/>
          <w:sz w:val="20"/>
        </w:rPr>
        <w:t xml:space="preserve">зднее 3 (три) рабочих дней с даты ее получения. В случае обмена документами при применении мер ответственности и совершении иных действий в связи с нарушением </w:t>
      </w:r>
      <w:r>
        <w:rPr>
          <w:rFonts w:ascii="Times New Roman" w:hAnsi="Times New Roman"/>
          <w:color w:val="000000"/>
          <w:sz w:val="20"/>
        </w:rPr>
        <w:t>И</w:t>
      </w:r>
      <w:r>
        <w:rPr>
          <w:rFonts w:ascii="Times New Roman" w:hAnsi="Times New Roman"/>
          <w:color w:val="000000"/>
          <w:sz w:val="20"/>
        </w:rPr>
        <w:t>сполнителем или Заказчиком условий контракта в отношении настоящего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Исполнителя, и размещаются в единой информационной системе без размещения на официальном сайте.</w:t>
      </w:r>
    </w:p>
    <w:p w14:paraId="7F00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11.3. Любые споры, не урегулированные во внесудебном порядке, разрешаются в Арбитражном суде Белгородской области в соответствии с действующим законодательством Российской Федерации.</w:t>
      </w:r>
    </w:p>
    <w:p w14:paraId="80000000">
      <w:pPr>
        <w:pageBreakBefore w:val="0"/>
        <w:widowControl w:val="1"/>
        <w:spacing w:before="0" w:line="240" w:lineRule="auto"/>
        <w:ind w:firstLine="567" w:left="3195"/>
        <w:jc w:val="both"/>
        <w:rPr>
          <w:rFonts w:ascii="Times New Roman" w:hAnsi="Times New Roman"/>
          <w:b w:val="1"/>
          <w:color w:val="000000"/>
          <w:sz w:val="20"/>
        </w:rPr>
      </w:pPr>
    </w:p>
    <w:p w14:paraId="81000000">
      <w:pPr>
        <w:pageBreakBefore w:val="0"/>
        <w:widowControl w:val="1"/>
        <w:spacing w:before="0" w:line="240" w:lineRule="auto"/>
        <w:ind w:firstLine="567" w:left="319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12. Прочие условия</w:t>
      </w:r>
    </w:p>
    <w:p w14:paraId="82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12.1. Во всем остальном,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83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12.2. При исполнении контракта не допускается перемена Исполнителя, за исключением случая,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преобразования, слияния или присоединения.</w:t>
      </w:r>
    </w:p>
    <w:p w14:paraId="84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12.3. В случае перемены Заказчика права и обязанности Заказчика, предусмотренные контрактом, переходят к новому Заказчику.</w:t>
      </w:r>
    </w:p>
    <w:p w14:paraId="85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12.4. В случае изменения расчетного счета, и (или) или иных реквизитов, Исполнитель обязан в двухдневный срок в письменной форме сообщить об этом Заказчику с указанием новых реквизитов и расчетного счета. В противном случае все риски, связанные с перечислением Заказчиком денежных средств на указанный в настоящем контракте счет Исполнителя, несет Исполнитель.</w:t>
      </w:r>
    </w:p>
    <w:p w14:paraId="86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12.5. Извещения, уведомления, сообщения, касающиеся исполнения настоящего контракта, могут передаваться почтой, курьерской, по факсу, по электронной почте, с последующим предоставлением оригиналов. Риск искажения информации при ее передаче несет Сторона, отправившая соответствующую информацию.</w:t>
      </w:r>
    </w:p>
    <w:p w14:paraId="87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12.6. Все приложения к настоящему контракту являются его неотъемлемой частью.</w:t>
      </w:r>
    </w:p>
    <w:p w14:paraId="88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</w:p>
    <w:p w14:paraId="89000000">
      <w:pPr>
        <w:pageBreakBefore w:val="0"/>
        <w:widowControl w:val="1"/>
        <w:spacing w:before="0" w:line="240" w:lineRule="auto"/>
        <w:ind w:firstLine="709" w:left="-142"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Приложением к настоящему контракту является:</w:t>
      </w:r>
    </w:p>
    <w:p w14:paraId="8A000000">
      <w:pPr>
        <w:pageBreakBefore w:val="0"/>
        <w:widowControl w:val="1"/>
        <w:spacing w:before="0" w:line="240" w:lineRule="auto"/>
        <w:ind w:firstLine="680" w:left="-11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- Техническое задание (приложение № 1).</w:t>
      </w:r>
    </w:p>
    <w:p w14:paraId="8B000000">
      <w:pPr>
        <w:pageBreakBefore w:val="0"/>
        <w:widowControl w:val="1"/>
        <w:spacing w:before="0" w:line="240" w:lineRule="auto"/>
        <w:ind w:firstLine="680" w:left="-113"/>
        <w:jc w:val="both"/>
        <w:rPr>
          <w:rFonts w:ascii="Times New Roman" w:hAnsi="Times New Roman"/>
          <w:color w:val="000000"/>
          <w:sz w:val="20"/>
        </w:rPr>
      </w:pPr>
    </w:p>
    <w:p w14:paraId="8C000000">
      <w:pPr>
        <w:pageBreakBefore w:val="0"/>
        <w:widowControl w:val="1"/>
        <w:spacing w:before="0" w:line="240" w:lineRule="auto"/>
        <w:ind w:firstLine="680" w:left="-113"/>
        <w:jc w:val="both"/>
        <w:rPr>
          <w:rFonts w:ascii="Times New Roman" w:hAnsi="Times New Roman"/>
          <w:color w:val="000000"/>
          <w:sz w:val="20"/>
        </w:rPr>
      </w:pPr>
    </w:p>
    <w:p w14:paraId="8D000000">
      <w:pPr>
        <w:pageBreakBefore w:val="0"/>
        <w:widowControl w:val="1"/>
        <w:spacing w:before="0" w:line="240" w:lineRule="auto"/>
        <w:ind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13. Реквизиты Сторон </w:t>
      </w:r>
    </w:p>
    <w:p w14:paraId="8E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8F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tbl>
      <w:tblPr>
        <w:tblStyle w:val="Style_3"/>
        <w:tblW w:type="auto" w:w="0"/>
        <w:tblInd w:type="dxa" w:w="-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28"/>
        <w:gridCol w:w="5235"/>
      </w:tblGrid>
      <w:tr>
        <w:trPr>
          <w:trHeight w:hRule="atLeast" w:val="1266"/>
        </w:trPr>
        <w:tc>
          <w:tcPr>
            <w:tcW w:type="dxa" w:w="532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pStyle w:val="Style_4"/>
              <w:pageBreakBefore w:val="0"/>
              <w:widowControl w:val="1"/>
              <w:numPr>
                <w:ilvl w:val="0"/>
                <w:numId w:val="0"/>
              </w:numPr>
              <w:spacing w:before="0" w:line="240" w:lineRule="auto"/>
              <w:ind w:firstLine="0" w:left="0"/>
              <w:jc w:val="center"/>
              <w:outlineLvl w:val="1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Заказчик:</w:t>
            </w:r>
          </w:p>
          <w:p w14:paraId="91000000">
            <w:pPr>
              <w:pStyle w:val="Style_5"/>
              <w:widowControl w:val="0"/>
              <w:spacing w:after="0" w:before="0" w:line="240" w:lineRule="auto"/>
              <w:ind w:firstLine="0" w:left="143" w:right="231"/>
              <w:jc w:val="left"/>
              <w:rPr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Межрегиональное территориальное управление Федерального агентства по управлению государственным имуществом в Курской и Белгородской областях</w:t>
            </w:r>
          </w:p>
          <w:p w14:paraId="92000000">
            <w:pPr>
              <w:pStyle w:val="Style_5"/>
              <w:widowControl w:val="0"/>
              <w:spacing w:after="0" w:before="0" w:line="240" w:lineRule="auto"/>
              <w:ind w:firstLine="0" w:left="143" w:right="231"/>
              <w:jc w:val="left"/>
              <w:rPr>
                <w:spacing w:val="-3"/>
                <w:sz w:val="20"/>
              </w:rPr>
            </w:pPr>
          </w:p>
          <w:p w14:paraId="93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Юр. адрес: 308024, Белгородская область, г. Белгород, ул. Мокроусова, д.6</w:t>
            </w:r>
          </w:p>
          <w:p w14:paraId="94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ИН</w:t>
            </w:r>
            <w:r>
              <w:rPr>
                <w:color w:val="000000"/>
                <w:spacing w:val="-3"/>
                <w:sz w:val="20"/>
              </w:rPr>
              <w:t>Н 3123198660</w:t>
            </w:r>
          </w:p>
          <w:p w14:paraId="95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КПП 312301001</w:t>
            </w:r>
          </w:p>
          <w:p w14:paraId="96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ОГРН: 1093123008241 серия 31 № 001931241 от 03.07.2009</w:t>
            </w:r>
          </w:p>
          <w:p w14:paraId="97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 xml:space="preserve">БИК </w:t>
            </w:r>
            <w:r>
              <w:rPr>
                <w:i w:val="0"/>
                <w:color w:val="000000"/>
                <w:spacing w:val="0"/>
                <w:sz w:val="20"/>
              </w:rPr>
              <w:t>012202102</w:t>
            </w:r>
          </w:p>
          <w:p w14:paraId="98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л/сч 03261А19890 в УФК по Белгородской области</w:t>
            </w:r>
          </w:p>
          <w:p w14:paraId="99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 xml:space="preserve">Казначейский счет: </w:t>
            </w:r>
            <w:r>
              <w:rPr>
                <w:color w:val="000000"/>
                <w:spacing w:val="0"/>
                <w:sz w:val="20"/>
              </w:rPr>
              <w:t>03211643000000013226</w:t>
            </w:r>
          </w:p>
          <w:p w14:paraId="9A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 xml:space="preserve">ЕКС: </w:t>
            </w:r>
            <w:r>
              <w:rPr>
                <w:color w:val="000000"/>
                <w:spacing w:val="0"/>
                <w:sz w:val="20"/>
              </w:rPr>
              <w:t>40102810745370000024</w:t>
            </w:r>
          </w:p>
          <w:p w14:paraId="9B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ОКЦ № 1 Волго-Вятского ГУ Банка России</w:t>
            </w:r>
          </w:p>
          <w:p w14:paraId="9C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ОКПО 71465493</w:t>
            </w:r>
          </w:p>
          <w:p w14:paraId="9D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ОКАТО 14401000000</w:t>
            </w:r>
          </w:p>
          <w:p w14:paraId="9E000000">
            <w:pPr>
              <w:pStyle w:val="Style_5"/>
              <w:widowControl w:val="0"/>
              <w:spacing w:after="0" w:before="0" w:line="240" w:lineRule="auto"/>
              <w:ind w:firstLine="0" w:left="0" w:right="231"/>
              <w:jc w:val="left"/>
              <w:rPr>
                <w:color w:val="000000"/>
                <w:spacing w:val="-3"/>
                <w:sz w:val="20"/>
              </w:rPr>
            </w:pPr>
            <w:r>
              <w:rPr>
                <w:color w:val="000000"/>
                <w:spacing w:val="-3"/>
                <w:sz w:val="20"/>
              </w:rPr>
              <w:t>Тел. факс: (4722) 55-10-23, 55-10-62</w:t>
            </w:r>
          </w:p>
          <w:p w14:paraId="9F000000">
            <w:pPr>
              <w:pStyle w:val="Style_5"/>
              <w:widowControl w:val="0"/>
              <w:spacing w:after="0" w:before="0" w:line="240" w:lineRule="auto"/>
              <w:ind w:firstLine="0" w:left="143" w:right="-642"/>
              <w:jc w:val="left"/>
              <w:rPr>
                <w:color w:val="0000FF"/>
                <w:sz w:val="20"/>
                <w:u w:val="single"/>
              </w:rPr>
            </w:pPr>
            <w:r>
              <w:rPr>
                <w:color w:val="000000"/>
                <w:spacing w:val="-3"/>
                <w:sz w:val="20"/>
              </w:rPr>
              <w:t xml:space="preserve">e-mail: </w:t>
            </w:r>
            <w:r>
              <w:rPr>
                <w:color w:val="000000"/>
                <w:spacing w:val="-3"/>
                <w:sz w:val="20"/>
              </w:rPr>
              <w:t>tu31@rosim.gov.ru</w:t>
            </w:r>
          </w:p>
          <w:p w14:paraId="A0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 xml:space="preserve"> </w:t>
            </w:r>
          </w:p>
          <w:p w14:paraId="A1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0"/>
              </w:rPr>
            </w:pPr>
          </w:p>
          <w:p w14:paraId="A2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0"/>
              </w:rPr>
            </w:pPr>
          </w:p>
          <w:p w14:paraId="A3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0"/>
              </w:rPr>
            </w:pPr>
          </w:p>
          <w:p w14:paraId="A4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  <w:p w14:paraId="A5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  <w:p w14:paraId="A6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  <w:t>_______________________ /Ю.В. Буравлев</w:t>
            </w:r>
          </w:p>
          <w:p w14:paraId="A7000000">
            <w:pPr>
              <w:pStyle w:val="Style_5"/>
              <w:widowControl w:val="0"/>
              <w:spacing w:after="0" w:before="10" w:line="240" w:lineRule="auto"/>
              <w:ind w:firstLine="0" w:left="143" w:right="0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i w:val="1"/>
                <w:color w:val="000000"/>
                <w:spacing w:val="0"/>
                <w:sz w:val="20"/>
              </w:rPr>
              <w:t>(м.п.)</w:t>
            </w:r>
          </w:p>
          <w:p w14:paraId="A8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523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00000">
            <w:pPr>
              <w:pStyle w:val="Style_4"/>
              <w:pageBreakBefore w:val="0"/>
              <w:widowControl w:val="1"/>
              <w:numPr>
                <w:ilvl w:val="0"/>
                <w:numId w:val="0"/>
              </w:numPr>
              <w:spacing w:before="0" w:line="240" w:lineRule="auto"/>
              <w:ind w:firstLine="0" w:left="0"/>
              <w:jc w:val="center"/>
              <w:outlineLvl w:val="1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Исполнитель:</w:t>
            </w:r>
          </w:p>
        </w:tc>
      </w:tr>
    </w:tbl>
    <w:p w14:paraId="AA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AB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AC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AD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AE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AF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0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1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2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3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4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5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6000000">
      <w:pPr>
        <w:pageBreakBefore w:val="0"/>
        <w:widowControl w:val="1"/>
        <w:spacing w:before="0" w:line="240" w:lineRule="auto"/>
        <w:ind/>
        <w:jc w:val="both"/>
        <w:rPr>
          <w:rFonts w:ascii="Times New Roman" w:hAnsi="Times New Roman"/>
          <w:color w:val="000000"/>
          <w:sz w:val="20"/>
        </w:rPr>
      </w:pPr>
    </w:p>
    <w:p w14:paraId="B7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8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9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A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B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BC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>Приложение  № 1</w:t>
      </w:r>
    </w:p>
    <w:p w14:paraId="BD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к Государственному контракту </w:t>
      </w:r>
    </w:p>
    <w:p w14:paraId="BE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sz w:val="20"/>
          <w:shd w:fill="F8D957" w:val="clear"/>
        </w:rPr>
      </w:pPr>
      <w:r>
        <w:rPr>
          <w:rFonts w:ascii="Times New Roman" w:hAnsi="Times New Roman"/>
          <w:color w:val="000000"/>
          <w:sz w:val="20"/>
          <w:shd w:fill="F8D957" w:val="clear"/>
        </w:rPr>
        <w:t>на оказание услуг №______________</w:t>
      </w:r>
      <w:r>
        <w:rPr>
          <w:rFonts w:ascii="Times New Roman" w:hAnsi="Times New Roman"/>
          <w:color w:val="000000"/>
          <w:sz w:val="20"/>
          <w:shd w:fill="F8D957" w:val="clear"/>
        </w:rPr>
        <w:t xml:space="preserve"> от _______</w:t>
      </w:r>
    </w:p>
    <w:p w14:paraId="BF000000">
      <w:pPr>
        <w:pageBreakBefore w:val="0"/>
        <w:widowControl w:val="1"/>
        <w:spacing w:before="0" w:line="240" w:lineRule="auto"/>
        <w:ind w:firstLine="708" w:left="4956"/>
        <w:jc w:val="right"/>
        <w:rPr>
          <w:rFonts w:ascii="Times New Roman" w:hAnsi="Times New Roman"/>
          <w:color w:val="000000"/>
          <w:sz w:val="20"/>
        </w:rPr>
      </w:pPr>
    </w:p>
    <w:p w14:paraId="C000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Описание объекта закупки </w:t>
      </w:r>
      <w:r>
        <w:rPr>
          <w:rFonts w:ascii="Times New Roman" w:hAnsi="Times New Roman"/>
          <w:b w:val="1"/>
          <w:color w:val="000000"/>
          <w:spacing w:val="4"/>
          <w:sz w:val="20"/>
        </w:rPr>
        <w:t>(Техническое задание)</w:t>
      </w:r>
    </w:p>
    <w:p w14:paraId="C100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 xml:space="preserve">на оказание </w:t>
      </w:r>
      <w:r>
        <w:rPr>
          <w:rFonts w:ascii="Times New Roman" w:hAnsi="Times New Roman"/>
          <w:b w:val="1"/>
          <w:color w:val="000000"/>
          <w:sz w:val="20"/>
        </w:rPr>
        <w:t xml:space="preserve">услуг по утилизации </w:t>
      </w:r>
      <w:r>
        <w:rPr>
          <w:rFonts w:ascii="Times New Roman" w:hAnsi="Times New Roman"/>
          <w:b w:val="1"/>
          <w:color w:val="000000"/>
          <w:sz w:val="20"/>
        </w:rPr>
        <w:t xml:space="preserve">списанного </w:t>
      </w:r>
      <w:r>
        <w:rPr>
          <w:rFonts w:ascii="Times New Roman" w:hAnsi="Times New Roman"/>
          <w:b w:val="1"/>
          <w:color w:val="000000"/>
          <w:sz w:val="20"/>
        </w:rPr>
        <w:t xml:space="preserve">оборудования </w:t>
      </w:r>
    </w:p>
    <w:p w14:paraId="C200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C3000000">
      <w:pPr>
        <w:pageBreakBefore w:val="0"/>
        <w:widowControl w:val="1"/>
        <w:spacing w:before="0" w:line="240" w:lineRule="auto"/>
        <w:ind/>
        <w:rPr>
          <w:rFonts w:ascii="Times New Roman" w:hAnsi="Times New Roman"/>
          <w:b w:val="1"/>
          <w:sz w:val="20"/>
        </w:rPr>
      </w:pPr>
    </w:p>
    <w:p w14:paraId="C4000000">
      <w:pPr>
        <w:pStyle w:val="Style_6"/>
        <w:pageBreakBefore w:val="0"/>
        <w:widowControl w:val="0"/>
        <w:numPr>
          <w:ilvl w:val="0"/>
          <w:numId w:val="1"/>
        </w:numPr>
        <w:tabs>
          <w:tab w:leader="none" w:pos="284" w:val="left"/>
          <w:tab w:leader="none" w:pos="993" w:val="left"/>
        </w:tabs>
        <w:spacing w:before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Наименование заказчика</w:t>
      </w:r>
      <w:r>
        <w:rPr>
          <w:rFonts w:ascii="Times New Roman" w:hAnsi="Times New Roman"/>
          <w:sz w:val="20"/>
        </w:rPr>
        <w:t xml:space="preserve"> – </w:t>
      </w:r>
      <w:r>
        <w:rPr>
          <w:color w:val="000000"/>
          <w:spacing w:val="-3"/>
          <w:sz w:val="24"/>
        </w:rPr>
        <w:t>Межрегиональное территориальное управление Федерального агентства по управлению государственным имуществом в Курской и Белгородской областях</w:t>
      </w:r>
    </w:p>
    <w:p w14:paraId="C5000000">
      <w:pPr>
        <w:keepNext w:val="1"/>
        <w:keepLines w:val="1"/>
        <w:pageBreakBefore w:val="0"/>
        <w:widowControl w:val="1"/>
        <w:numPr>
          <w:ilvl w:val="0"/>
          <w:numId w:val="1"/>
        </w:numPr>
        <w:spacing w:after="0" w:before="0" w:line="240" w:lineRule="auto"/>
        <w:ind w:hanging="360" w:left="927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Юридический / почтовый адрес: </w:t>
      </w:r>
      <w:r>
        <w:rPr>
          <w:rFonts w:ascii="Times New Roman" w:hAnsi="Times New Roman"/>
          <w:sz w:val="20"/>
        </w:rPr>
        <w:t xml:space="preserve"> </w:t>
      </w:r>
      <w:r>
        <w:rPr>
          <w:color w:val="000000"/>
          <w:spacing w:val="-3"/>
          <w:sz w:val="24"/>
        </w:rPr>
        <w:t>308024, Белгородская область, г. Белгород, ул. Мокроусова, д.6.</w:t>
      </w:r>
    </w:p>
    <w:p w14:paraId="C6000000">
      <w:pPr>
        <w:pStyle w:val="Style_6"/>
        <w:pageBreakBefore w:val="0"/>
        <w:widowControl w:val="0"/>
        <w:numPr>
          <w:ilvl w:val="0"/>
          <w:numId w:val="1"/>
        </w:numPr>
        <w:tabs>
          <w:tab w:leader="none" w:pos="284" w:val="left"/>
          <w:tab w:leader="none" w:pos="993" w:val="left"/>
        </w:tabs>
        <w:spacing w:before="0" w:line="240" w:lineRule="auto"/>
        <w:ind w:hanging="360" w:left="927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 xml:space="preserve">Наименование объекта закупки </w:t>
      </w:r>
      <w:r>
        <w:rPr>
          <w:rFonts w:ascii="Times New Roman" w:hAnsi="Times New Roman"/>
          <w:sz w:val="20"/>
        </w:rPr>
        <w:t>– оказание услуг</w:t>
      </w:r>
      <w:r>
        <w:rPr>
          <w:rFonts w:ascii="Times New Roman" w:hAnsi="Times New Roman"/>
          <w:sz w:val="20"/>
        </w:rPr>
        <w:t xml:space="preserve"> по </w:t>
      </w:r>
      <w:r>
        <w:rPr>
          <w:rFonts w:ascii="Times New Roman" w:hAnsi="Times New Roman"/>
          <w:sz w:val="20"/>
        </w:rPr>
        <w:t>утилизации</w:t>
      </w:r>
      <w:r>
        <w:rPr>
          <w:rFonts w:ascii="Times New Roman" w:hAnsi="Times New Roman"/>
          <w:sz w:val="20"/>
        </w:rPr>
        <w:t xml:space="preserve"> списанного</w:t>
      </w:r>
      <w:r>
        <w:rPr>
          <w:rFonts w:ascii="Times New Roman" w:hAnsi="Times New Roman"/>
          <w:sz w:val="20"/>
        </w:rPr>
        <w:t xml:space="preserve"> оборудования</w:t>
      </w:r>
    </w:p>
    <w:p w14:paraId="C7000000">
      <w:pPr>
        <w:pStyle w:val="Style_6"/>
        <w:pageBreakBefore w:val="0"/>
        <w:widowControl w:val="0"/>
        <w:numPr>
          <w:ilvl w:val="0"/>
          <w:numId w:val="1"/>
        </w:numPr>
        <w:tabs>
          <w:tab w:leader="none" w:pos="284" w:val="left"/>
          <w:tab w:leader="none" w:pos="993" w:val="left"/>
        </w:tabs>
        <w:spacing w:before="0" w:line="240" w:lineRule="auto"/>
        <w:ind w:hanging="360" w:left="927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>Перечень списанного оборудования для утилизации входящего в 1 условную единицу по Контракту</w:t>
      </w:r>
      <w:r>
        <w:rPr>
          <w:rFonts w:ascii="Times New Roman" w:hAnsi="Times New Roman"/>
          <w:sz w:val="20"/>
        </w:rPr>
        <w:t>:</w:t>
      </w:r>
    </w:p>
    <w:p w14:paraId="C8000000">
      <w:pPr>
        <w:pStyle w:val="Style_6"/>
        <w:pageBreakBefore w:val="0"/>
        <w:widowControl w:val="0"/>
        <w:tabs>
          <w:tab w:leader="none" w:pos="284" w:val="left"/>
          <w:tab w:leader="none" w:pos="993" w:val="left"/>
        </w:tabs>
        <w:spacing w:before="0" w:line="240" w:lineRule="auto"/>
        <w:ind w:hanging="360" w:left="927"/>
        <w:rPr>
          <w:rFonts w:ascii="Times New Roman" w:hAnsi="Times New Roman"/>
          <w:sz w:val="20"/>
        </w:rPr>
      </w:pPr>
    </w:p>
    <w:tbl>
      <w:tblPr>
        <w:tblStyle w:val="Style_3"/>
        <w:tblW w:type="auto" w:w="0"/>
        <w:jc w:val="left"/>
        <w:tblInd w:type="dxa" w:w="-34"/>
        <w:tblLayout w:type="fixed"/>
        <w:tblCellMar>
          <w:top w:type="dxa" w:w="0"/>
          <w:bottom w:type="dxa" w:w="0"/>
        </w:tblCellMar>
      </w:tblPr>
      <w:tblGrid>
        <w:gridCol w:w="827"/>
        <w:gridCol w:w="5482"/>
        <w:gridCol w:w="2778"/>
        <w:gridCol w:w="1491"/>
      </w:tblGrid>
      <w:tr>
        <w:trPr>
          <w:trHeight w:hRule="atLeast" w:val="300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9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r>
              <w:rPr>
                <w:sz w:val="20"/>
              </w:rPr>
              <w:t>п/п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A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B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Инвентарный номер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C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Кол-во, шт.</w:t>
            </w:r>
          </w:p>
        </w:tc>
      </w:tr>
      <w:tr>
        <w:trPr>
          <w:trHeight w:hRule="atLeast" w:val="300"/>
        </w:trPr>
        <w:tc>
          <w:tcPr>
            <w:tcW w:type="dxa" w:w="10578"/>
            <w:gridSpan w:val="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D000000">
            <w:pPr>
              <w:pStyle w:val="Style_5"/>
              <w:widowControl w:val="0"/>
              <w:spacing w:after="0"/>
              <w:ind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Место: Белгородская область, г. Белгород, ул. Мокроусова, д. 6</w:t>
            </w:r>
          </w:p>
        </w:tc>
      </w:tr>
      <w:tr>
        <w:trPr>
          <w:trHeight w:hRule="atLeast" w:val="347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E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CF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Techno TS 3205C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0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1018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1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13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2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3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 Venterra VSC-18 HR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4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1076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5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6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7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GIW18NG25/OW18NG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8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0101036_2012_40-3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9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397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A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B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в сборе KFR-23GW/K(2358) D-R GREE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C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040021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D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17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E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DF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в сборе KFR-23GW/K(2358) D-R GREE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0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040020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1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2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3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в сборе KFR-60GW/A10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4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040024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5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6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7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в сборе KFR-60GW/A10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8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040023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9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A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B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в сборе KFR-60GW/A10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C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040022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D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E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EF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Кондиционер в сборе KFR-60GW/A10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0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040025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1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2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3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Пишушая машина optima sp-520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4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01360089-1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5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6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7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Пишущая машинка «Оливетти»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8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01630004-1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9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A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B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Смартфон Lenovо P78 Deep Black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C00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2014_10134_89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D00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E00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FF00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Смартфон Lenovо P78 Deep Black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0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2014_10134_88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1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2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3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Смартфон Lenovо P78 Deep Black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4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2014_10134_86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5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14:paraId="06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7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8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Смартфон Sony Xperia Z3 D6603 Black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9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2015_10134_25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A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B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C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Сотовый телефон NOKIA C2-01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D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040091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E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F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0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Сотовый телефон Samsung GT-B5722D Brown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1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10104000431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2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3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4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Сотовый телефон Samsung GT-B5722D Brown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5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10104000428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6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7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8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Телевизор Витязь 38СТV710-TS кинескопный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9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040017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A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B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C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Автошина 215/65R16 Viatti Bosco A/T V-237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D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E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F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0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 xml:space="preserve">Автошина Michelin Latitude Diamaris 216/65R16 98H 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1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2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3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4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 xml:space="preserve">Автошина летняя NOKIO 205/55 R16 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5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6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>
        <w:trPr>
          <w:trHeight w:hRule="atLeast" w:val="405"/>
        </w:trPr>
        <w:tc>
          <w:tcPr>
            <w:tcW w:type="dxa" w:w="8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7010000">
            <w:pPr>
              <w:widowControl w:val="0"/>
              <w:numPr>
                <w:ilvl w:val="0"/>
                <w:numId w:val="0"/>
              </w:numPr>
              <w:spacing w:after="0" w:before="0" w:line="276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type="dxa" w:w="54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8010000">
            <w:pPr>
              <w:pStyle w:val="Style_5"/>
              <w:widowControl w:val="0"/>
              <w:spacing w:after="0"/>
              <w:ind/>
              <w:rPr>
                <w:sz w:val="20"/>
              </w:rPr>
            </w:pPr>
            <w:r>
              <w:rPr>
                <w:sz w:val="20"/>
              </w:rPr>
              <w:t>Шина MiPS 215/55R16 97V Michelin Primacy 3 XL</w:t>
            </w:r>
          </w:p>
        </w:tc>
        <w:tc>
          <w:tcPr>
            <w:tcW w:type="dxa" w:w="27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9010000">
            <w:pPr>
              <w:pStyle w:val="Style_5"/>
              <w:widowControl w:val="0"/>
              <w:spacing w:after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Отсутствует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A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rHeight w:hRule="atLeast" w:val="405"/>
        </w:trPr>
        <w:tc>
          <w:tcPr>
            <w:tcW w:type="dxa" w:w="9087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B010000">
            <w:pPr>
              <w:pStyle w:val="Style_5"/>
              <w:widowControl w:val="0"/>
              <w:spacing w:after="0"/>
              <w:ind w:firstLine="0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Итого:</w:t>
            </w:r>
          </w:p>
        </w:tc>
        <w:tc>
          <w:tcPr>
            <w:tcW w:type="dxa" w:w="149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C010000">
            <w:pPr>
              <w:pStyle w:val="Style_5"/>
              <w:widowControl w:val="0"/>
              <w:spacing w:after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</w:tr>
    </w:tbl>
    <w:p w14:paraId="2D010000">
      <w:pPr>
        <w:pStyle w:val="Style_6"/>
        <w:pageBreakBefore w:val="0"/>
        <w:widowControl w:val="0"/>
        <w:tabs>
          <w:tab w:leader="none" w:pos="284" w:val="left"/>
          <w:tab w:leader="none" w:pos="993" w:val="left"/>
        </w:tabs>
        <w:spacing w:before="0" w:line="240" w:lineRule="auto"/>
        <w:ind w:hanging="360" w:left="927"/>
        <w:rPr>
          <w:rFonts w:ascii="Times New Roman" w:hAnsi="Times New Roman"/>
          <w:sz w:val="20"/>
        </w:rPr>
      </w:pPr>
    </w:p>
    <w:p w14:paraId="2E010000">
      <w:pPr>
        <w:pStyle w:val="Style_6"/>
        <w:pageBreakBefore w:val="0"/>
        <w:widowControl w:val="0"/>
        <w:tabs>
          <w:tab w:leader="none" w:pos="284" w:val="left"/>
          <w:tab w:leader="none" w:pos="993" w:val="left"/>
        </w:tabs>
        <w:spacing w:before="0" w:line="240" w:lineRule="auto"/>
        <w:ind w:hanging="360" w:left="927"/>
        <w:rPr>
          <w:rFonts w:ascii="Times New Roman" w:hAnsi="Times New Roman"/>
          <w:sz w:val="20"/>
        </w:rPr>
      </w:pPr>
    </w:p>
    <w:p w14:paraId="2F010000">
      <w:pPr>
        <w:pStyle w:val="Style_6"/>
        <w:pageBreakBefore w:val="0"/>
        <w:widowControl w:val="1"/>
        <w:tabs>
          <w:tab w:leader="none" w:pos="284" w:val="left"/>
        </w:tabs>
        <w:spacing w:before="0" w:line="240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 xml:space="preserve">5. Срок оказания услуг: </w:t>
      </w:r>
      <w:r>
        <w:rPr>
          <w:rFonts w:ascii="Times New Roman" w:hAnsi="Times New Roman"/>
          <w:b w:val="0"/>
          <w:sz w:val="20"/>
        </w:rPr>
        <w:t>до 30 ноября 2026 года</w:t>
      </w:r>
      <w:r>
        <w:rPr>
          <w:rFonts w:ascii="Times New Roman" w:hAnsi="Times New Roman"/>
          <w:sz w:val="20"/>
        </w:rPr>
        <w:t xml:space="preserve"> с момента заключения Контракта.</w:t>
      </w:r>
    </w:p>
    <w:p w14:paraId="30010000">
      <w:pPr>
        <w:pStyle w:val="Style_6"/>
        <w:pageBreakBefore w:val="0"/>
        <w:widowControl w:val="1"/>
        <w:tabs>
          <w:tab w:leader="none" w:pos="284" w:val="left"/>
        </w:tabs>
        <w:spacing w:before="0" w:line="240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sz w:val="20"/>
        </w:rPr>
        <w:t xml:space="preserve">6. Описание и характеристика услуг: </w:t>
      </w:r>
      <w:r>
        <w:rPr>
          <w:rFonts w:ascii="Times New Roman" w:hAnsi="Times New Roman"/>
          <w:sz w:val="20"/>
        </w:rPr>
        <w:t xml:space="preserve">Исполнитель обеспечивает вывоз и утилизацию </w:t>
      </w:r>
      <w:r>
        <w:rPr>
          <w:rFonts w:ascii="Times New Roman" w:hAnsi="Times New Roman"/>
          <w:sz w:val="20"/>
        </w:rPr>
        <w:t xml:space="preserve">списанного оборудования </w:t>
      </w:r>
      <w:r>
        <w:rPr>
          <w:rFonts w:ascii="Times New Roman" w:hAnsi="Times New Roman"/>
          <w:sz w:val="20"/>
        </w:rPr>
        <w:t>, предоставляет Заказчику полный пакет документов, включающий акты приема-передачи отходов.</w:t>
      </w:r>
    </w:p>
    <w:p w14:paraId="31010000">
      <w:pPr>
        <w:pStyle w:val="Style_6"/>
        <w:pageBreakBefore w:val="0"/>
        <w:widowControl w:val="1"/>
        <w:tabs>
          <w:tab w:leader="none" w:pos="284" w:val="left"/>
          <w:tab w:leader="none" w:pos="426" w:val="left"/>
        </w:tabs>
        <w:spacing w:before="0" w:line="240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7. Исполнитель обеспечивает соблюдение норм техники безопасности и охраны труда при работе с отходами Заказчика во время их сбора и вывоза.</w:t>
      </w:r>
    </w:p>
    <w:p w14:paraId="32010000">
      <w:pPr>
        <w:pageBreakBefore w:val="0"/>
        <w:widowControl w:val="1"/>
        <w:spacing w:before="0" w:line="240" w:lineRule="auto"/>
        <w:ind w:firstLine="567"/>
        <w:jc w:val="both"/>
        <w:rPr>
          <w:rFonts w:ascii="Times New Roman" w:hAnsi="Times New Roman"/>
          <w:sz w:val="20"/>
        </w:rPr>
      </w:pPr>
    </w:p>
    <w:p w14:paraId="33010000">
      <w:pPr>
        <w:pageBreakBefore w:val="0"/>
        <w:widowControl w:val="1"/>
        <w:spacing w:before="0" w:line="240" w:lineRule="auto"/>
        <w:ind/>
        <w:jc w:val="both"/>
        <w:rPr>
          <w:rFonts w:ascii="Times New Roman" w:hAnsi="Times New Roman"/>
          <w:color w:val="000000"/>
          <w:sz w:val="20"/>
        </w:rPr>
      </w:pPr>
    </w:p>
    <w:p w14:paraId="34010000">
      <w:pPr>
        <w:pageBreakBefore w:val="0"/>
        <w:widowControl w:val="1"/>
        <w:spacing w:before="0" w:line="240" w:lineRule="auto"/>
        <w:ind/>
        <w:rPr>
          <w:rFonts w:ascii="Times New Roman" w:hAnsi="Times New Roman"/>
          <w:color w:val="000000"/>
          <w:sz w:val="20"/>
        </w:rPr>
      </w:pPr>
    </w:p>
    <w:p w14:paraId="35010000">
      <w:pPr>
        <w:pageBreakBefore w:val="0"/>
        <w:widowControl w:val="1"/>
        <w:spacing w:before="0" w:line="240" w:lineRule="auto"/>
        <w:ind/>
        <w:rPr>
          <w:rFonts w:ascii="Times New Roman" w:hAnsi="Times New Roman"/>
          <w:color w:val="000000"/>
          <w:sz w:val="20"/>
        </w:rPr>
      </w:pPr>
    </w:p>
    <w:p w14:paraId="3601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 w:val="1"/>
          <w:color w:val="000000"/>
          <w:sz w:val="20"/>
        </w:rPr>
        <w:t>Подписи Сторон:</w:t>
      </w:r>
    </w:p>
    <w:p w14:paraId="37010000">
      <w:pPr>
        <w:pageBreakBefore w:val="0"/>
        <w:widowControl w:val="1"/>
        <w:spacing w:before="0" w:line="240" w:lineRule="auto"/>
        <w:ind/>
        <w:jc w:val="center"/>
        <w:rPr>
          <w:rFonts w:ascii="Times New Roman" w:hAnsi="Times New Roman"/>
          <w:b w:val="1"/>
          <w:color w:val="000000"/>
          <w:sz w:val="20"/>
        </w:rPr>
      </w:pPr>
    </w:p>
    <w:tbl>
      <w:tblPr>
        <w:tblStyle w:val="Style_3"/>
        <w:tblW w:type="auto" w:w="0"/>
        <w:tblInd w:type="dxa" w:w="-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28"/>
        <w:gridCol w:w="5235"/>
      </w:tblGrid>
      <w:tr>
        <w:trPr>
          <w:trHeight w:hRule="atLeast" w:val="1266"/>
        </w:trPr>
        <w:tc>
          <w:tcPr>
            <w:tcW w:type="dxa" w:w="5328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pageBreakBefore w:val="0"/>
              <w:widowControl w:val="1"/>
              <w:spacing w:before="0" w:line="24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Заказчик:</w:t>
            </w:r>
          </w:p>
        </w:tc>
        <w:tc>
          <w:tcPr>
            <w:tcW w:type="dxa" w:w="5235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pStyle w:val="Style_4"/>
              <w:pageBreakBefore w:val="0"/>
              <w:widowControl w:val="1"/>
              <w:numPr>
                <w:ilvl w:val="0"/>
                <w:numId w:val="0"/>
              </w:numPr>
              <w:spacing w:before="0" w:line="240" w:lineRule="auto"/>
              <w:ind w:firstLine="0" w:left="0"/>
              <w:jc w:val="center"/>
              <w:outlineLvl w:val="1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Исполнитель:</w:t>
            </w:r>
          </w:p>
          <w:p w14:paraId="3A010000">
            <w:pPr>
              <w:pStyle w:val="Style_4"/>
              <w:keepNext w:val="0"/>
              <w:keepLines w:val="0"/>
              <w:pageBreakBefore w:val="0"/>
              <w:widowControl w:val="1"/>
              <w:numPr>
                <w:ilvl w:val="0"/>
                <w:numId w:val="0"/>
              </w:numPr>
              <w:spacing w:before="0" w:line="240" w:lineRule="auto"/>
              <w:ind w:firstLine="0" w:left="0"/>
              <w:jc w:val="both"/>
              <w:outlineLvl w:val="1"/>
              <w:rPr>
                <w:rFonts w:ascii="Times New Roman" w:hAnsi="Times New Roman"/>
                <w:b w:val="0"/>
                <w:color w:themeColor="text1" w:val="000000"/>
                <w:sz w:val="20"/>
              </w:rPr>
            </w:pPr>
          </w:p>
        </w:tc>
      </w:tr>
    </w:tbl>
    <w:p w14:paraId="3B010000">
      <w:pPr>
        <w:pageBreakBefore w:val="0"/>
        <w:widowControl w:val="1"/>
        <w:spacing w:before="0" w:line="240" w:lineRule="auto"/>
        <w:ind/>
        <w:rPr>
          <w:rFonts w:ascii="Times New Roman" w:hAnsi="Times New Roman"/>
          <w:sz w:val="20"/>
        </w:rPr>
      </w:pPr>
    </w:p>
    <w:sectPr>
      <w:pgSz w:h="16838" w:orient="portrait" w:w="11906"/>
      <w:pgMar w:bottom="567" w:footer="0" w:gutter="0" w:header="0" w:left="851" w:right="450" w:top="567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927"/>
      </w:pPr>
      <w:rPr>
        <w:b w:val="1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647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367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087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807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527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247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967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687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before="0" w:line="276" w:lineRule="auto"/>
      <w:ind/>
      <w:jc w:val="left"/>
    </w:pPr>
    <w:rPr>
      <w:rFonts w:ascii="Times New Roman" w:hAnsi="Times New Roman"/>
      <w:color w:val="000000"/>
      <w:sz w:val="22"/>
    </w:rPr>
  </w:style>
  <w:style w:default="1" w:styleId="Style_5_ch" w:type="character">
    <w:name w:val="Normal"/>
    <w:link w:val="Style_5"/>
    <w:rPr>
      <w:rFonts w:ascii="Times New Roman" w:hAnsi="Times New Roman"/>
      <w:color w:val="000000"/>
      <w:sz w:val="22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index heading"/>
    <w:basedOn w:val="Style_5"/>
    <w:link w:val="Style_8_ch"/>
  </w:style>
  <w:style w:styleId="Style_8_ch" w:type="character">
    <w:name w:val="index heading"/>
    <w:basedOn w:val="Style_5_ch"/>
    <w:link w:val="Style_8"/>
  </w:style>
  <w:style w:styleId="Style_9" w:type="paragraph">
    <w:name w:val="toc 4"/>
    <w:next w:val="Style_5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Heading #1"/>
    <w:basedOn w:val="Style_5"/>
    <w:link w:val="Style_10_ch"/>
    <w:pPr>
      <w:widowControl w:val="1"/>
      <w:spacing w:after="540" w:before="360" w:line="240" w:lineRule="exact"/>
      <w:ind/>
    </w:pPr>
    <w:rPr>
      <w:rFonts w:ascii="Calibri" w:hAnsi="Calibri"/>
      <w:b w:val="1"/>
      <w:color w:val="00000A"/>
      <w:sz w:val="27"/>
    </w:rPr>
  </w:style>
  <w:style w:styleId="Style_10_ch" w:type="character">
    <w:name w:val="Heading #1"/>
    <w:basedOn w:val="Style_5_ch"/>
    <w:link w:val="Style_10"/>
    <w:rPr>
      <w:rFonts w:ascii="Calibri" w:hAnsi="Calibri"/>
      <w:b w:val="1"/>
      <w:color w:val="00000A"/>
      <w:sz w:val="27"/>
    </w:rPr>
  </w:style>
  <w:style w:styleId="Style_11" w:type="paragraph">
    <w:name w:val="toc 6"/>
    <w:next w:val="Style_5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WW8Num1z6"/>
    <w:link w:val="Style_13_ch"/>
  </w:style>
  <w:style w:styleId="Style_13_ch" w:type="character">
    <w:name w:val="WW8Num1z6"/>
    <w:link w:val="Style_13"/>
  </w:style>
  <w:style w:styleId="Style_14" w:type="paragraph">
    <w:name w:val="HTML Preformatted"/>
    <w:basedOn w:val="Style_5"/>
    <w:link w:val="Style_14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line="240" w:lineRule="auto"/>
      <w:ind/>
    </w:pPr>
    <w:rPr>
      <w:rFonts w:ascii="Courier New" w:hAnsi="Courier New"/>
      <w:sz w:val="20"/>
    </w:rPr>
  </w:style>
  <w:style w:styleId="Style_14_ch" w:type="character">
    <w:name w:val="HTML Preformatted"/>
    <w:basedOn w:val="Style_5_ch"/>
    <w:link w:val="Style_14"/>
    <w:rPr>
      <w:rFonts w:ascii="Courier New" w:hAnsi="Courier New"/>
      <w:sz w:val="20"/>
    </w:rPr>
  </w:style>
  <w:style w:styleId="Style_15" w:type="paragraph">
    <w:name w:val="Название объекта1"/>
    <w:basedOn w:val="Style_5"/>
    <w:link w:val="Style_15_ch"/>
    <w:pPr>
      <w:widowControl w:val="1"/>
      <w:spacing w:after="120" w:before="120"/>
      <w:ind/>
    </w:pPr>
    <w:rPr>
      <w:i w:val="1"/>
      <w:sz w:val="24"/>
    </w:rPr>
  </w:style>
  <w:style w:styleId="Style_15_ch" w:type="character">
    <w:name w:val="Название объекта1"/>
    <w:basedOn w:val="Style_5_ch"/>
    <w:link w:val="Style_15"/>
    <w:rPr>
      <w:i w:val="1"/>
      <w:sz w:val="24"/>
    </w:rPr>
  </w:style>
  <w:style w:styleId="Style_16" w:type="paragraph">
    <w:name w:val="Указатель12"/>
    <w:basedOn w:val="Style_5"/>
    <w:link w:val="Style_16_ch"/>
  </w:style>
  <w:style w:styleId="Style_16_ch" w:type="character">
    <w:name w:val="Указатель12"/>
    <w:basedOn w:val="Style_5_ch"/>
    <w:link w:val="Style_16"/>
  </w:style>
  <w:style w:styleId="Style_4" w:type="paragraph">
    <w:name w:val="ConsPlusNormal"/>
    <w:basedOn w:val="Style_5"/>
    <w:link w:val="Style_4_ch"/>
    <w:pPr>
      <w:widowControl w:val="1"/>
      <w:spacing w:line="240" w:lineRule="auto"/>
      <w:ind/>
    </w:pPr>
    <w:rPr>
      <w:rFonts w:ascii="Arial" w:hAnsi="Arial"/>
      <w:sz w:val="20"/>
    </w:rPr>
  </w:style>
  <w:style w:styleId="Style_4_ch" w:type="character">
    <w:name w:val="ConsPlusNormal"/>
    <w:basedOn w:val="Style_5_ch"/>
    <w:link w:val="Style_4"/>
    <w:rPr>
      <w:rFonts w:ascii="Arial" w:hAnsi="Arial"/>
      <w:sz w:val="20"/>
    </w:rPr>
  </w:style>
  <w:style w:styleId="Style_17" w:type="paragraph">
    <w:name w:val="Заголовок 4 Знак"/>
    <w:link w:val="Style_17_ch"/>
    <w:rPr>
      <w:rFonts w:ascii="Times New Roman" w:hAnsi="Times New Roman"/>
    </w:rPr>
  </w:style>
  <w:style w:styleId="Style_17_ch" w:type="character">
    <w:name w:val="Заголовок 4 Знак"/>
    <w:link w:val="Style_17"/>
    <w:rPr>
      <w:rFonts w:ascii="Times New Roman" w:hAnsi="Times New Roman"/>
    </w:rPr>
  </w:style>
  <w:style w:styleId="Style_18" w:type="paragraph">
    <w:name w:val="WW8Num1z1"/>
    <w:link w:val="Style_18_ch"/>
    <w:rPr>
      <w:rFonts w:ascii="Courier New" w:hAnsi="Courier New"/>
    </w:rPr>
  </w:style>
  <w:style w:styleId="Style_18_ch" w:type="character">
    <w:name w:val="WW8Num1z1"/>
    <w:link w:val="Style_18"/>
    <w:rPr>
      <w:rFonts w:ascii="Courier New" w:hAnsi="Courier New"/>
    </w:rPr>
  </w:style>
  <w:style w:styleId="Style_19" w:type="paragraph">
    <w:name w:val="End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5"/>
    <w:link w:val="Style_2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1" w:type="paragraph">
    <w:name w:val="WW8Num1z7"/>
    <w:link w:val="Style_21_ch"/>
  </w:style>
  <w:style w:styleId="Style_21_ch" w:type="character">
    <w:name w:val="WW8Num1z7"/>
    <w:link w:val="Style_21"/>
  </w:style>
  <w:style w:styleId="Style_22" w:type="paragraph">
    <w:name w:val="annotation subject"/>
    <w:basedOn w:val="Style_23"/>
    <w:next w:val="Style_23"/>
    <w:link w:val="Style_22_ch"/>
    <w:rPr>
      <w:b w:val="1"/>
    </w:rPr>
  </w:style>
  <w:style w:styleId="Style_22_ch" w:type="character">
    <w:name w:val="annotation subject"/>
    <w:basedOn w:val="Style_23_ch"/>
    <w:link w:val="Style_22"/>
    <w:rPr>
      <w:b w:val="1"/>
    </w:rPr>
  </w:style>
  <w:style w:styleId="Style_24" w:type="paragraph">
    <w:name w:val="caption1"/>
    <w:basedOn w:val="Style_5"/>
    <w:link w:val="Style_24_ch"/>
    <w:pPr>
      <w:widowControl w:val="1"/>
      <w:spacing w:after="120" w:before="120"/>
      <w:ind/>
    </w:pPr>
    <w:rPr>
      <w:i w:val="1"/>
      <w:sz w:val="24"/>
    </w:rPr>
  </w:style>
  <w:style w:styleId="Style_24_ch" w:type="character">
    <w:name w:val="caption1"/>
    <w:basedOn w:val="Style_5_ch"/>
    <w:link w:val="Style_24"/>
    <w:rPr>
      <w:i w:val="1"/>
      <w:sz w:val="24"/>
    </w:rPr>
  </w:style>
  <w:style w:styleId="Style_25" w:type="paragraph">
    <w:name w:val="Символ концевой сноски"/>
    <w:link w:val="Style_25_ch"/>
    <w:rPr>
      <w:vertAlign w:val="superscript"/>
    </w:rPr>
  </w:style>
  <w:style w:styleId="Style_25_ch" w:type="character">
    <w:name w:val="Символ концевой сноски"/>
    <w:link w:val="Style_25"/>
    <w:rPr>
      <w:vertAlign w:val="superscript"/>
    </w:rPr>
  </w:style>
  <w:style w:styleId="Style_26" w:type="paragraph">
    <w:name w:val="WW8Num1z4"/>
    <w:link w:val="Style_26_ch"/>
  </w:style>
  <w:style w:styleId="Style_26_ch" w:type="character">
    <w:name w:val="WW8Num1z4"/>
    <w:link w:val="Style_26"/>
  </w:style>
  <w:style w:styleId="Style_27" w:type="paragraph">
    <w:name w:val="Заголовок"/>
    <w:basedOn w:val="Style_5"/>
    <w:next w:val="Style_28"/>
    <w:link w:val="Style_27_ch"/>
    <w:pPr>
      <w:keepNext w:val="1"/>
      <w:widowControl w:val="1"/>
      <w:spacing w:after="120" w:before="240"/>
      <w:ind/>
    </w:pPr>
    <w:rPr>
      <w:rFonts w:ascii="Open Sans" w:hAnsi="Open Sans"/>
      <w:sz w:val="28"/>
    </w:rPr>
  </w:style>
  <w:style w:styleId="Style_27_ch" w:type="character">
    <w:name w:val="Заголовок"/>
    <w:basedOn w:val="Style_5_ch"/>
    <w:link w:val="Style_27"/>
    <w:rPr>
      <w:rFonts w:ascii="Open Sans" w:hAnsi="Open Sans"/>
      <w:sz w:val="28"/>
    </w:rPr>
  </w:style>
  <w:style w:styleId="Style_29" w:type="paragraph">
    <w:name w:val="ConsPlusNonformat"/>
    <w:link w:val="Style_29_ch"/>
    <w:pPr>
      <w:widowControl w:val="0"/>
      <w:spacing w:after="0" w:before="0"/>
      <w:ind/>
      <w:jc w:val="left"/>
    </w:pPr>
    <w:rPr>
      <w:rFonts w:ascii="Courier New" w:hAnsi="Courier New"/>
      <w:color w:val="000000"/>
      <w:sz w:val="20"/>
    </w:rPr>
  </w:style>
  <w:style w:styleId="Style_29_ch" w:type="character">
    <w:name w:val="ConsPlusNonformat"/>
    <w:link w:val="Style_29"/>
    <w:rPr>
      <w:rFonts w:ascii="Courier New" w:hAnsi="Courier New"/>
      <w:color w:val="000000"/>
      <w:sz w:val="20"/>
    </w:rPr>
  </w:style>
  <w:style w:styleId="Style_30" w:type="paragraph">
    <w:name w:val="caption11"/>
    <w:basedOn w:val="Style_5"/>
    <w:link w:val="Style_30_ch"/>
    <w:pPr>
      <w:widowControl w:val="1"/>
      <w:spacing w:after="120" w:before="120"/>
      <w:ind/>
    </w:pPr>
    <w:rPr>
      <w:i w:val="1"/>
      <w:sz w:val="24"/>
    </w:rPr>
  </w:style>
  <w:style w:styleId="Style_30_ch" w:type="character">
    <w:name w:val="caption11"/>
    <w:basedOn w:val="Style_5_ch"/>
    <w:link w:val="Style_30"/>
    <w:rPr>
      <w:i w:val="1"/>
      <w:sz w:val="24"/>
    </w:rPr>
  </w:style>
  <w:style w:styleId="Style_31" w:type="paragraph">
    <w:name w:val="Стандартный HTML Знак"/>
    <w:basedOn w:val="Style_32"/>
    <w:link w:val="Style_31_ch"/>
    <w:rPr>
      <w:rFonts w:ascii="Courier New" w:hAnsi="Courier New"/>
      <w:sz w:val="20"/>
    </w:rPr>
  </w:style>
  <w:style w:styleId="Style_31_ch" w:type="character">
    <w:name w:val="Стандартный HTML Знак"/>
    <w:basedOn w:val="Style_32_ch"/>
    <w:link w:val="Style_31"/>
    <w:rPr>
      <w:rFonts w:ascii="Courier New" w:hAnsi="Courier New"/>
      <w:sz w:val="20"/>
    </w:rPr>
  </w:style>
  <w:style w:styleId="Style_33" w:type="paragraph">
    <w:name w:val="Заголовок 2 Знак"/>
    <w:link w:val="Style_33_ch"/>
    <w:rPr>
      <w:rFonts w:ascii="Cambria" w:hAnsi="Cambria"/>
      <w:b w:val="1"/>
      <w:i w:val="1"/>
      <w:sz w:val="28"/>
    </w:rPr>
  </w:style>
  <w:style w:styleId="Style_33_ch" w:type="character">
    <w:name w:val="Заголовок 2 Знак"/>
    <w:link w:val="Style_33"/>
    <w:rPr>
      <w:rFonts w:ascii="Cambria" w:hAnsi="Cambria"/>
      <w:b w:val="1"/>
      <w:i w:val="1"/>
      <w:sz w:val="28"/>
    </w:rPr>
  </w:style>
  <w:style w:styleId="Style_34" w:type="paragraph">
    <w:name w:val="Заголовок таблицы"/>
    <w:basedOn w:val="Style_35"/>
    <w:link w:val="Style_34_ch"/>
    <w:pPr>
      <w:widowControl w:val="1"/>
      <w:ind/>
      <w:jc w:val="center"/>
    </w:pPr>
    <w:rPr>
      <w:b w:val="1"/>
    </w:rPr>
  </w:style>
  <w:style w:styleId="Style_34_ch" w:type="character">
    <w:name w:val="Заголовок таблицы"/>
    <w:basedOn w:val="Style_35_ch"/>
    <w:link w:val="Style_34"/>
    <w:rPr>
      <w:b w:val="1"/>
    </w:rPr>
  </w:style>
  <w:style w:styleId="Style_36" w:type="paragraph">
    <w:name w:val="toc 3"/>
    <w:next w:val="Style_5"/>
    <w:link w:val="Style_3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36_ch" w:type="character">
    <w:name w:val="toc 3"/>
    <w:link w:val="Style_36"/>
    <w:rPr>
      <w:rFonts w:ascii="XO Thames" w:hAnsi="XO Thames"/>
      <w:sz w:val="28"/>
    </w:rPr>
  </w:style>
  <w:style w:styleId="Style_37" w:type="paragraph">
    <w:name w:val="Footnote Characters"/>
    <w:link w:val="Style_37_ch"/>
    <w:rPr>
      <w:vertAlign w:val="superscript"/>
    </w:rPr>
  </w:style>
  <w:style w:styleId="Style_37_ch" w:type="character">
    <w:name w:val="Footnote Characters"/>
    <w:link w:val="Style_37"/>
    <w:rPr>
      <w:vertAlign w:val="superscript"/>
    </w:rPr>
  </w:style>
  <w:style w:styleId="Style_38" w:type="paragraph">
    <w:name w:val="Заголовок 3 Знак"/>
    <w:link w:val="Style_38_ch"/>
    <w:rPr>
      <w:rFonts w:ascii="Times New Roman" w:hAnsi="Times New Roman"/>
      <w:i w:val="1"/>
    </w:rPr>
  </w:style>
  <w:style w:styleId="Style_38_ch" w:type="character">
    <w:name w:val="Заголовок 3 Знак"/>
    <w:link w:val="Style_38"/>
    <w:rPr>
      <w:rFonts w:ascii="Times New Roman" w:hAnsi="Times New Roman"/>
      <w:i w:val="1"/>
    </w:rPr>
  </w:style>
  <w:style w:styleId="Style_39" w:type="paragraph">
    <w:name w:val="WW8Num1z2"/>
    <w:link w:val="Style_39_ch"/>
    <w:rPr>
      <w:rFonts w:ascii="Wingdings" w:hAnsi="Wingdings"/>
    </w:rPr>
  </w:style>
  <w:style w:styleId="Style_39_ch" w:type="character">
    <w:name w:val="WW8Num1z2"/>
    <w:link w:val="Style_39"/>
    <w:rPr>
      <w:rFonts w:ascii="Wingdings" w:hAnsi="Wingdings"/>
    </w:rPr>
  </w:style>
  <w:style w:styleId="Style_40" w:type="paragraph">
    <w:name w:val="endnote reference"/>
    <w:link w:val="Style_40_ch"/>
    <w:rPr>
      <w:vertAlign w:val="superscript"/>
    </w:rPr>
  </w:style>
  <w:style w:styleId="Style_40_ch" w:type="character">
    <w:name w:val="endnote reference"/>
    <w:link w:val="Style_40"/>
    <w:rPr>
      <w:vertAlign w:val="superscript"/>
    </w:rPr>
  </w:style>
  <w:style w:styleId="Style_41" w:type="paragraph">
    <w:name w:val="Символ сноски"/>
    <w:link w:val="Style_41_ch"/>
    <w:rPr>
      <w:vertAlign w:val="superscript"/>
    </w:rPr>
  </w:style>
  <w:style w:styleId="Style_41_ch" w:type="character">
    <w:name w:val="Символ сноски"/>
    <w:link w:val="Style_41"/>
    <w:rPr>
      <w:vertAlign w:val="superscript"/>
    </w:rPr>
  </w:style>
  <w:style w:styleId="Style_42" w:type="paragraph">
    <w:name w:val="caption"/>
    <w:basedOn w:val="Style_5"/>
    <w:link w:val="Style_42_ch"/>
    <w:pPr>
      <w:widowControl w:val="1"/>
      <w:spacing w:after="120" w:before="120"/>
      <w:ind/>
    </w:pPr>
    <w:rPr>
      <w:i w:val="1"/>
      <w:sz w:val="24"/>
    </w:rPr>
  </w:style>
  <w:style w:styleId="Style_42_ch" w:type="character">
    <w:name w:val="caption"/>
    <w:basedOn w:val="Style_5_ch"/>
    <w:link w:val="Style_42"/>
    <w:rPr>
      <w:i w:val="1"/>
      <w:sz w:val="24"/>
    </w:rPr>
  </w:style>
  <w:style w:styleId="Style_43" w:type="paragraph">
    <w:name w:val="heading 5"/>
    <w:next w:val="Style_5"/>
    <w:link w:val="Style_4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3_ch" w:type="character">
    <w:name w:val="heading 5"/>
    <w:link w:val="Style_43"/>
    <w:rPr>
      <w:rFonts w:ascii="XO Thames" w:hAnsi="XO Thames"/>
      <w:b w:val="1"/>
      <w:sz w:val="22"/>
    </w:rPr>
  </w:style>
  <w:style w:styleId="Style_44" w:type="paragraph">
    <w:name w:val="Название1"/>
    <w:basedOn w:val="Style_5"/>
    <w:link w:val="Style_44_ch"/>
    <w:pPr>
      <w:widowControl w:val="1"/>
      <w:spacing w:after="120" w:before="120"/>
      <w:ind/>
    </w:pPr>
    <w:rPr>
      <w:i w:val="1"/>
    </w:rPr>
  </w:style>
  <w:style w:styleId="Style_44_ch" w:type="character">
    <w:name w:val="Название1"/>
    <w:basedOn w:val="Style_5_ch"/>
    <w:link w:val="Style_44"/>
    <w:rPr>
      <w:i w:val="1"/>
    </w:rPr>
  </w:style>
  <w:style w:styleId="Style_45" w:type="paragraph">
    <w:name w:val="heading 1"/>
    <w:basedOn w:val="Style_5"/>
    <w:next w:val="Style_5"/>
    <w:link w:val="Style_45_ch"/>
    <w:uiPriority w:val="9"/>
    <w:qFormat/>
    <w:pPr>
      <w:keepNext w:val="1"/>
      <w:widowControl w:val="1"/>
      <w:spacing w:after="60" w:before="240" w:line="240" w:lineRule="auto"/>
      <w:ind/>
      <w:outlineLvl w:val="0"/>
    </w:pPr>
    <w:rPr>
      <w:rFonts w:ascii="Cambria" w:hAnsi="Cambria"/>
      <w:b w:val="1"/>
      <w:sz w:val="32"/>
    </w:rPr>
  </w:style>
  <w:style w:styleId="Style_45_ch" w:type="character">
    <w:name w:val="heading 1"/>
    <w:basedOn w:val="Style_5_ch"/>
    <w:link w:val="Style_45"/>
    <w:rPr>
      <w:rFonts w:ascii="Cambria" w:hAnsi="Cambria"/>
      <w:b w:val="1"/>
      <w:sz w:val="32"/>
    </w:rPr>
  </w:style>
  <w:style w:styleId="Style_46" w:type="paragraph">
    <w:name w:val="ConsPlusTitlePage"/>
    <w:link w:val="Style_46_ch"/>
    <w:pPr>
      <w:widowControl w:val="1"/>
      <w:spacing w:after="0" w:before="0"/>
      <w:ind/>
      <w:jc w:val="left"/>
    </w:pPr>
    <w:rPr>
      <w:rFonts w:ascii="Tahoma" w:hAnsi="Tahoma"/>
      <w:color w:val="000000"/>
      <w:sz w:val="24"/>
    </w:rPr>
  </w:style>
  <w:style w:styleId="Style_46_ch" w:type="character">
    <w:name w:val="ConsPlusTitlePage"/>
    <w:link w:val="Style_46"/>
    <w:rPr>
      <w:rFonts w:ascii="Tahoma" w:hAnsi="Tahoma"/>
      <w:color w:val="000000"/>
      <w:sz w:val="24"/>
    </w:rPr>
  </w:style>
  <w:style w:styleId="Style_6" w:type="paragraph">
    <w:name w:val="Standard"/>
    <w:link w:val="Style_6_ch"/>
    <w:pPr>
      <w:widowControl w:val="1"/>
      <w:spacing w:after="0" w:before="0" w:line="240" w:lineRule="auto"/>
      <w:ind/>
      <w:jc w:val="both"/>
    </w:pPr>
    <w:rPr>
      <w:rFonts w:ascii="Times New Roman" w:hAnsi="Times New Roman"/>
      <w:color w:val="000000"/>
      <w:sz w:val="24"/>
    </w:rPr>
  </w:style>
  <w:style w:styleId="Style_6_ch" w:type="character">
    <w:name w:val="Standard"/>
    <w:link w:val="Style_6"/>
    <w:rPr>
      <w:rFonts w:ascii="Times New Roman" w:hAnsi="Times New Roman"/>
      <w:color w:val="000000"/>
      <w:sz w:val="24"/>
    </w:rPr>
  </w:style>
  <w:style w:styleId="Style_47" w:type="paragraph">
    <w:name w:val="WW8Num1z8"/>
    <w:link w:val="Style_47_ch"/>
  </w:style>
  <w:style w:styleId="Style_47_ch" w:type="character">
    <w:name w:val="WW8Num1z8"/>
    <w:link w:val="Style_47"/>
  </w:style>
  <w:style w:styleId="Style_48" w:type="paragraph">
    <w:name w:val="WW8Num1z3"/>
    <w:link w:val="Style_48_ch"/>
  </w:style>
  <w:style w:styleId="Style_48_ch" w:type="character">
    <w:name w:val="WW8Num1z3"/>
    <w:link w:val="Style_48"/>
  </w:style>
  <w:style w:styleId="Style_49" w:type="paragraph">
    <w:name w:val="Не вступил в силу"/>
    <w:link w:val="Style_49_ch"/>
    <w:rPr>
      <w:color w:val="008080"/>
      <w:sz w:val="20"/>
    </w:rPr>
  </w:style>
  <w:style w:styleId="Style_49_ch" w:type="character">
    <w:name w:val="Не вступил в силу"/>
    <w:link w:val="Style_49"/>
    <w:rPr>
      <w:color w:val="008080"/>
      <w:sz w:val="20"/>
    </w:rPr>
  </w:style>
  <w:style w:styleId="Style_50" w:type="paragraph">
    <w:name w:val="Hyperlink"/>
    <w:basedOn w:val="Style_32"/>
    <w:link w:val="Style_50_ch"/>
    <w:rPr>
      <w:color w:themeColor="hyperlink" w:val="0000FF"/>
      <w:u w:val="single"/>
    </w:rPr>
  </w:style>
  <w:style w:styleId="Style_50_ch" w:type="character">
    <w:name w:val="Hyperlink"/>
    <w:basedOn w:val="Style_32_ch"/>
    <w:link w:val="Style_50"/>
    <w:rPr>
      <w:color w:themeColor="hyperlink" w:val="0000FF"/>
      <w:u w:val="single"/>
    </w:rPr>
  </w:style>
  <w:style w:styleId="Style_51" w:type="paragraph">
    <w:name w:val="Footnote"/>
    <w:basedOn w:val="Style_5"/>
    <w:link w:val="Style_51_ch"/>
  </w:style>
  <w:style w:styleId="Style_51_ch" w:type="character">
    <w:name w:val="Footnote"/>
    <w:basedOn w:val="Style_5_ch"/>
    <w:link w:val="Style_51"/>
  </w:style>
  <w:style w:styleId="Style_52" w:type="paragraph">
    <w:name w:val="toc 1"/>
    <w:next w:val="Style_5"/>
    <w:link w:val="Style_5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ConsNormal"/>
    <w:link w:val="Style_53_ch"/>
    <w:pPr>
      <w:widowControl w:val="0"/>
      <w:spacing w:after="0" w:before="0"/>
      <w:ind w:firstLine="720" w:right="19772"/>
      <w:jc w:val="left"/>
    </w:pPr>
    <w:rPr>
      <w:rFonts w:ascii="Arial" w:hAnsi="Arial"/>
      <w:color w:val="000000"/>
      <w:sz w:val="20"/>
    </w:rPr>
  </w:style>
  <w:style w:styleId="Style_53_ch" w:type="character">
    <w:name w:val="ConsNormal"/>
    <w:link w:val="Style_53"/>
    <w:rPr>
      <w:rFonts w:ascii="Arial" w:hAnsi="Arial"/>
      <w:color w:val="000000"/>
      <w:sz w:val="20"/>
    </w:rPr>
  </w:style>
  <w:style w:styleId="Style_54" w:type="paragraph">
    <w:name w:val="Тема примечания Знак"/>
    <w:basedOn w:val="Style_55"/>
    <w:link w:val="Style_54_ch"/>
    <w:rPr>
      <w:b w:val="1"/>
      <w:sz w:val="20"/>
    </w:rPr>
  </w:style>
  <w:style w:styleId="Style_54_ch" w:type="character">
    <w:name w:val="Тема примечания Знак"/>
    <w:basedOn w:val="Style_55_ch"/>
    <w:link w:val="Style_54"/>
    <w:rPr>
      <w:b w:val="1"/>
      <w:sz w:val="20"/>
    </w:rPr>
  </w:style>
  <w:style w:styleId="Style_56" w:type="paragraph">
    <w:name w:val="Header and Footer"/>
    <w:link w:val="Style_5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6_ch" w:type="character">
    <w:name w:val="Header and Footer"/>
    <w:link w:val="Style_56"/>
    <w:rPr>
      <w:rFonts w:ascii="XO Thames" w:hAnsi="XO Thames"/>
      <w:sz w:val="28"/>
    </w:rPr>
  </w:style>
  <w:style w:styleId="Style_55" w:type="paragraph">
    <w:name w:val="Текст примечания Знак"/>
    <w:basedOn w:val="Style_32"/>
    <w:link w:val="Style_55_ch"/>
    <w:rPr>
      <w:sz w:val="20"/>
    </w:rPr>
  </w:style>
  <w:style w:styleId="Style_55_ch" w:type="character">
    <w:name w:val="Текст примечания Знак"/>
    <w:basedOn w:val="Style_32_ch"/>
    <w:link w:val="Style_55"/>
    <w:rPr>
      <w:sz w:val="20"/>
    </w:rPr>
  </w:style>
  <w:style w:styleId="Style_28" w:type="paragraph">
    <w:name w:val="Body Text"/>
    <w:basedOn w:val="Style_5"/>
    <w:link w:val="Style_28_ch"/>
    <w:pPr>
      <w:widowControl w:val="1"/>
      <w:spacing w:after="140" w:before="0"/>
      <w:ind/>
    </w:pPr>
  </w:style>
  <w:style w:styleId="Style_28_ch" w:type="character">
    <w:name w:val="Body Text"/>
    <w:basedOn w:val="Style_5_ch"/>
    <w:link w:val="Style_28"/>
  </w:style>
  <w:style w:styleId="Style_57" w:type="paragraph">
    <w:name w:val="annotation reference"/>
    <w:basedOn w:val="Style_32"/>
    <w:link w:val="Style_57_ch"/>
    <w:rPr>
      <w:sz w:val="16"/>
    </w:rPr>
  </w:style>
  <w:style w:styleId="Style_57_ch" w:type="character">
    <w:name w:val="annotation reference"/>
    <w:basedOn w:val="Style_32_ch"/>
    <w:link w:val="Style_57"/>
    <w:rPr>
      <w:sz w:val="16"/>
    </w:rPr>
  </w:style>
  <w:style w:styleId="Style_58" w:type="paragraph">
    <w:name w:val="Знак сноски1"/>
    <w:link w:val="Style_58_ch"/>
    <w:rPr>
      <w:vertAlign w:val="superscript"/>
    </w:rPr>
  </w:style>
  <w:style w:styleId="Style_58_ch" w:type="character">
    <w:name w:val="Знак сноски1"/>
    <w:link w:val="Style_58"/>
    <w:rPr>
      <w:vertAlign w:val="superscript"/>
    </w:rPr>
  </w:style>
  <w:style w:styleId="Style_59" w:type="paragraph">
    <w:name w:val="toc 9"/>
    <w:next w:val="Style_5"/>
    <w:link w:val="Style_5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59_ch" w:type="character">
    <w:name w:val="toc 9"/>
    <w:link w:val="Style_59"/>
    <w:rPr>
      <w:rFonts w:ascii="XO Thames" w:hAnsi="XO Thames"/>
      <w:sz w:val="28"/>
    </w:rPr>
  </w:style>
  <w:style w:styleId="Style_60" w:type="paragraph">
    <w:name w:val="Указатель1"/>
    <w:basedOn w:val="Style_5"/>
    <w:link w:val="Style_60_ch"/>
  </w:style>
  <w:style w:styleId="Style_60_ch" w:type="character">
    <w:name w:val="Указатель1"/>
    <w:basedOn w:val="Style_5_ch"/>
    <w:link w:val="Style_60"/>
  </w:style>
  <w:style w:styleId="Style_61" w:type="paragraph">
    <w:name w:val="Balloon Text"/>
    <w:basedOn w:val="Style_5"/>
    <w:link w:val="Style_61_ch"/>
    <w:pPr>
      <w:widowControl w:val="1"/>
      <w:spacing w:line="240" w:lineRule="auto"/>
      <w:ind/>
    </w:pPr>
    <w:rPr>
      <w:rFonts w:ascii="Tahoma" w:hAnsi="Tahoma"/>
      <w:sz w:val="16"/>
    </w:rPr>
  </w:style>
  <w:style w:styleId="Style_61_ch" w:type="character">
    <w:name w:val="Balloon Text"/>
    <w:basedOn w:val="Style_5_ch"/>
    <w:link w:val="Style_61"/>
    <w:rPr>
      <w:rFonts w:ascii="Tahoma" w:hAnsi="Tahoma"/>
      <w:sz w:val="16"/>
    </w:rPr>
  </w:style>
  <w:style w:styleId="Style_62" w:type="paragraph">
    <w:name w:val="Текст выноски Знак"/>
    <w:basedOn w:val="Style_32"/>
    <w:link w:val="Style_62_ch"/>
    <w:rPr>
      <w:rFonts w:ascii="Tahoma" w:hAnsi="Tahoma"/>
      <w:sz w:val="16"/>
    </w:rPr>
  </w:style>
  <w:style w:styleId="Style_62_ch" w:type="character">
    <w:name w:val="Текст выноски Знак"/>
    <w:basedOn w:val="Style_32_ch"/>
    <w:link w:val="Style_62"/>
    <w:rPr>
      <w:rFonts w:ascii="Tahoma" w:hAnsi="Tahoma"/>
      <w:sz w:val="16"/>
    </w:rPr>
  </w:style>
  <w:style w:styleId="Style_63" w:type="paragraph">
    <w:name w:val="Указатель11"/>
    <w:basedOn w:val="Style_5"/>
    <w:link w:val="Style_63_ch"/>
  </w:style>
  <w:style w:styleId="Style_63_ch" w:type="character">
    <w:name w:val="Указатель11"/>
    <w:basedOn w:val="Style_5_ch"/>
    <w:link w:val="Style_63"/>
  </w:style>
  <w:style w:styleId="Style_64" w:type="paragraph">
    <w:name w:val="Основной шрифт абзаца11"/>
    <w:link w:val="Style_64_ch"/>
  </w:style>
  <w:style w:styleId="Style_64_ch" w:type="character">
    <w:name w:val="Основной шрифт абзаца11"/>
    <w:link w:val="Style_64"/>
  </w:style>
  <w:style w:styleId="Style_65" w:type="paragraph">
    <w:name w:val="List"/>
    <w:basedOn w:val="Style_28"/>
    <w:link w:val="Style_65_ch"/>
  </w:style>
  <w:style w:styleId="Style_65_ch" w:type="character">
    <w:name w:val="List"/>
    <w:basedOn w:val="Style_28_ch"/>
    <w:link w:val="Style_65"/>
  </w:style>
  <w:style w:styleId="Style_32" w:type="paragraph">
    <w:name w:val="Default Paragraph Font"/>
    <w:link w:val="Style_32_ch"/>
  </w:style>
  <w:style w:styleId="Style_32_ch" w:type="character">
    <w:name w:val="Default Paragraph Font"/>
    <w:link w:val="Style_32"/>
  </w:style>
  <w:style w:styleId="Style_66" w:type="paragraph">
    <w:name w:val="toc 8"/>
    <w:next w:val="Style_5"/>
    <w:link w:val="Style_6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66_ch" w:type="character">
    <w:name w:val="toc 8"/>
    <w:link w:val="Style_66"/>
    <w:rPr>
      <w:rFonts w:ascii="XO Thames" w:hAnsi="XO Thames"/>
      <w:sz w:val="28"/>
    </w:rPr>
  </w:style>
  <w:style w:styleId="Style_67" w:type="paragraph">
    <w:name w:val="Strong"/>
    <w:link w:val="Style_67_ch"/>
    <w:rPr>
      <w:b w:val="1"/>
    </w:rPr>
  </w:style>
  <w:style w:styleId="Style_67_ch" w:type="character">
    <w:name w:val="Strong"/>
    <w:link w:val="Style_67"/>
    <w:rPr>
      <w:b w:val="1"/>
    </w:rPr>
  </w:style>
  <w:style w:styleId="Style_68" w:type="paragraph">
    <w:name w:val="Обычный (веб) Знак"/>
    <w:link w:val="Style_68_ch"/>
    <w:rPr>
      <w:rFonts w:ascii="Times New Roman" w:hAnsi="Times New Roman"/>
      <w:sz w:val="24"/>
    </w:rPr>
  </w:style>
  <w:style w:styleId="Style_68_ch" w:type="character">
    <w:name w:val="Обычный (веб) Знак"/>
    <w:link w:val="Style_68"/>
    <w:rPr>
      <w:rFonts w:ascii="Times New Roman" w:hAnsi="Times New Roman"/>
      <w:sz w:val="24"/>
    </w:rPr>
  </w:style>
  <w:style w:styleId="Style_69" w:type="paragraph">
    <w:name w:val="Гиперссылка1"/>
    <w:basedOn w:val="Style_32"/>
    <w:link w:val="Style_69_ch"/>
    <w:rPr>
      <w:color w:themeColor="hyperlink" w:val="0000FF"/>
      <w:u w:val="single"/>
    </w:rPr>
  </w:style>
  <w:style w:styleId="Style_69_ch" w:type="character">
    <w:name w:val="Гиперссылка1"/>
    <w:basedOn w:val="Style_32_ch"/>
    <w:link w:val="Style_69"/>
    <w:rPr>
      <w:color w:themeColor="hyperlink" w:val="0000FF"/>
      <w:u w:val="single"/>
    </w:rPr>
  </w:style>
  <w:style w:styleId="Style_70" w:type="paragraph">
    <w:name w:val="toc 5"/>
    <w:next w:val="Style_5"/>
    <w:link w:val="Style_7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70_ch" w:type="character">
    <w:name w:val="toc 5"/>
    <w:link w:val="Style_70"/>
    <w:rPr>
      <w:rFonts w:ascii="XO Thames" w:hAnsi="XO Thames"/>
      <w:sz w:val="28"/>
    </w:rPr>
  </w:style>
  <w:style w:styleId="Style_71" w:type="paragraph">
    <w:name w:val="Текст сноски Знак"/>
    <w:basedOn w:val="Style_32"/>
    <w:link w:val="Style_71_ch"/>
    <w:rPr>
      <w:rFonts w:ascii="Times New Roman" w:hAnsi="Times New Roman"/>
      <w:sz w:val="20"/>
    </w:rPr>
  </w:style>
  <w:style w:styleId="Style_71_ch" w:type="character">
    <w:name w:val="Текст сноски Знак"/>
    <w:basedOn w:val="Style_32_ch"/>
    <w:link w:val="Style_71"/>
    <w:rPr>
      <w:rFonts w:ascii="Times New Roman" w:hAnsi="Times New Roman"/>
      <w:sz w:val="20"/>
    </w:rPr>
  </w:style>
  <w:style w:styleId="Style_72" w:type="paragraph">
    <w:name w:val="Emphasis"/>
    <w:link w:val="Style_72_ch"/>
    <w:rPr>
      <w:i w:val="1"/>
    </w:rPr>
  </w:style>
  <w:style w:styleId="Style_72_ch" w:type="character">
    <w:name w:val="Emphasis"/>
    <w:link w:val="Style_72"/>
    <w:rPr>
      <w:i w:val="1"/>
    </w:rPr>
  </w:style>
  <w:style w:styleId="Style_73" w:type="paragraph">
    <w:name w:val="Normal (Web)"/>
    <w:basedOn w:val="Style_5"/>
    <w:link w:val="Style_73_ch"/>
    <w:pPr>
      <w:widowControl w:val="1"/>
      <w:spacing w:afterAutospacing="on" w:beforeAutospacing="on" w:line="240" w:lineRule="auto"/>
      <w:ind w:firstLine="709"/>
      <w:jc w:val="both"/>
    </w:pPr>
    <w:rPr>
      <w:sz w:val="24"/>
    </w:rPr>
  </w:style>
  <w:style w:styleId="Style_73_ch" w:type="character">
    <w:name w:val="Normal (Web)"/>
    <w:basedOn w:val="Style_5_ch"/>
    <w:link w:val="Style_73"/>
    <w:rPr>
      <w:sz w:val="24"/>
    </w:rPr>
  </w:style>
  <w:style w:styleId="Style_74" w:type="paragraph">
    <w:name w:val="WW8Num1z5"/>
    <w:link w:val="Style_74_ch"/>
  </w:style>
  <w:style w:styleId="Style_74_ch" w:type="character">
    <w:name w:val="WW8Num1z5"/>
    <w:link w:val="Style_74"/>
  </w:style>
  <w:style w:styleId="Style_75" w:type="paragraph">
    <w:name w:val="Текст сноски1"/>
    <w:basedOn w:val="Style_5"/>
    <w:link w:val="Style_75_ch"/>
    <w:pPr>
      <w:widowControl w:val="1"/>
      <w:spacing w:after="60" w:before="0" w:line="240" w:lineRule="auto"/>
      <w:ind/>
      <w:jc w:val="both"/>
    </w:pPr>
    <w:rPr>
      <w:sz w:val="24"/>
    </w:rPr>
  </w:style>
  <w:style w:styleId="Style_75_ch" w:type="character">
    <w:name w:val="Текст сноски1"/>
    <w:basedOn w:val="Style_5_ch"/>
    <w:link w:val="Style_75"/>
    <w:rPr>
      <w:sz w:val="24"/>
    </w:rPr>
  </w:style>
  <w:style w:styleId="Style_76" w:type="paragraph">
    <w:name w:val="Заголовок1"/>
    <w:basedOn w:val="Style_5"/>
    <w:next w:val="Style_28"/>
    <w:link w:val="Style_7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6_ch" w:type="character">
    <w:name w:val="Заголовок1"/>
    <w:basedOn w:val="Style_5_ch"/>
    <w:link w:val="Style_76"/>
    <w:rPr>
      <w:rFonts w:ascii="Liberation Sans" w:hAnsi="Liberation Sans"/>
      <w:sz w:val="28"/>
    </w:rPr>
  </w:style>
  <w:style w:styleId="Style_77" w:type="paragraph">
    <w:name w:val="doc__title_important"/>
    <w:basedOn w:val="Style_32"/>
    <w:link w:val="Style_77_ch"/>
  </w:style>
  <w:style w:styleId="Style_77_ch" w:type="character">
    <w:name w:val="doc__title_important"/>
    <w:basedOn w:val="Style_32_ch"/>
    <w:link w:val="Style_77"/>
  </w:style>
  <w:style w:styleId="Style_78" w:type="paragraph">
    <w:name w:val="footnote reference"/>
    <w:link w:val="Style_78_ch"/>
    <w:rPr>
      <w:vertAlign w:val="superscript"/>
    </w:rPr>
  </w:style>
  <w:style w:styleId="Style_78_ch" w:type="character">
    <w:name w:val="footnote reference"/>
    <w:link w:val="Style_78"/>
    <w:rPr>
      <w:vertAlign w:val="superscript"/>
    </w:rPr>
  </w:style>
  <w:style w:styleId="Style_35" w:type="paragraph">
    <w:name w:val="Содержимое таблицы"/>
    <w:basedOn w:val="Style_5"/>
    <w:link w:val="Style_35_ch"/>
    <w:pPr>
      <w:widowControl w:val="0"/>
      <w:ind/>
    </w:pPr>
  </w:style>
  <w:style w:styleId="Style_35_ch" w:type="character">
    <w:name w:val="Содержимое таблицы"/>
    <w:basedOn w:val="Style_5_ch"/>
    <w:link w:val="Style_35"/>
  </w:style>
  <w:style w:styleId="Style_79" w:type="paragraph">
    <w:name w:val="Subtitle"/>
    <w:next w:val="Style_5"/>
    <w:link w:val="Style_7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79_ch" w:type="character">
    <w:name w:val="Subtitle"/>
    <w:link w:val="Style_79"/>
    <w:rPr>
      <w:rFonts w:ascii="XO Thames" w:hAnsi="XO Thames"/>
      <w:i w:val="1"/>
      <w:sz w:val="24"/>
    </w:rPr>
  </w:style>
  <w:style w:styleId="Style_80" w:type="paragraph">
    <w:name w:val="Основной текст Знак"/>
    <w:link w:val="Style_80_ch"/>
    <w:rPr>
      <w:rFonts w:ascii="Times New Roman" w:hAnsi="Times New Roman"/>
      <w:sz w:val="20"/>
    </w:rPr>
  </w:style>
  <w:style w:styleId="Style_80_ch" w:type="character">
    <w:name w:val="Основной текст Знак"/>
    <w:link w:val="Style_80"/>
    <w:rPr>
      <w:rFonts w:ascii="Times New Roman" w:hAnsi="Times New Roman"/>
      <w:sz w:val="20"/>
    </w:rPr>
  </w:style>
  <w:style w:styleId="Style_81" w:type="paragraph">
    <w:name w:val="No Spacing"/>
    <w:link w:val="Style_81_ch"/>
    <w:pPr>
      <w:widowControl w:val="1"/>
      <w:spacing w:after="0" w:before="0"/>
      <w:ind/>
      <w:jc w:val="left"/>
    </w:pPr>
    <w:rPr>
      <w:rFonts w:ascii="Calibri" w:hAnsi="Calibri"/>
      <w:color w:val="000000"/>
      <w:sz w:val="22"/>
    </w:rPr>
  </w:style>
  <w:style w:styleId="Style_81_ch" w:type="character">
    <w:name w:val="No Spacing"/>
    <w:link w:val="Style_81"/>
    <w:rPr>
      <w:rFonts w:ascii="Calibri" w:hAnsi="Calibri"/>
      <w:color w:val="000000"/>
      <w:sz w:val="22"/>
    </w:rPr>
  </w:style>
  <w:style w:styleId="Style_82" w:type="paragraph">
    <w:name w:val="Title"/>
    <w:basedOn w:val="Style_5"/>
    <w:next w:val="Style_28"/>
    <w:link w:val="Style_82_ch"/>
    <w:uiPriority w:val="10"/>
    <w:qFormat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2_ch" w:type="character">
    <w:name w:val="Title"/>
    <w:basedOn w:val="Style_5_ch"/>
    <w:link w:val="Style_82"/>
    <w:rPr>
      <w:rFonts w:ascii="Liberation Sans" w:hAnsi="Liberation Sans"/>
      <w:sz w:val="28"/>
    </w:rPr>
  </w:style>
  <w:style w:styleId="Style_83" w:type="paragraph">
    <w:name w:val="heading 4"/>
    <w:next w:val="Style_5"/>
    <w:link w:val="Style_8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83_ch" w:type="character">
    <w:name w:val="heading 4"/>
    <w:link w:val="Style_83"/>
    <w:rPr>
      <w:rFonts w:ascii="XO Thames" w:hAnsi="XO Thames"/>
      <w:b w:val="1"/>
      <w:sz w:val="24"/>
    </w:rPr>
  </w:style>
  <w:style w:styleId="Style_84" w:type="paragraph">
    <w:name w:val="WW8Num1z0"/>
    <w:link w:val="Style_84_ch"/>
    <w:rPr>
      <w:rFonts w:ascii="Symbol" w:hAnsi="Symbol"/>
    </w:rPr>
  </w:style>
  <w:style w:styleId="Style_84_ch" w:type="character">
    <w:name w:val="WW8Num1z0"/>
    <w:link w:val="Style_84"/>
    <w:rPr>
      <w:rFonts w:ascii="Symbol" w:hAnsi="Symbol"/>
    </w:rPr>
  </w:style>
  <w:style w:styleId="Style_85" w:type="paragraph">
    <w:name w:val="Heading #1_"/>
    <w:link w:val="Style_85_ch"/>
    <w:rPr>
      <w:b w:val="1"/>
      <w:sz w:val="27"/>
    </w:rPr>
  </w:style>
  <w:style w:styleId="Style_85_ch" w:type="character">
    <w:name w:val="Heading #1_"/>
    <w:link w:val="Style_85"/>
    <w:rPr>
      <w:b w:val="1"/>
      <w:sz w:val="27"/>
    </w:rPr>
  </w:style>
  <w:style w:styleId="Style_86" w:type="paragraph">
    <w:name w:val="heading 2"/>
    <w:basedOn w:val="Style_82"/>
    <w:link w:val="Style_86_ch"/>
    <w:uiPriority w:val="9"/>
    <w:qFormat/>
    <w:pPr>
      <w:widowControl w:val="1"/>
      <w:ind/>
      <w:outlineLvl w:val="1"/>
    </w:pPr>
  </w:style>
  <w:style w:styleId="Style_86_ch" w:type="character">
    <w:name w:val="heading 2"/>
    <w:basedOn w:val="Style_82_ch"/>
    <w:link w:val="Style_86"/>
  </w:style>
  <w:style w:styleId="Style_23" w:type="paragraph">
    <w:name w:val="annotation text"/>
    <w:basedOn w:val="Style_5"/>
    <w:link w:val="Style_23_ch"/>
    <w:pPr>
      <w:widowControl w:val="1"/>
      <w:spacing w:line="240" w:lineRule="auto"/>
      <w:ind/>
    </w:pPr>
    <w:rPr>
      <w:sz w:val="20"/>
    </w:rPr>
  </w:style>
  <w:style w:styleId="Style_23_ch" w:type="character">
    <w:name w:val="annotation text"/>
    <w:basedOn w:val="Style_5_ch"/>
    <w:link w:val="Style_23"/>
    <w:rPr>
      <w:sz w:val="20"/>
    </w:rPr>
  </w:style>
  <w:style w:styleId="Style_87" w:type="paragraph">
    <w:name w:val="Body Text 2"/>
    <w:link w:val="Style_87_ch"/>
    <w:pPr>
      <w:widowControl w:val="0"/>
      <w:spacing w:after="0" w:before="120" w:line="100" w:lineRule="atLeast"/>
      <w:ind/>
      <w:jc w:val="both"/>
    </w:pPr>
    <w:rPr>
      <w:rFonts w:ascii="Times New Roman" w:hAnsi="Times New Roman"/>
      <w:color w:val="000000"/>
      <w:sz w:val="24"/>
    </w:rPr>
  </w:style>
  <w:style w:styleId="Style_87_ch" w:type="character">
    <w:name w:val="Body Text 2"/>
    <w:link w:val="Style_87"/>
    <w:rPr>
      <w:rFonts w:ascii="Times New Roman" w:hAnsi="Times New Roman"/>
      <w:color w:val="000000"/>
      <w:sz w:val="24"/>
    </w:rPr>
  </w:style>
  <w:style w:styleId="Style_2" w:type="paragraph">
    <w:name w:val="List Paragraph"/>
    <w:basedOn w:val="Style_5"/>
    <w:link w:val="Style_2_ch"/>
    <w:pPr>
      <w:widowControl w:val="1"/>
      <w:spacing w:after="0" w:before="0"/>
      <w:ind w:left="720"/>
      <w:contextualSpacing w:val="1"/>
    </w:pPr>
  </w:style>
  <w:style w:styleId="Style_2_ch" w:type="character">
    <w:name w:val="List Paragraph"/>
    <w:basedOn w:val="Style_5_ch"/>
    <w:link w:val="Style_2"/>
  </w:style>
  <w:style w:styleId="Style_1" w:type="paragraph">
    <w:name w:val="Body Text First Indent"/>
    <w:basedOn w:val="Style_28"/>
    <w:link w:val="Style_1_ch"/>
    <w:pPr>
      <w:widowControl w:val="0"/>
      <w:spacing w:after="120" w:before="0" w:line="240" w:lineRule="auto"/>
      <w:ind w:firstLine="210"/>
    </w:pPr>
    <w:rPr>
      <w:color w:val="000000"/>
    </w:rPr>
  </w:style>
  <w:style w:styleId="Style_1_ch" w:type="character">
    <w:name w:val="Body Text First Indent"/>
    <w:basedOn w:val="Style_28_ch"/>
    <w:link w:val="Style_1"/>
    <w:rPr>
      <w:color w:val="000000"/>
    </w:rPr>
  </w:style>
  <w:style w:styleId="Style_88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Сетка таблицы1"/>
    <w:basedOn w:val="Style_3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2026-06-26T10:48:00Z</dcterms:created>
  <dcterms:modified xsi:type="dcterms:W3CDTF">2026-10-14T12:13:51Z</dcterms:modified>
</cp:coreProperties>
</file>