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9.xml" ContentType="application/vnd.openxmlformats-officedocument.wordprocessingml.footer+xml"/>
  <Override PartName="/word/numbering.xml" ContentType="application/vnd.openxmlformats-officedocument.wordprocessingml.numbering+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word/footer3.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3"/>
        <w:shd w:val="clear" w:color="auto" w:fill="auto"/>
        <w:spacing w:lineRule="auto" w:line="276" w:before="0" w:after="260"/>
        <w:ind w:hanging="0"/>
        <w:jc w:val="both"/>
        <w:rPr/>
      </w:pPr>
      <w:r>
        <w:rPr>
          <w:b/>
          <w:bCs/>
        </w:rPr>
        <w:t xml:space="preserve">ПРОЕКТ </w:t>
      </w:r>
    </w:p>
    <w:p>
      <w:pPr>
        <w:pStyle w:val="13"/>
        <w:shd w:val="clear" w:color="auto" w:fill="auto"/>
        <w:tabs>
          <w:tab w:val="clear" w:pos="708"/>
          <w:tab w:val="left" w:pos="6086" w:leader="underscore"/>
        </w:tabs>
        <w:ind w:hanging="0"/>
        <w:jc w:val="center"/>
        <w:rPr/>
      </w:pPr>
      <w:r>
        <w:rPr>
          <w:b/>
          <w:bCs/>
        </w:rPr>
        <w:t>ГОСУДАРСТВЕННЫЙ КОНТРАКТ № __</w:t>
      </w:r>
    </w:p>
    <w:p>
      <w:pPr>
        <w:pStyle w:val="14"/>
        <w:keepNext w:val="true"/>
        <w:keepLines/>
        <w:shd w:val="clear" w:color="auto" w:fill="auto"/>
        <w:spacing w:before="0" w:after="20"/>
        <w:rPr/>
      </w:pPr>
      <w:r>
        <w:rPr/>
        <w:t>на поставку шкафов архивных металлических для нужд</w:t>
      </w:r>
    </w:p>
    <w:p>
      <w:pPr>
        <w:pStyle w:val="14"/>
        <w:keepNext w:val="true"/>
        <w:keepLines/>
        <w:shd w:val="clear" w:color="auto" w:fill="auto"/>
        <w:spacing w:before="0" w:after="20"/>
        <w:rPr/>
      </w:pPr>
      <w:bookmarkStart w:id="0" w:name="bookmark0"/>
      <w:bookmarkStart w:id="1" w:name="bookmark1"/>
      <w:r>
        <w:rPr/>
        <w:t>ФКУ «ГБ МСЭ по Московской области» Минтруда России</w:t>
      </w:r>
      <w:bookmarkEnd w:id="0"/>
      <w:bookmarkEnd w:id="1"/>
    </w:p>
    <w:p>
      <w:pPr>
        <w:pStyle w:val="13"/>
        <w:shd w:val="clear" w:color="auto" w:fill="auto"/>
        <w:tabs>
          <w:tab w:val="clear" w:pos="708"/>
          <w:tab w:val="left" w:pos="720" w:leader="underscore"/>
          <w:tab w:val="left" w:pos="2222" w:leader="underscore"/>
        </w:tabs>
        <w:spacing w:before="0" w:after="260"/>
        <w:ind w:hanging="0"/>
        <w:jc w:val="right"/>
        <w:rPr/>
      </w:pPr>
      <w:r>
        <mc:AlternateContent>
          <mc:Choice Requires="wps">
            <w:drawing>
              <wp:anchor distT="0" distB="0" distL="114300" distR="114300" simplePos="0" relativeHeight="22" behindDoc="0" locked="0" layoutInCell="0" allowOverlap="1">
                <wp:simplePos x="0" y="0"/>
                <wp:positionH relativeFrom="page">
                  <wp:posOffset>758190</wp:posOffset>
                </wp:positionH>
                <wp:positionV relativeFrom="paragraph">
                  <wp:posOffset>12700</wp:posOffset>
                </wp:positionV>
                <wp:extent cx="679450" cy="201295"/>
                <wp:effectExtent l="0" t="0" r="0" b="0"/>
                <wp:wrapSquare wrapText="bothSides"/>
                <wp:docPr id="1" name="Врезка1"/>
                <a:graphic xmlns:a="http://schemas.openxmlformats.org/drawingml/2006/main">
                  <a:graphicData uri="http://schemas.microsoft.com/office/word/2010/wordprocessingShape">
                    <wps:wsp>
                      <wps:cNvSpPr/>
                      <wps:spPr>
                        <a:xfrm>
                          <a:off x="0" y="0"/>
                          <a:ext cx="679320" cy="201240"/>
                        </a:xfrm>
                        <a:prstGeom prst="rect">
                          <a:avLst/>
                        </a:prstGeom>
                        <a:noFill/>
                        <a:ln w="0">
                          <a:noFill/>
                        </a:ln>
                      </wps:spPr>
                      <wps:style>
                        <a:lnRef idx="0"/>
                        <a:fillRef idx="0"/>
                        <a:effectRef idx="0"/>
                        <a:fontRef idx="minor"/>
                      </wps:style>
                      <wps:txbx>
                        <w:txbxContent>
                          <w:p>
                            <w:pPr>
                              <w:pStyle w:val="13"/>
                              <w:shd w:val="clear" w:color="auto" w:fill="auto"/>
                              <w:ind w:hanging="0"/>
                              <w:rPr/>
                            </w:pPr>
                            <w:r>
                              <w:rPr/>
                              <w:t>г. Москва</w:t>
                            </w:r>
                          </w:p>
                        </w:txbxContent>
                      </wps:txbx>
                      <wps:bodyPr lIns="0" tIns="0" rIns="0" bIns="0" anchor="t">
                        <a:noAutofit/>
                      </wps:bodyPr>
                    </wps:wsp>
                  </a:graphicData>
                </a:graphic>
              </wp:anchor>
            </w:drawing>
          </mc:Choice>
          <mc:Fallback>
            <w:pict>
              <v:rect id="shape_0" stroked="f" o:allowincell="f" style="position:absolute;margin-left:59.7pt;margin-top:1pt;width:53.45pt;height:15.8pt;mso-wrap-style:square;v-text-anchor:top;mso-position-horizontal-relative:page">
                <v:fill o:detectmouseclick="t" on="false"/>
                <v:stroke color="#3465a4" joinstyle="round" endcap="flat"/>
                <v:textbox>
                  <w:txbxContent>
                    <w:p>
                      <w:pPr>
                        <w:pStyle w:val="13"/>
                        <w:shd w:val="clear" w:color="auto" w:fill="auto"/>
                        <w:ind w:hanging="0"/>
                        <w:rPr/>
                      </w:pPr>
                      <w:r>
                        <w:rPr/>
                        <w:t>г. Москва</w:t>
                      </w:r>
                    </w:p>
                  </w:txbxContent>
                </v:textbox>
                <w10:wrap type="square"/>
              </v:rect>
            </w:pict>
          </mc:Fallback>
        </mc:AlternateContent>
      </w:r>
      <w:r>
        <w:rPr/>
        <w:t>«</w:t>
        <w:tab/>
        <w:t xml:space="preserve">» </w:t>
        <w:tab/>
        <w:t xml:space="preserve"> 2026 г.</w:t>
      </w:r>
    </w:p>
    <w:p>
      <w:pPr>
        <w:pStyle w:val="13"/>
        <w:shd w:val="clear" w:color="auto" w:fill="auto"/>
        <w:tabs>
          <w:tab w:val="clear" w:pos="708"/>
          <w:tab w:val="left" w:pos="7426" w:leader="underscore"/>
        </w:tabs>
        <w:ind w:firstLine="580"/>
        <w:jc w:val="both"/>
        <w:rPr>
          <w:shd w:fill="FFFFFF" w:val="clear"/>
        </w:rPr>
      </w:pPr>
      <w:r>
        <w:rPr/>
        <w:t>Федеральное казенное учреждение «Главное бюро медико-социальной экспертизы по Московской области» Министерства труда и социальной защиты Российской Федерации (ФКУ «ГБ МСЭ по Московской области» Минтруда России), именуемое в дальнейшем    «Государственный заказчик», в лице _______</w:t>
      </w:r>
      <w:r>
        <w:rPr>
          <w:shd w:fill="FFFFFF" w:val="clear"/>
        </w:rPr>
        <w:t>, действующего на основании ________</w:t>
      </w:r>
      <w:r>
        <w:rPr/>
        <w:t>, от имени Российской Федерации, с одной стороны, и</w:t>
      </w:r>
      <w:r>
        <w:rPr>
          <w:i/>
          <w:iCs/>
        </w:rPr>
        <w:t>____________________(для юридических лиц указываются полное наименование, организационно-правовая форма, ОГРН, для индивидуальных предпринимателей - фамилия, имя, отчество, основной государственный регистрационный номер индивидуального предпринимателя (ОГРНИП))</w:t>
      </w:r>
      <w:r>
        <w:rPr/>
        <w:t>, именуемый в дальнейшем «Поставщик», в лице __________ действующего на основании __________________, с другой стороны, вместе именуемые «Стороны» и каждый в отдельности «Сторона», с соблюден</w:t>
      </w:r>
      <w:r>
        <w:rPr>
          <w:shd w:fill="auto" w:val="clear"/>
        </w:rPr>
        <w:t xml:space="preserve">ием требований Гражданского кодекса Российской Федерации, на основании </w:t>
      </w:r>
      <w:r>
        <w:rPr>
          <w:b/>
          <w:bCs/>
          <w:shd w:fill="auto" w:val="clear"/>
        </w:rPr>
        <w:t>п. 4 ч. 1 ст. 93</w:t>
      </w:r>
      <w:r>
        <w:rPr>
          <w:shd w:fill="auto" w:val="clear"/>
        </w:rPr>
        <w:t xml:space="preserve"> Ф</w:t>
      </w:r>
      <w:r>
        <w:rPr/>
        <w:t>едерального закона от 05.04.2013 № 44-ФЗ (далее — Федеральный закон), заключили настоящий Государственный контракт (далее - Контракт) о нижеследующем:</w:t>
      </w:r>
    </w:p>
    <w:p>
      <w:pPr>
        <w:pStyle w:val="13"/>
        <w:shd w:val="clear" w:color="auto" w:fill="auto"/>
        <w:tabs>
          <w:tab w:val="clear" w:pos="708"/>
          <w:tab w:val="left" w:pos="7426" w:leader="underscore"/>
        </w:tabs>
        <w:ind w:firstLine="580"/>
        <w:jc w:val="both"/>
        <w:rPr/>
      </w:pPr>
      <w:r>
        <w:rPr/>
      </w:r>
    </w:p>
    <w:p>
      <w:pPr>
        <w:pStyle w:val="14"/>
        <w:keepNext w:val="true"/>
        <w:keepLines/>
        <w:numPr>
          <w:ilvl w:val="0"/>
          <w:numId w:val="1"/>
        </w:numPr>
        <w:shd w:val="clear" w:color="auto" w:fill="auto"/>
        <w:tabs>
          <w:tab w:val="clear" w:pos="708"/>
          <w:tab w:val="left" w:pos="318" w:leader="none"/>
        </w:tabs>
        <w:spacing w:before="0" w:after="0"/>
        <w:rPr/>
      </w:pPr>
      <w:bookmarkStart w:id="2" w:name="bookmark2"/>
      <w:bookmarkStart w:id="3" w:name="bookmark3"/>
      <w:r>
        <w:rPr/>
        <w:t>ПРЕДМЕТ КОНТРАКТА</w:t>
      </w:r>
      <w:bookmarkEnd w:id="2"/>
      <w:bookmarkEnd w:id="3"/>
    </w:p>
    <w:p>
      <w:pPr>
        <w:pStyle w:val="13"/>
        <w:numPr>
          <w:ilvl w:val="1"/>
          <w:numId w:val="1"/>
        </w:numPr>
        <w:shd w:val="clear" w:color="auto" w:fill="auto"/>
        <w:tabs>
          <w:tab w:val="clear" w:pos="708"/>
          <w:tab w:val="left" w:pos="1066" w:leader="none"/>
        </w:tabs>
        <w:ind w:firstLine="580"/>
        <w:jc w:val="both"/>
        <w:rPr/>
      </w:pPr>
      <w:r>
        <w:rPr/>
        <w:t>Поставщик обязуется поставить шкафы архивные металлические (далее — Товар) для нужд Государственного заказчика в порядке и на условиях предусмотренных Контрактом, а Государственный заказчик обязуется принять и оплатить Товар.</w:t>
      </w:r>
    </w:p>
    <w:p>
      <w:pPr>
        <w:pStyle w:val="13"/>
        <w:numPr>
          <w:ilvl w:val="1"/>
          <w:numId w:val="1"/>
        </w:numPr>
        <w:shd w:val="clear" w:color="auto" w:fill="auto"/>
        <w:tabs>
          <w:tab w:val="clear" w:pos="708"/>
          <w:tab w:val="left" w:pos="1080" w:leader="none"/>
        </w:tabs>
        <w:ind w:firstLine="580"/>
        <w:jc w:val="both"/>
        <w:rPr/>
      </w:pPr>
      <w:r>
        <w:rPr/>
        <w:t>Наименование, количество и иные характеристики поставляемого Товара указаны в Спецификации (Приложение № 1 к Контракту) и Техническом задании (Приложение № 3 к Контракту) являющихся неотъемлемой частью Контракта.</w:t>
      </w:r>
    </w:p>
    <w:p>
      <w:pPr>
        <w:pStyle w:val="13"/>
        <w:numPr>
          <w:ilvl w:val="1"/>
          <w:numId w:val="1"/>
        </w:numPr>
        <w:shd w:val="clear" w:color="auto" w:fill="auto"/>
        <w:tabs>
          <w:tab w:val="clear" w:pos="708"/>
          <w:tab w:val="left" w:pos="1080" w:leader="none"/>
        </w:tabs>
        <w:ind w:firstLine="580"/>
        <w:jc w:val="both"/>
        <w:rPr>
          <w:b/>
          <w:bCs/>
        </w:rPr>
      </w:pPr>
      <w:r>
        <w:rPr>
          <w:b/>
          <w:bCs/>
        </w:rPr>
        <w:t>Место поставки Товара:</w:t>
      </w:r>
      <w:r>
        <w:rPr>
          <w:rFonts w:cs="Times New Roman"/>
          <w:sz w:val="24"/>
          <w:szCs w:val="24"/>
        </w:rPr>
        <w:t xml:space="preserve"> Московская обл., г. Домодедово, ул. Гагарина, д. 50.</w:t>
      </w:r>
    </w:p>
    <w:p>
      <w:pPr>
        <w:pStyle w:val="13"/>
        <w:numPr>
          <w:ilvl w:val="1"/>
          <w:numId w:val="1"/>
        </w:numPr>
        <w:shd w:val="clear" w:color="auto" w:fill="auto"/>
        <w:tabs>
          <w:tab w:val="clear" w:pos="708"/>
          <w:tab w:val="left" w:pos="1080" w:leader="none"/>
        </w:tabs>
        <w:spacing w:before="0" w:after="0"/>
        <w:ind w:firstLine="580"/>
        <w:jc w:val="both"/>
        <w:rPr/>
      </w:pPr>
      <w:r>
        <w:rPr/>
        <w:t xml:space="preserve">Срок поставки Товара: </w:t>
      </w:r>
      <w:r>
        <w:rPr>
          <w:b/>
          <w:bCs/>
          <w:i/>
          <w:iCs/>
        </w:rPr>
        <w:t>в течение 15 (пятнадцать) рабочих дней от 16.11.2026 г.</w:t>
      </w:r>
    </w:p>
    <w:p>
      <w:pPr>
        <w:pStyle w:val="13"/>
        <w:numPr>
          <w:ilvl w:val="0"/>
          <w:numId w:val="0"/>
        </w:numPr>
        <w:shd w:val="clear" w:color="auto" w:fill="auto"/>
        <w:tabs>
          <w:tab w:val="clear" w:pos="708"/>
          <w:tab w:val="left" w:pos="1080" w:leader="none"/>
        </w:tabs>
        <w:spacing w:before="0" w:after="0"/>
        <w:ind w:hanging="0" w:left="0"/>
        <w:jc w:val="both"/>
        <w:rPr/>
      </w:pPr>
      <w:r>
        <w:rPr/>
      </w:r>
    </w:p>
    <w:p>
      <w:pPr>
        <w:pStyle w:val="14"/>
        <w:keepNext w:val="true"/>
        <w:keepLines/>
        <w:numPr>
          <w:ilvl w:val="0"/>
          <w:numId w:val="1"/>
        </w:numPr>
        <w:shd w:val="clear" w:color="auto" w:fill="auto"/>
        <w:tabs>
          <w:tab w:val="clear" w:pos="708"/>
          <w:tab w:val="left" w:pos="318" w:leader="none"/>
        </w:tabs>
        <w:spacing w:before="0" w:after="0"/>
        <w:rPr/>
      </w:pPr>
      <w:bookmarkStart w:id="4" w:name="bookmark4"/>
      <w:bookmarkStart w:id="5" w:name="bookmark5"/>
      <w:r>
        <w:rPr/>
        <w:t>ЦЕНА КОНТРАКТА И ПОРЯДОК РАСЧЕТА</w:t>
      </w:r>
      <w:bookmarkEnd w:id="4"/>
      <w:bookmarkEnd w:id="5"/>
    </w:p>
    <w:p>
      <w:pPr>
        <w:pStyle w:val="13"/>
        <w:numPr>
          <w:ilvl w:val="1"/>
          <w:numId w:val="1"/>
        </w:numPr>
        <w:shd w:val="clear" w:color="auto" w:fill="auto"/>
        <w:tabs>
          <w:tab w:val="clear" w:pos="708"/>
          <w:tab w:val="left" w:pos="1080" w:leader="none"/>
          <w:tab w:val="left" w:pos="5860" w:leader="underscore"/>
          <w:tab w:val="left" w:pos="8630" w:leader="underscore"/>
        </w:tabs>
        <w:ind w:firstLine="580"/>
        <w:jc w:val="both"/>
        <w:rPr/>
      </w:pPr>
      <w:r>
        <w:rPr/>
        <w:t xml:space="preserve">Цена Контракта составляет ____ </w:t>
      </w:r>
      <w:r>
        <w:rPr>
          <w:b/>
          <w:bCs/>
          <w:i/>
          <w:iCs/>
        </w:rPr>
        <w:t>(___) рублей __ копеек</w:t>
      </w:r>
      <w:r>
        <w:rPr/>
        <w:t xml:space="preserve">, </w:t>
      </w:r>
      <w:r>
        <w:rPr>
          <w:i/>
          <w:iCs/>
        </w:rPr>
        <w:t>с учетом НДС - ____ рублей __ копеек или НДС не облагается (указать основания)</w:t>
      </w:r>
      <w:r>
        <w:rPr/>
        <w:t>.</w:t>
      </w:r>
    </w:p>
    <w:p>
      <w:pPr>
        <w:pStyle w:val="13"/>
        <w:shd w:val="clear" w:color="auto" w:fill="auto"/>
        <w:ind w:firstLine="580"/>
        <w:jc w:val="both"/>
        <w:rPr/>
      </w:pPr>
      <w:r>
        <w:rPr/>
        <w:t>Цена Контракта формируется с учетом стоимости всего Товара, всех расходов, связанных с исполнением настоящего Контракта, в том числе с учетом налогов и других обязательных платежей.</w:t>
      </w:r>
    </w:p>
    <w:p>
      <w:pPr>
        <w:pStyle w:val="13"/>
        <w:shd w:val="clear" w:color="auto" w:fill="auto"/>
        <w:ind w:firstLine="580"/>
        <w:jc w:val="both"/>
        <w:rPr/>
      </w:pPr>
      <w:r>
        <w:rPr/>
        <w:t>Цена Контракта является твердой и не может изменяться в ходе его исполнения, кроме случаев, указанных в пункте 2.6. Контракта.</w:t>
      </w:r>
    </w:p>
    <w:p>
      <w:pPr>
        <w:pStyle w:val="13"/>
        <w:shd w:val="clear" w:color="auto" w:fill="auto"/>
        <w:ind w:firstLine="580"/>
        <w:jc w:val="both"/>
        <w:rPr/>
      </w:pPr>
      <w:r>
        <w:rPr/>
        <w:t>Цена единицы Товара определена в Спецификации (Приложение № 1 к Контракту).</w:t>
      </w:r>
    </w:p>
    <w:p>
      <w:pPr>
        <w:pStyle w:val="13"/>
        <w:shd w:val="clear" w:color="auto" w:fill="auto"/>
        <w:ind w:firstLine="580"/>
        <w:jc w:val="both"/>
        <w:rPr/>
      </w:pPr>
      <w:r>
        <w:rPr/>
        <w:t>2.3. В цену Товара входит доставка, разгрузка, сборка поставленного Товара по адресу Государственного заказчика, указанного в пункте 1.3. настоящего Контракта.</w:t>
      </w:r>
    </w:p>
    <w:p>
      <w:pPr>
        <w:pStyle w:val="13"/>
        <w:numPr>
          <w:ilvl w:val="1"/>
          <w:numId w:val="1"/>
        </w:numPr>
        <w:shd w:val="clear" w:color="auto" w:fill="auto"/>
        <w:tabs>
          <w:tab w:val="clear" w:pos="708"/>
          <w:tab w:val="left" w:pos="1066" w:leader="none"/>
        </w:tabs>
        <w:spacing w:before="0" w:after="0"/>
        <w:ind w:firstLine="580"/>
        <w:jc w:val="both"/>
        <w:rPr/>
      </w:pPr>
      <w:r>
        <w:rPr/>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 в соответствии с п. 2 ч. 13 ст. 34 Федерального закона от 05.04.2013 № 44-ФЗ.</w:t>
      </w:r>
    </w:p>
    <w:p>
      <w:pPr>
        <w:pStyle w:val="13"/>
        <w:numPr>
          <w:ilvl w:val="1"/>
          <w:numId w:val="1"/>
        </w:numPr>
        <w:shd w:val="clear" w:color="auto" w:fill="auto"/>
        <w:tabs>
          <w:tab w:val="clear" w:pos="708"/>
          <w:tab w:val="left" w:pos="1066" w:leader="none"/>
        </w:tabs>
        <w:ind w:firstLine="580"/>
        <w:jc w:val="both"/>
        <w:rPr/>
      </w:pPr>
      <w:r>
        <w:rPr/>
        <w:t>Государственный заказчик оплачивает единовременно фактически поставленный и принятый без замечаний Товар, в российских рублях путем перечисления денежных средств на расчетный счет Поставщика в течение 7 (семи) рабочих дней с даты подписания Акта сдачи- приемки Товара (по форме Приложения № 2 к Контракту) или УПД, на основании выставленного Поставщиком счета, счёт-фактуры (при необходимости).</w:t>
      </w:r>
    </w:p>
    <w:p>
      <w:pPr>
        <w:pStyle w:val="13"/>
        <w:shd w:val="clear" w:color="auto" w:fill="auto"/>
        <w:ind w:firstLine="580"/>
        <w:jc w:val="both"/>
        <w:rPr/>
      </w:pPr>
      <w:r>
        <w:rPr/>
        <w:t>Оплата по Контракту осуществляется за счет средств федерального бюджета в пределах лимитов бюджетных обязательств в 2026 году на поставку Товаров, предусмотренных в настоящем Контракте.</w:t>
      </w:r>
    </w:p>
    <w:p>
      <w:pPr>
        <w:pStyle w:val="13"/>
        <w:numPr>
          <w:ilvl w:val="1"/>
          <w:numId w:val="1"/>
        </w:numPr>
        <w:shd w:val="clear" w:color="auto" w:fill="auto"/>
        <w:tabs>
          <w:tab w:val="clear" w:pos="708"/>
          <w:tab w:val="left" w:pos="1066" w:leader="none"/>
        </w:tabs>
        <w:ind w:firstLine="580"/>
        <w:jc w:val="both"/>
        <w:rPr/>
      </w:pPr>
      <w:r>
        <w:rPr/>
        <w:t>Государственный заказчик считается исполнившим свое обязательство по оплате с момента списания денежных средств с лицевого счета Государственного заказчика.</w:t>
      </w:r>
    </w:p>
    <w:p>
      <w:pPr>
        <w:pStyle w:val="13"/>
        <w:numPr>
          <w:ilvl w:val="1"/>
          <w:numId w:val="1"/>
        </w:numPr>
        <w:shd w:val="clear" w:color="auto" w:fill="auto"/>
        <w:tabs>
          <w:tab w:val="clear" w:pos="708"/>
          <w:tab w:val="left" w:pos="1066" w:leader="none"/>
        </w:tabs>
        <w:ind w:firstLine="580"/>
        <w:jc w:val="both"/>
        <w:rPr/>
      </w:pPr>
      <w:r>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 95 Федерального закона от 05.04.2013 № 44-ФЗ.</w:t>
      </w:r>
    </w:p>
    <w:p>
      <w:pPr>
        <w:pStyle w:val="13"/>
        <w:numPr>
          <w:ilvl w:val="1"/>
          <w:numId w:val="1"/>
        </w:numPr>
        <w:shd w:val="clear" w:color="auto" w:fill="auto"/>
        <w:tabs>
          <w:tab w:val="clear" w:pos="708"/>
          <w:tab w:val="left" w:pos="1066" w:leader="none"/>
        </w:tabs>
        <w:ind w:firstLine="580"/>
        <w:jc w:val="both"/>
        <w:rPr/>
      </w:pPr>
      <w:r>
        <w:rPr/>
        <w:t>В случае уменьшения Государственному заказчику как получателю бюджетных средств ранее доведенных лимитов бюджетных обязательств, приводящего к невозможности исполнения Государственным заказчиком обязательств, вытекающих из настоящего Контракта, Стороны должны обеспечить согласование в соответствии с законодательством Российской Федерации новых условий Контракта, в том числе по цене и (или) срокам поставки и (или) количества Товара.</w:t>
      </w:r>
    </w:p>
    <w:p>
      <w:pPr>
        <w:pStyle w:val="13"/>
        <w:numPr>
          <w:ilvl w:val="1"/>
          <w:numId w:val="1"/>
        </w:numPr>
        <w:shd w:val="clear" w:color="auto" w:fill="auto"/>
        <w:tabs>
          <w:tab w:val="clear" w:pos="708"/>
          <w:tab w:val="left" w:pos="1080" w:leader="none"/>
        </w:tabs>
        <w:ind w:firstLine="580"/>
        <w:jc w:val="both"/>
        <w:rPr/>
      </w:pPr>
      <w:r>
        <w:rPr/>
        <w:t>Авансирование по настоящему Контракту не предусмотрено.</w:t>
      </w:r>
    </w:p>
    <w:p>
      <w:pPr>
        <w:pStyle w:val="13"/>
        <w:shd w:val="clear" w:color="auto" w:fill="auto"/>
        <w:tabs>
          <w:tab w:val="clear" w:pos="708"/>
          <w:tab w:val="left" w:pos="1080" w:leader="none"/>
        </w:tabs>
        <w:ind w:hanging="0" w:left="580"/>
        <w:jc w:val="both"/>
        <w:rPr/>
      </w:pPr>
      <w:r>
        <w:rPr/>
      </w:r>
    </w:p>
    <w:p>
      <w:pPr>
        <w:pStyle w:val="14"/>
        <w:keepNext w:val="true"/>
        <w:keepLines/>
        <w:numPr>
          <w:ilvl w:val="0"/>
          <w:numId w:val="1"/>
        </w:numPr>
        <w:shd w:val="clear" w:color="auto" w:fill="auto"/>
        <w:tabs>
          <w:tab w:val="clear" w:pos="708"/>
          <w:tab w:val="left" w:pos="303" w:leader="none"/>
        </w:tabs>
        <w:spacing w:before="0" w:after="0"/>
        <w:rPr/>
      </w:pPr>
      <w:bookmarkStart w:id="6" w:name="bookmark6"/>
      <w:bookmarkStart w:id="7" w:name="bookmark7"/>
      <w:r>
        <w:rPr/>
        <w:t>ПРАВА И ОБЯЗАННОСТИ СТОРОН</w:t>
      </w:r>
      <w:bookmarkEnd w:id="6"/>
      <w:bookmarkEnd w:id="7"/>
    </w:p>
    <w:p>
      <w:pPr>
        <w:pStyle w:val="13"/>
        <w:numPr>
          <w:ilvl w:val="1"/>
          <w:numId w:val="1"/>
        </w:numPr>
        <w:shd w:val="clear" w:color="auto" w:fill="auto"/>
        <w:tabs>
          <w:tab w:val="clear" w:pos="708"/>
          <w:tab w:val="left" w:pos="1080" w:leader="none"/>
        </w:tabs>
        <w:ind w:firstLine="580"/>
        <w:jc w:val="both"/>
        <w:rPr>
          <w:b/>
          <w:bCs/>
        </w:rPr>
      </w:pPr>
      <w:r>
        <w:rPr>
          <w:b/>
          <w:bCs/>
        </w:rPr>
        <w:t>Государственный заказчик вправе:</w:t>
      </w:r>
    </w:p>
    <w:p>
      <w:pPr>
        <w:pStyle w:val="13"/>
        <w:numPr>
          <w:ilvl w:val="2"/>
          <w:numId w:val="1"/>
        </w:numPr>
        <w:shd w:val="clear" w:color="auto" w:fill="auto"/>
        <w:tabs>
          <w:tab w:val="clear" w:pos="708"/>
          <w:tab w:val="left" w:pos="1262" w:leader="none"/>
        </w:tabs>
        <w:ind w:firstLine="580"/>
        <w:jc w:val="both"/>
        <w:rPr/>
      </w:pPr>
      <w:r>
        <w:rPr/>
        <w:t>Досрочно принять и оплатить Товар.</w:t>
      </w:r>
    </w:p>
    <w:p>
      <w:pPr>
        <w:pStyle w:val="13"/>
        <w:numPr>
          <w:ilvl w:val="2"/>
          <w:numId w:val="1"/>
        </w:numPr>
        <w:shd w:val="clear" w:color="auto" w:fill="auto"/>
        <w:tabs>
          <w:tab w:val="clear" w:pos="708"/>
          <w:tab w:val="left" w:pos="1249" w:leader="none"/>
        </w:tabs>
        <w:ind w:firstLine="580"/>
        <w:jc w:val="both"/>
        <w:rPr/>
      </w:pPr>
      <w:r>
        <w:rPr/>
        <w:t>Привлекать экспертов, экспертные организации для проверки соответствия качества поставляемого Товара требованиям, установленным Контрактом.</w:t>
      </w:r>
    </w:p>
    <w:p>
      <w:pPr>
        <w:pStyle w:val="13"/>
        <w:numPr>
          <w:ilvl w:val="2"/>
          <w:numId w:val="1"/>
        </w:numPr>
        <w:shd w:val="clear" w:color="auto" w:fill="auto"/>
        <w:tabs>
          <w:tab w:val="clear" w:pos="708"/>
          <w:tab w:val="left" w:pos="1262" w:leader="none"/>
        </w:tabs>
        <w:ind w:firstLine="580"/>
        <w:jc w:val="both"/>
        <w:rPr/>
      </w:pPr>
      <w:r>
        <w:rPr/>
        <w:t>Осуществлять контроль за исполнением настоящего Контракта.</w:t>
      </w:r>
    </w:p>
    <w:p>
      <w:pPr>
        <w:pStyle w:val="13"/>
        <w:numPr>
          <w:ilvl w:val="2"/>
          <w:numId w:val="1"/>
        </w:numPr>
        <w:shd w:val="clear" w:color="auto" w:fill="auto"/>
        <w:tabs>
          <w:tab w:val="clear" w:pos="708"/>
          <w:tab w:val="left" w:pos="1249" w:leader="none"/>
        </w:tabs>
        <w:ind w:firstLine="580"/>
        <w:jc w:val="both"/>
        <w:rPr/>
      </w:pPr>
      <w:r>
        <w:rPr/>
        <w:t>Требовать у Поставщика надлежащего исполнения настоящего Контракта, предоставления надлежащим образом оформленной отчетной документации, подтверждающей исполнение обязательств в соответствии с настоящим Контрактом одним из способов:</w:t>
      </w:r>
    </w:p>
    <w:p>
      <w:pPr>
        <w:pStyle w:val="NoSpacing"/>
        <w:tabs>
          <w:tab w:val="clear" w:pos="708"/>
          <w:tab w:val="left" w:pos="709" w:leader="none"/>
        </w:tabs>
        <w:ind w:firstLine="567"/>
        <w:rPr>
          <w:rFonts w:ascii="Times New Roman" w:hAnsi="Times New Roman"/>
          <w:b/>
          <w:bCs/>
          <w:i/>
          <w:iCs/>
        </w:rPr>
      </w:pPr>
      <w:r>
        <w:rPr>
          <w:rFonts w:ascii="Times New Roman" w:hAnsi="Times New Roman"/>
          <w:b/>
          <w:bCs/>
          <w:i/>
          <w:iCs/>
        </w:rPr>
        <w:t>Способ 1.</w:t>
      </w:r>
    </w:p>
    <w:p>
      <w:pPr>
        <w:pStyle w:val="NoSpacing"/>
        <w:tabs>
          <w:tab w:val="clear" w:pos="708"/>
          <w:tab w:val="left" w:pos="709" w:leader="none"/>
        </w:tabs>
        <w:ind w:firstLine="567"/>
        <w:rPr>
          <w:rFonts w:ascii="Times New Roman" w:hAnsi="Times New Roman"/>
          <w:b/>
          <w:bCs/>
          <w:i/>
          <w:iCs/>
        </w:rPr>
      </w:pPr>
      <w:r>
        <w:rPr>
          <w:rFonts w:ascii="Times New Roman" w:hAnsi="Times New Roman"/>
          <w:b/>
          <w:bCs/>
          <w:i/>
          <w:iCs/>
        </w:rPr>
        <w:t>В случае обмена через операторов электронного документооборота электронными документами:</w:t>
      </w:r>
    </w:p>
    <w:p>
      <w:pPr>
        <w:pStyle w:val="NoSpacing"/>
        <w:tabs>
          <w:tab w:val="clear" w:pos="708"/>
          <w:tab w:val="left" w:pos="709" w:leader="none"/>
        </w:tabs>
        <w:ind w:firstLine="567"/>
        <w:jc w:val="both"/>
        <w:rPr>
          <w:rFonts w:ascii="Times New Roman" w:hAnsi="Times New Roman"/>
        </w:rPr>
      </w:pPr>
      <w:r>
        <w:rPr>
          <w:rFonts w:ascii="Times New Roman" w:hAnsi="Times New Roman"/>
        </w:rPr>
        <w:t>Поставщик в течение 5 (пяти) рабочих дней с даты поставки Товара предоставляет Государственному заказчику:</w:t>
      </w:r>
    </w:p>
    <w:p>
      <w:pPr>
        <w:pStyle w:val="13"/>
        <w:shd w:val="clear" w:fill="auto"/>
        <w:tabs>
          <w:tab w:val="clear" w:pos="708"/>
          <w:tab w:val="left" w:pos="808" w:leader="none"/>
        </w:tabs>
        <w:spacing w:lineRule="auto" w:line="240"/>
        <w:ind w:firstLine="580"/>
        <w:jc w:val="both"/>
        <w:rPr/>
      </w:pPr>
      <w:r>
        <w:rPr/>
        <w:t>- Оригинал товарной накладной в 2 (двух) экземплярах (один экземпляр для Государственного заказчика, один для Поставщика);</w:t>
      </w:r>
    </w:p>
    <w:p>
      <w:pPr>
        <w:pStyle w:val="13"/>
        <w:shd w:val="clear" w:fill="auto"/>
        <w:tabs>
          <w:tab w:val="clear" w:pos="708"/>
          <w:tab w:val="left" w:pos="808" w:leader="none"/>
        </w:tabs>
        <w:spacing w:lineRule="auto" w:line="240"/>
        <w:ind w:firstLine="580"/>
        <w:jc w:val="both"/>
        <w:rPr/>
      </w:pPr>
      <w:r>
        <w:rPr/>
        <w:t xml:space="preserve">- </w:t>
      </w:r>
      <w:r>
        <w:rPr>
          <w:color w:val="000000"/>
          <w:shd w:fill="auto" w:val="clear"/>
        </w:rPr>
        <w:t xml:space="preserve">Оригинал </w:t>
      </w:r>
      <w:r>
        <w:rPr>
          <w:b/>
          <w:bCs/>
          <w:color w:val="000000"/>
          <w:shd w:fill="auto" w:val="clear"/>
        </w:rPr>
        <w:t>транспортной накладной</w:t>
      </w:r>
      <w:r>
        <w:rPr>
          <w:color w:val="000000"/>
          <w:shd w:fill="auto" w:val="clear"/>
        </w:rPr>
        <w:t xml:space="preserve"> в 2 (двух)  экземплярах (один экземпляр для Государственного заказчика, один для Поставщика) при поставке;</w:t>
      </w:r>
    </w:p>
    <w:p>
      <w:pPr>
        <w:pStyle w:val="NoSpacing"/>
        <w:tabs>
          <w:tab w:val="clear" w:pos="708"/>
          <w:tab w:val="left" w:pos="709" w:leader="none"/>
        </w:tabs>
        <w:ind w:firstLine="567"/>
        <w:jc w:val="both"/>
        <w:rPr/>
      </w:pPr>
      <w:r>
        <w:rPr>
          <w:rFonts w:ascii="Times New Roman" w:hAnsi="Times New Roman"/>
        </w:rPr>
        <w:t>-  УПД формата 5.03, утвержденный Приказом ФНС России от 19.12.2023 № ЕД-7-26/970;</w:t>
      </w:r>
    </w:p>
    <w:p>
      <w:pPr>
        <w:pStyle w:val="NoSpacing"/>
        <w:tabs>
          <w:tab w:val="clear" w:pos="708"/>
          <w:tab w:val="left" w:pos="709" w:leader="none"/>
        </w:tabs>
        <w:ind w:firstLine="567"/>
        <w:jc w:val="both"/>
        <w:rPr/>
      </w:pPr>
      <w:r>
        <w:rPr>
          <w:rFonts w:ascii="Times New Roman" w:hAnsi="Times New Roman"/>
        </w:rPr>
        <w:t>-  Счет, а также соответствующие документы (документация технического характера, документация о качестве, иные документы, относящиеся к поставляемому Товару). Вся документация предоставляется на русском языке.</w:t>
      </w:r>
    </w:p>
    <w:p>
      <w:pPr>
        <w:pStyle w:val="NoSpacing"/>
        <w:tabs>
          <w:tab w:val="clear" w:pos="708"/>
          <w:tab w:val="left" w:pos="709" w:leader="none"/>
        </w:tabs>
        <w:ind w:firstLine="567"/>
        <w:jc w:val="both"/>
        <w:rPr/>
      </w:pPr>
      <w:r>
        <w:rPr>
          <w:rFonts w:ascii="Times New Roman" w:hAnsi="Times New Roman"/>
          <w:b/>
          <w:bCs/>
          <w:i/>
          <w:iCs/>
        </w:rPr>
        <w:t>Способ 2.</w:t>
      </w:r>
    </w:p>
    <w:p>
      <w:pPr>
        <w:pStyle w:val="NoSpacing"/>
        <w:tabs>
          <w:tab w:val="clear" w:pos="708"/>
          <w:tab w:val="left" w:pos="709" w:leader="none"/>
        </w:tabs>
        <w:ind w:firstLine="567"/>
        <w:jc w:val="both"/>
        <w:rPr/>
      </w:pPr>
      <w:r>
        <w:rPr>
          <w:rFonts w:ascii="Times New Roman" w:hAnsi="Times New Roman"/>
          <w:b/>
          <w:bCs/>
          <w:i/>
          <w:iCs/>
        </w:rPr>
        <w:t>В случае предоставления документов на бумажном носителе:</w:t>
      </w:r>
    </w:p>
    <w:p>
      <w:pPr>
        <w:pStyle w:val="NoSpacing"/>
        <w:tabs>
          <w:tab w:val="clear" w:pos="708"/>
          <w:tab w:val="left" w:pos="709" w:leader="none"/>
        </w:tabs>
        <w:ind w:firstLine="567"/>
        <w:jc w:val="both"/>
        <w:rPr/>
      </w:pPr>
      <w:r>
        <w:rPr>
          <w:rFonts w:ascii="Times New Roman" w:hAnsi="Times New Roman"/>
          <w:b w:val="false"/>
          <w:bCs w:val="false"/>
          <w:i w:val="false"/>
          <w:iCs w:val="false"/>
        </w:rPr>
        <w:t>Поставщик в момент поставки Товара по адресу, указанному в п. 1.3. Контракта, предоставляет документы на бумажном носителе.</w:t>
      </w:r>
    </w:p>
    <w:p>
      <w:pPr>
        <w:pStyle w:val="NoSpacing"/>
        <w:tabs>
          <w:tab w:val="clear" w:pos="708"/>
          <w:tab w:val="left" w:pos="709" w:leader="none"/>
        </w:tabs>
        <w:ind w:firstLine="567"/>
        <w:jc w:val="both"/>
        <w:rPr/>
      </w:pPr>
      <w:r>
        <w:rPr>
          <w:rFonts w:ascii="Times New Roman" w:hAnsi="Times New Roman"/>
        </w:rPr>
        <w:t>Поставщик в течение 5 (пяти) рабочих дней с даты поставки Товара предоставляет Государственному заказчику по адресу г. Москва, ул. Щукинская, 12:</w:t>
      </w:r>
    </w:p>
    <w:p>
      <w:pPr>
        <w:pStyle w:val="13"/>
        <w:shd w:val="clear" w:fill="auto"/>
        <w:tabs>
          <w:tab w:val="clear" w:pos="708"/>
          <w:tab w:val="left" w:pos="808" w:leader="none"/>
        </w:tabs>
        <w:spacing w:lineRule="auto" w:line="240"/>
        <w:ind w:firstLine="580"/>
        <w:jc w:val="both"/>
        <w:rPr/>
      </w:pPr>
      <w:r>
        <w:rPr/>
        <w:t>- Оригинал товарной накладной в 2 (двух) экземплярах (один экземпляр для Государственного заказчика, один для Поставщика);</w:t>
      </w:r>
    </w:p>
    <w:p>
      <w:pPr>
        <w:pStyle w:val="13"/>
        <w:shd w:val="clear" w:fill="auto"/>
        <w:tabs>
          <w:tab w:val="clear" w:pos="708"/>
          <w:tab w:val="left" w:pos="808" w:leader="none"/>
        </w:tabs>
        <w:spacing w:lineRule="auto" w:line="240"/>
        <w:ind w:firstLine="580"/>
        <w:jc w:val="both"/>
        <w:rPr/>
      </w:pPr>
      <w:r>
        <w:rPr/>
        <w:t xml:space="preserve">- </w:t>
      </w:r>
      <w:r>
        <w:rPr>
          <w:color w:val="000000"/>
          <w:shd w:fill="auto" w:val="clear"/>
        </w:rPr>
        <w:t xml:space="preserve">Оригинал </w:t>
      </w:r>
      <w:r>
        <w:rPr>
          <w:b/>
          <w:bCs/>
          <w:color w:val="000000"/>
          <w:shd w:fill="auto" w:val="clear"/>
        </w:rPr>
        <w:t>транспортной накладной</w:t>
      </w:r>
      <w:r>
        <w:rPr>
          <w:color w:val="000000"/>
          <w:shd w:fill="auto" w:val="clear"/>
        </w:rPr>
        <w:t xml:space="preserve"> в 2 (двух)  экземплярах (один экземпляр для Государственного заказчика, один для Поставщика) при поставке;</w:t>
      </w:r>
    </w:p>
    <w:p>
      <w:pPr>
        <w:pStyle w:val="NoSpacing"/>
        <w:tabs>
          <w:tab w:val="clear" w:pos="708"/>
          <w:tab w:val="left" w:pos="709" w:leader="none"/>
        </w:tabs>
        <w:ind w:firstLine="567"/>
        <w:jc w:val="both"/>
        <w:rPr/>
      </w:pPr>
      <w:r>
        <w:rPr>
          <w:rFonts w:ascii="Times New Roman" w:hAnsi="Times New Roman"/>
        </w:rPr>
        <w:t>- Оригинал Акта сдачи-приемки Товара, оформленный в соответствии с Приложением № 2 к Контракту в 2 (двух) экземплярах (один для Государственного заказчика, второй для Поставщика);</w:t>
      </w:r>
    </w:p>
    <w:p>
      <w:pPr>
        <w:pStyle w:val="NoSpacing"/>
        <w:tabs>
          <w:tab w:val="clear" w:pos="708"/>
          <w:tab w:val="left" w:pos="709" w:leader="none"/>
        </w:tabs>
        <w:ind w:firstLine="567"/>
        <w:rPr>
          <w:rFonts w:ascii="Times New Roman" w:hAnsi="Times New Roman"/>
        </w:rPr>
      </w:pPr>
      <w:r>
        <w:rPr>
          <w:rFonts w:ascii="Times New Roman" w:hAnsi="Times New Roman"/>
        </w:rPr>
        <w:t>- Оригинал счета в 1 (одном) экземпляре, счет-фактура (при наличии). Вся документация предоставляется на русском языке.</w:t>
      </w:r>
    </w:p>
    <w:p>
      <w:pPr>
        <w:pStyle w:val="13"/>
        <w:numPr>
          <w:ilvl w:val="1"/>
          <w:numId w:val="1"/>
        </w:numPr>
        <w:shd w:val="clear" w:color="auto" w:fill="auto"/>
        <w:tabs>
          <w:tab w:val="clear" w:pos="708"/>
          <w:tab w:val="left" w:pos="1080" w:leader="none"/>
        </w:tabs>
        <w:ind w:firstLine="580"/>
        <w:jc w:val="both"/>
        <w:rPr>
          <w:b/>
          <w:bCs/>
        </w:rPr>
      </w:pPr>
      <w:r>
        <w:rPr>
          <w:b/>
          <w:bCs/>
        </w:rPr>
        <w:t>Государственный заказчик обязан:</w:t>
      </w:r>
    </w:p>
    <w:p>
      <w:pPr>
        <w:pStyle w:val="13"/>
        <w:numPr>
          <w:ilvl w:val="2"/>
          <w:numId w:val="1"/>
        </w:numPr>
        <w:shd w:val="clear" w:color="auto" w:fill="auto"/>
        <w:tabs>
          <w:tab w:val="clear" w:pos="708"/>
          <w:tab w:val="left" w:pos="1249" w:leader="none"/>
        </w:tabs>
        <w:ind w:firstLine="580"/>
        <w:jc w:val="both"/>
        <w:rPr/>
      </w:pPr>
      <w:r>
        <w:rPr/>
        <w:t>Принять поставленный Товар при отсутствии претензий по качеству, количеству, комплектности.</w:t>
      </w:r>
    </w:p>
    <w:p>
      <w:pPr>
        <w:pStyle w:val="13"/>
        <w:numPr>
          <w:ilvl w:val="2"/>
          <w:numId w:val="1"/>
        </w:numPr>
        <w:shd w:val="clear" w:color="auto" w:fill="auto"/>
        <w:tabs>
          <w:tab w:val="clear" w:pos="708"/>
          <w:tab w:val="left" w:pos="1249" w:leader="none"/>
        </w:tabs>
        <w:ind w:firstLine="580"/>
        <w:jc w:val="both"/>
        <w:rPr/>
      </w:pPr>
      <w:r>
        <w:rPr/>
        <w:t>Оплатить поставленный и принятый Товар в порядке, предусмотренном настоящим Контрактом.</w:t>
      </w:r>
    </w:p>
    <w:p>
      <w:pPr>
        <w:pStyle w:val="13"/>
        <w:numPr>
          <w:ilvl w:val="1"/>
          <w:numId w:val="1"/>
        </w:numPr>
        <w:shd w:val="clear" w:color="auto" w:fill="auto"/>
        <w:tabs>
          <w:tab w:val="clear" w:pos="708"/>
          <w:tab w:val="left" w:pos="1080" w:leader="none"/>
        </w:tabs>
        <w:ind w:firstLine="580"/>
        <w:jc w:val="both"/>
        <w:rPr>
          <w:b/>
          <w:bCs/>
        </w:rPr>
      </w:pPr>
      <w:r>
        <w:rPr>
          <w:b/>
          <w:bCs/>
        </w:rPr>
        <w:t>Поставщик обязан:</w:t>
      </w:r>
    </w:p>
    <w:p>
      <w:pPr>
        <w:pStyle w:val="13"/>
        <w:numPr>
          <w:ilvl w:val="2"/>
          <w:numId w:val="1"/>
        </w:numPr>
        <w:shd w:val="clear" w:color="auto" w:fill="auto"/>
        <w:tabs>
          <w:tab w:val="clear" w:pos="708"/>
          <w:tab w:val="left" w:pos="1235" w:leader="none"/>
        </w:tabs>
        <w:ind w:firstLine="580"/>
        <w:jc w:val="both"/>
        <w:rPr/>
      </w:pPr>
      <w:r>
        <w:rPr/>
        <w:t>Поставить Товар в соответствии со Спецификацией (Приложение № 1 к Контракту) и Техническим заданием (Приложение № 3 к Контракту).</w:t>
      </w:r>
    </w:p>
    <w:p>
      <w:pPr>
        <w:pStyle w:val="13"/>
        <w:numPr>
          <w:ilvl w:val="2"/>
          <w:numId w:val="1"/>
        </w:numPr>
        <w:shd w:val="clear" w:color="auto" w:fill="auto"/>
        <w:tabs>
          <w:tab w:val="clear" w:pos="708"/>
          <w:tab w:val="left" w:pos="1235" w:leader="none"/>
        </w:tabs>
        <w:ind w:firstLine="580"/>
        <w:jc w:val="both"/>
        <w:rPr/>
      </w:pPr>
      <w:r>
        <w:rPr/>
        <w:t>Поставить Товар в сроки и в соответствии с условиями, предусмотренные настоящим Контрактом.</w:t>
      </w:r>
    </w:p>
    <w:p>
      <w:pPr>
        <w:pStyle w:val="13"/>
        <w:numPr>
          <w:ilvl w:val="2"/>
          <w:numId w:val="1"/>
        </w:numPr>
        <w:shd w:val="clear" w:color="auto" w:fill="auto"/>
        <w:tabs>
          <w:tab w:val="clear" w:pos="708"/>
          <w:tab w:val="left" w:pos="1245" w:leader="none"/>
        </w:tabs>
        <w:ind w:firstLine="580"/>
        <w:jc w:val="both"/>
        <w:rPr/>
      </w:pPr>
      <w:r>
        <w:rPr/>
        <w:t>Доставить Товар по месту доставки Товара, осуществить разгрузку, сборку и установку (помещение Государственного заказчика), а также представить все документы.</w:t>
      </w:r>
    </w:p>
    <w:p>
      <w:pPr>
        <w:pStyle w:val="13"/>
        <w:numPr>
          <w:ilvl w:val="2"/>
          <w:numId w:val="1"/>
        </w:numPr>
        <w:shd w:val="clear" w:color="auto" w:fill="auto"/>
        <w:tabs>
          <w:tab w:val="clear" w:pos="708"/>
          <w:tab w:val="left" w:pos="1235" w:leader="none"/>
        </w:tabs>
        <w:ind w:firstLine="580"/>
        <w:jc w:val="both"/>
        <w:rPr/>
      </w:pPr>
      <w:r>
        <w:rPr/>
        <w:t>Передать Государственному заказчику Товар надлежащего качества, в количестве и комплектации согласно Спецификации (Приложение № 1 к Контракту) и Техническому заданию (Приложение № 3 к Контракту).</w:t>
      </w:r>
    </w:p>
    <w:p>
      <w:pPr>
        <w:pStyle w:val="13"/>
        <w:numPr>
          <w:ilvl w:val="2"/>
          <w:numId w:val="1"/>
        </w:numPr>
        <w:shd w:val="clear" w:color="auto" w:fill="auto"/>
        <w:tabs>
          <w:tab w:val="clear" w:pos="708"/>
          <w:tab w:val="left" w:pos="1245" w:leader="none"/>
        </w:tabs>
        <w:ind w:firstLine="580"/>
        <w:jc w:val="both"/>
        <w:rPr/>
      </w:pPr>
      <w:r>
        <w:rPr/>
        <w:t>Предоставлять своевременно достоверную информацию о ходе исполнения своих обязательств, в том числе о сложностях, возникающих при исполнении настоящего Контракта.</w:t>
      </w:r>
    </w:p>
    <w:p>
      <w:pPr>
        <w:pStyle w:val="13"/>
        <w:numPr>
          <w:ilvl w:val="2"/>
          <w:numId w:val="1"/>
        </w:numPr>
        <w:shd w:val="clear" w:color="auto" w:fill="auto"/>
        <w:tabs>
          <w:tab w:val="clear" w:pos="708"/>
          <w:tab w:val="left" w:pos="1245" w:leader="none"/>
        </w:tabs>
        <w:ind w:firstLine="580"/>
        <w:jc w:val="both"/>
        <w:rPr/>
      </w:pPr>
      <w:r>
        <w:rPr/>
        <w:t>Нести ответственность за неисполнение своих обязательств по настоящему Контракту в соответствии с законодательством Российской Федерации и условиями настоящего Контракта.</w:t>
      </w:r>
    </w:p>
    <w:p>
      <w:pPr>
        <w:pStyle w:val="13"/>
        <w:numPr>
          <w:ilvl w:val="2"/>
          <w:numId w:val="1"/>
        </w:numPr>
        <w:shd w:val="clear" w:color="auto" w:fill="auto"/>
        <w:tabs>
          <w:tab w:val="clear" w:pos="708"/>
          <w:tab w:val="left" w:pos="1245" w:leader="none"/>
        </w:tabs>
        <w:ind w:firstLine="580"/>
        <w:jc w:val="both"/>
        <w:rPr/>
      </w:pPr>
      <w:r>
        <w:rPr/>
        <w:t>Отвечать по искам третьих лиц, в случае предъявления третьими лицами к Государственному заказчику исков в связи с поставляемым Товаром.</w:t>
      </w:r>
    </w:p>
    <w:p>
      <w:pPr>
        <w:pStyle w:val="13"/>
        <w:numPr>
          <w:ilvl w:val="2"/>
          <w:numId w:val="1"/>
        </w:numPr>
        <w:shd w:val="clear" w:color="auto" w:fill="auto"/>
        <w:tabs>
          <w:tab w:val="clear" w:pos="708"/>
          <w:tab w:val="left" w:pos="1365" w:leader="none"/>
        </w:tabs>
        <w:ind w:firstLine="580"/>
        <w:jc w:val="both"/>
        <w:rPr/>
      </w:pPr>
      <w:r>
        <w:rPr/>
        <w:t>Своевременно и в полном объеме представлять в органы государственного финансового контроля по их запросам информацию, документы и материалы, необходимые для осуществления государственного финансового контроля, предоставлять должностным лицам органов государственного финансового контроля допуск указанных лиц в помещения и на территории объектов контроля, выполнять их законные требования.</w:t>
      </w:r>
    </w:p>
    <w:p>
      <w:pPr>
        <w:pStyle w:val="13"/>
        <w:numPr>
          <w:ilvl w:val="2"/>
          <w:numId w:val="1"/>
        </w:numPr>
        <w:shd w:val="clear" w:color="auto" w:fill="auto"/>
        <w:tabs>
          <w:tab w:val="clear" w:pos="708"/>
          <w:tab w:val="left" w:pos="1249" w:leader="none"/>
        </w:tabs>
        <w:ind w:firstLine="580"/>
        <w:jc w:val="both"/>
        <w:rPr/>
      </w:pPr>
      <w:r>
        <w:rPr/>
        <w:t xml:space="preserve"> </w:t>
      </w:r>
      <w:r>
        <w:rPr/>
        <w:t>Выполнять иные обязанности, предусмотренные Контрактом.</w:t>
      </w:r>
    </w:p>
    <w:p>
      <w:pPr>
        <w:pStyle w:val="13"/>
        <w:numPr>
          <w:ilvl w:val="1"/>
          <w:numId w:val="1"/>
        </w:numPr>
        <w:shd w:val="clear" w:color="auto" w:fill="auto"/>
        <w:tabs>
          <w:tab w:val="clear" w:pos="708"/>
          <w:tab w:val="left" w:pos="1071" w:leader="none"/>
        </w:tabs>
        <w:ind w:firstLine="580"/>
        <w:jc w:val="both"/>
        <w:rPr>
          <w:b/>
          <w:bCs/>
        </w:rPr>
      </w:pPr>
      <w:r>
        <w:rPr>
          <w:b/>
          <w:bCs/>
        </w:rPr>
        <w:t>Поставщик вправе:</w:t>
      </w:r>
    </w:p>
    <w:p>
      <w:pPr>
        <w:pStyle w:val="13"/>
        <w:numPr>
          <w:ilvl w:val="2"/>
          <w:numId w:val="1"/>
        </w:numPr>
        <w:shd w:val="clear" w:color="auto" w:fill="auto"/>
        <w:tabs>
          <w:tab w:val="clear" w:pos="708"/>
          <w:tab w:val="left" w:pos="1235" w:leader="none"/>
        </w:tabs>
        <w:ind w:firstLine="580"/>
        <w:jc w:val="both"/>
        <w:rPr/>
      </w:pPr>
      <w:r>
        <w:rPr/>
        <w:t>Требовать приемки и оплаты Товара в объеме, порядке, сроки и на условиях, предусмотренных Контрактом.</w:t>
      </w:r>
    </w:p>
    <w:p>
      <w:pPr>
        <w:pStyle w:val="13"/>
        <w:numPr>
          <w:ilvl w:val="2"/>
          <w:numId w:val="1"/>
        </w:numPr>
        <w:shd w:val="clear" w:color="auto" w:fill="auto"/>
        <w:tabs>
          <w:tab w:val="clear" w:pos="708"/>
          <w:tab w:val="left" w:pos="1249" w:leader="none"/>
        </w:tabs>
        <w:spacing w:before="0" w:after="260"/>
        <w:ind w:firstLine="580"/>
        <w:jc w:val="both"/>
        <w:rPr/>
      </w:pPr>
      <w:r>
        <w:rPr/>
        <w:t>По согласованию с Государственным заказчиком досрочно поставить Товар.</w:t>
      </w:r>
    </w:p>
    <w:p>
      <w:pPr>
        <w:pStyle w:val="14"/>
        <w:keepNext w:val="true"/>
        <w:keepLines/>
        <w:numPr>
          <w:ilvl w:val="0"/>
          <w:numId w:val="1"/>
        </w:numPr>
        <w:shd w:val="clear" w:color="auto" w:fill="auto"/>
        <w:tabs>
          <w:tab w:val="clear" w:pos="708"/>
          <w:tab w:val="left" w:pos="342" w:leader="none"/>
        </w:tabs>
        <w:spacing w:before="0" w:after="0"/>
        <w:rPr/>
      </w:pPr>
      <w:bookmarkStart w:id="8" w:name="bookmark8"/>
      <w:bookmarkStart w:id="9" w:name="bookmark9"/>
      <w:r>
        <w:rPr/>
        <w:t>КАЧЕСТВО ТОВАРА</w:t>
      </w:r>
      <w:bookmarkEnd w:id="8"/>
      <w:bookmarkEnd w:id="9"/>
    </w:p>
    <w:p>
      <w:pPr>
        <w:pStyle w:val="13"/>
        <w:numPr>
          <w:ilvl w:val="1"/>
          <w:numId w:val="1"/>
        </w:numPr>
        <w:shd w:val="clear" w:color="auto" w:fill="auto"/>
        <w:tabs>
          <w:tab w:val="clear" w:pos="708"/>
          <w:tab w:val="left" w:pos="1067" w:leader="none"/>
        </w:tabs>
        <w:ind w:firstLine="580"/>
        <w:jc w:val="both"/>
        <w:rPr/>
      </w:pPr>
      <w:r>
        <w:rPr/>
        <w:t>Поставщик гарантирует, что поставляемый Товар соответствует требованиям, установленным Контрактом.</w:t>
      </w:r>
    </w:p>
    <w:p>
      <w:pPr>
        <w:pStyle w:val="13"/>
        <w:numPr>
          <w:ilvl w:val="1"/>
          <w:numId w:val="1"/>
        </w:numPr>
        <w:shd w:val="clear" w:color="auto" w:fill="auto"/>
        <w:tabs>
          <w:tab w:val="clear" w:pos="708"/>
          <w:tab w:val="left" w:pos="1067" w:leader="none"/>
        </w:tabs>
        <w:ind w:firstLine="580"/>
        <w:jc w:val="both"/>
        <w:rPr/>
      </w:pPr>
      <w:r>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техническим регламентам, санитарным и фитосанитарным нормам.</w:t>
      </w:r>
    </w:p>
    <w:p>
      <w:pPr>
        <w:pStyle w:val="13"/>
        <w:numPr>
          <w:ilvl w:val="1"/>
          <w:numId w:val="1"/>
        </w:numPr>
        <w:shd w:val="clear" w:color="auto" w:fill="auto"/>
        <w:tabs>
          <w:tab w:val="clear" w:pos="708"/>
          <w:tab w:val="left" w:pos="1067" w:leader="none"/>
        </w:tabs>
        <w:ind w:firstLine="580"/>
        <w:jc w:val="both"/>
        <w:rPr/>
      </w:pPr>
      <w:r>
        <w:rPr/>
        <w:t>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pPr>
        <w:pStyle w:val="13"/>
        <w:numPr>
          <w:ilvl w:val="1"/>
          <w:numId w:val="1"/>
        </w:numPr>
        <w:shd w:val="clear" w:color="auto" w:fill="auto"/>
        <w:tabs>
          <w:tab w:val="clear" w:pos="708"/>
          <w:tab w:val="left" w:pos="1067" w:leader="none"/>
        </w:tabs>
        <w:ind w:firstLine="580"/>
        <w:jc w:val="both"/>
        <w:rPr/>
      </w:pPr>
      <w:r>
        <w:rPr/>
        <w:t>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Техническом задании (Приложение № 3 к Контракту).</w:t>
      </w:r>
    </w:p>
    <w:p>
      <w:pPr>
        <w:pStyle w:val="13"/>
        <w:numPr>
          <w:ilvl w:val="1"/>
          <w:numId w:val="1"/>
        </w:numPr>
        <w:shd w:val="clear" w:color="auto" w:fill="auto"/>
        <w:tabs>
          <w:tab w:val="clear" w:pos="708"/>
          <w:tab w:val="left" w:pos="1067" w:leader="none"/>
        </w:tabs>
        <w:ind w:firstLine="580"/>
        <w:jc w:val="both"/>
        <w:rPr/>
      </w:pPr>
      <w:r>
        <w:rPr/>
        <w:t>Требования к предоставлению гарантии производителя и (или) Поставщика Товара и к сроку действия такой гарантии указаны в Техническом задании (Приложение № 3 к Контракту).</w:t>
      </w:r>
    </w:p>
    <w:p>
      <w:pPr>
        <w:pStyle w:val="13"/>
        <w:shd w:val="clear" w:color="auto" w:fill="auto"/>
        <w:tabs>
          <w:tab w:val="clear" w:pos="708"/>
          <w:tab w:val="left" w:pos="1067" w:leader="none"/>
        </w:tabs>
        <w:ind w:hanging="0" w:left="0"/>
        <w:jc w:val="both"/>
        <w:rPr/>
      </w:pPr>
      <w:r>
        <w:rPr/>
      </w:r>
    </w:p>
    <w:p>
      <w:pPr>
        <w:pStyle w:val="14"/>
        <w:keepNext w:val="true"/>
        <w:keepLines/>
        <w:numPr>
          <w:ilvl w:val="0"/>
          <w:numId w:val="1"/>
        </w:numPr>
        <w:shd w:val="clear" w:color="auto" w:fill="auto"/>
        <w:tabs>
          <w:tab w:val="clear" w:pos="708"/>
          <w:tab w:val="left" w:pos="322" w:leader="none"/>
        </w:tabs>
        <w:spacing w:before="0" w:after="0"/>
        <w:rPr/>
      </w:pPr>
      <w:bookmarkStart w:id="10" w:name="bookmark10"/>
      <w:bookmarkStart w:id="11" w:name="bookmark11"/>
      <w:r>
        <w:rPr/>
        <w:t>ПОРЯДОК ПОСТАВКИ ТОВАРА</w:t>
      </w:r>
      <w:bookmarkEnd w:id="10"/>
      <w:bookmarkEnd w:id="11"/>
    </w:p>
    <w:p>
      <w:pPr>
        <w:pStyle w:val="13"/>
        <w:numPr>
          <w:ilvl w:val="1"/>
          <w:numId w:val="1"/>
        </w:numPr>
        <w:shd w:val="clear" w:color="auto" w:fill="auto"/>
        <w:tabs>
          <w:tab w:val="clear" w:pos="708"/>
          <w:tab w:val="left" w:pos="1066" w:leader="none"/>
        </w:tabs>
        <w:ind w:firstLine="580"/>
        <w:jc w:val="both"/>
        <w:rPr/>
      </w:pPr>
      <w:r>
        <w:rPr/>
        <w:t>Доставка Товара до места поставки, указанного в пункте 1.3. настоящего Контракта, должна осуществляться одной партией силами и средствами Поставщика.</w:t>
      </w:r>
    </w:p>
    <w:p>
      <w:pPr>
        <w:pStyle w:val="15"/>
        <w:ind w:firstLine="567"/>
        <w:jc w:val="both"/>
        <w:rPr>
          <w:rFonts w:ascii="Times New Roman" w:hAnsi="Times New Roman"/>
          <w:sz w:val="24"/>
          <w:szCs w:val="24"/>
        </w:rPr>
      </w:pPr>
      <w:r>
        <w:rPr>
          <w:color w:val="FF0000"/>
        </w:rPr>
        <w:t xml:space="preserve"> </w:t>
      </w:r>
      <w:r>
        <w:rPr>
          <w:rFonts w:ascii="Times New Roman" w:hAnsi="Times New Roman"/>
          <w:bCs/>
          <w:sz w:val="24"/>
          <w:szCs w:val="24"/>
        </w:rPr>
        <w:t>Поставщик согласовывает с ответственным лицом Государственного заказчика точное время и дату поставки Това</w:t>
      </w:r>
      <w:r>
        <w:rPr>
          <w:rFonts w:ascii="Times New Roman" w:hAnsi="Times New Roman"/>
          <w:b w:val="false"/>
          <w:bCs w:val="false"/>
          <w:sz w:val="24"/>
          <w:szCs w:val="24"/>
        </w:rPr>
        <w:t xml:space="preserve">ра </w:t>
      </w:r>
      <w:r>
        <w:rPr>
          <w:rFonts w:ascii="Times New Roman" w:hAnsi="Times New Roman"/>
          <w:b w:val="false"/>
          <w:bCs w:val="false"/>
          <w:i w:val="false"/>
          <w:iCs w:val="false"/>
          <w:color w:themeColor="dark1" w:val="000000"/>
          <w:sz w:val="24"/>
          <w:szCs w:val="24"/>
        </w:rPr>
        <w:t>по телефону:</w:t>
      </w:r>
      <w:r>
        <w:rPr>
          <w:rFonts w:ascii="Times New Roman" w:hAnsi="Times New Roman"/>
          <w:b/>
          <w:i w:val="false"/>
          <w:iCs w:val="false"/>
          <w:color w:themeColor="dark1" w:val="000000"/>
          <w:sz w:val="24"/>
          <w:szCs w:val="24"/>
        </w:rPr>
        <w:t xml:space="preserve"> 8 (905) 150-11-10 Смирнов Александр Филиппович </w:t>
      </w:r>
      <w:r>
        <w:rPr>
          <w:rFonts w:ascii="Times New Roman" w:hAnsi="Times New Roman"/>
          <w:b w:val="false"/>
          <w:bCs w:val="false"/>
          <w:i w:val="false"/>
          <w:iCs w:val="false"/>
          <w:color w:themeColor="dark1" w:val="000000"/>
          <w:sz w:val="24"/>
          <w:szCs w:val="24"/>
        </w:rPr>
        <w:t xml:space="preserve">и электронной почте:  </w:t>
      </w:r>
      <w:r>
        <w:rPr>
          <w:rStyle w:val="Hyperlink"/>
          <w:rFonts w:cs="Times New Roman" w:ascii="Times New Roman" w:hAnsi="Times New Roman"/>
          <w:b/>
          <w:bCs/>
          <w:i w:val="false"/>
          <w:iCs w:val="false"/>
          <w:color w:val="000000"/>
          <w:sz w:val="24"/>
          <w:szCs w:val="24"/>
          <w:u w:val="none"/>
        </w:rPr>
        <w:t xml:space="preserve"> asmirnof@msemo.ru</w:t>
      </w:r>
    </w:p>
    <w:p>
      <w:pPr>
        <w:pStyle w:val="15"/>
        <w:ind w:firstLine="567" w:right="13"/>
        <w:jc w:val="both"/>
        <w:rPr>
          <w:rFonts w:ascii="Times New Roman" w:hAnsi="Times New Roman"/>
          <w:bCs/>
          <w:sz w:val="24"/>
          <w:szCs w:val="24"/>
        </w:rPr>
      </w:pPr>
      <w:r>
        <w:rPr>
          <w:rFonts w:ascii="Times New Roman" w:hAnsi="Times New Roman"/>
          <w:bCs/>
          <w:sz w:val="24"/>
          <w:szCs w:val="24"/>
        </w:rPr>
        <w:t>Въезд машин на территорию Государственного заказчика (при необходимости) осуществляется по заранее оформленному пропуску в рабочие часы Государственного заказчика (9:00-17:00) с учетом обеденного времени (13:00-13:45) и не позднее, чем за 1 (один) час до окончания рабочего времени, с учетом выходных и праздничных дней.</w:t>
      </w:r>
    </w:p>
    <w:p>
      <w:pPr>
        <w:pStyle w:val="15"/>
        <w:ind w:firstLine="567" w:right="13"/>
        <w:jc w:val="both"/>
        <w:rPr>
          <w:rFonts w:ascii="Times New Roman" w:hAnsi="Times New Roman"/>
          <w:bCs/>
          <w:sz w:val="24"/>
          <w:szCs w:val="24"/>
        </w:rPr>
      </w:pPr>
      <w:r>
        <w:rPr>
          <w:rFonts w:ascii="Times New Roman" w:hAnsi="Times New Roman"/>
          <w:bCs/>
          <w:sz w:val="24"/>
          <w:szCs w:val="24"/>
        </w:rPr>
        <w:t>При поставке Товара Поставщик должен передать представителю Государственного заказчика в месте поставки документ, подтверждающий передачу Товара в 2 (двух) экземплярах (один экземпляр для Государственного заказчика, один для Поставщика) - товарную накладную (с указанием наименования, характеристик, артикула и иных сведений в последствии прилагаемые к документу о приемке) или универсальный передаточный документ (с указанием наименования, характеристик, артикула и иных сведений в последствии прилагаемые к документу о приемке), транспортную накладную (при необходимости) подписанную Поставщиком. Скан - копии вышеуказанных документов Поставщик направляет Государственному заказчику по электронной почте asmirnof@msemo.ru, связавшись с ответственным лицом по исполнению Контракта со стороны Государственного заказчика по телефону 8 (905) 150-11-10 Смирновым Александром Филипповичем не менее, чем за 1 рабочий день до фактической поставки Товара. Проверка соответствия количества, качества и характеристик требуемых настоящим Контрактом, осуществляется в день передачи Поставщиком Товара.</w:t>
      </w:r>
    </w:p>
    <w:p>
      <w:pPr>
        <w:pStyle w:val="15"/>
        <w:ind w:firstLine="567" w:right="13"/>
        <w:jc w:val="both"/>
        <w:rPr>
          <w:rFonts w:ascii="Times New Roman" w:hAnsi="Times New Roman"/>
          <w:bCs/>
          <w:sz w:val="24"/>
          <w:szCs w:val="24"/>
        </w:rPr>
      </w:pPr>
      <w:r>
        <w:rPr>
          <w:rFonts w:ascii="Times New Roman" w:hAnsi="Times New Roman"/>
          <w:bCs/>
          <w:sz w:val="24"/>
          <w:szCs w:val="24"/>
        </w:rPr>
        <w:t xml:space="preserve">При приемке Товара ответственное лицо Государственного заказчика проводит проверку Товара на предмет его соответствия по ассортименту, количеству, комплектности и товарному виду. В случае если Товар не соответствует требованиям Государственного заказчика, то новый Товар должен быть предоставлен на следующий рабочий день с даты получения уведомления Государственного заказчика. </w:t>
      </w:r>
    </w:p>
    <w:p>
      <w:pPr>
        <w:pStyle w:val="13"/>
        <w:numPr>
          <w:ilvl w:val="1"/>
          <w:numId w:val="1"/>
        </w:numPr>
        <w:shd w:val="clear" w:color="auto" w:fill="auto"/>
        <w:tabs>
          <w:tab w:val="clear" w:pos="708"/>
          <w:tab w:val="left" w:pos="1066" w:leader="none"/>
        </w:tabs>
        <w:ind w:firstLine="580"/>
        <w:jc w:val="both"/>
        <w:rPr/>
      </w:pPr>
      <w:r>
        <w:rPr/>
        <w:t>Поставка Товара должна осуществляться в упаковке, отвечающей требованиям ГОСТов, способу транспортировки и обеспечивающей сохранность целостности и надлежащего товарного вида Товара. Поставщик несет ответственность за всякого рода порчу Товара до приемки его Государственным заказчиком вследствие некачественной упаковки или несоблюдения инструкции по хранению.</w:t>
      </w:r>
    </w:p>
    <w:p>
      <w:pPr>
        <w:pStyle w:val="13"/>
        <w:numPr>
          <w:ilvl w:val="0"/>
          <w:numId w:val="0"/>
        </w:numPr>
        <w:shd w:val="clear" w:color="auto" w:fill="auto"/>
        <w:tabs>
          <w:tab w:val="clear" w:pos="708"/>
          <w:tab w:val="left" w:pos="1066" w:leader="none"/>
        </w:tabs>
        <w:ind w:hanging="0" w:left="0"/>
        <w:jc w:val="both"/>
        <w:rPr/>
      </w:pPr>
      <w:r>
        <w:rPr/>
      </w:r>
    </w:p>
    <w:p>
      <w:pPr>
        <w:pStyle w:val="14"/>
        <w:keepNext w:val="true"/>
        <w:keepLines/>
        <w:numPr>
          <w:ilvl w:val="0"/>
          <w:numId w:val="1"/>
        </w:numPr>
        <w:shd w:val="clear" w:color="auto" w:fill="auto"/>
        <w:tabs>
          <w:tab w:val="clear" w:pos="708"/>
          <w:tab w:val="left" w:pos="318" w:leader="none"/>
        </w:tabs>
        <w:spacing w:before="0" w:after="0"/>
        <w:rPr/>
      </w:pPr>
      <w:bookmarkStart w:id="12" w:name="bookmark12"/>
      <w:bookmarkStart w:id="13" w:name="bookmark13"/>
      <w:r>
        <w:rPr/>
        <w:t>ПОРЯДОК ПРИЕМКИ ТОВАРА</w:t>
      </w:r>
      <w:bookmarkEnd w:id="12"/>
      <w:bookmarkEnd w:id="13"/>
    </w:p>
    <w:p>
      <w:pPr>
        <w:pStyle w:val="13"/>
        <w:numPr>
          <w:ilvl w:val="1"/>
          <w:numId w:val="1"/>
        </w:numPr>
        <w:shd w:val="clear" w:color="auto" w:fill="auto"/>
        <w:tabs>
          <w:tab w:val="clear" w:pos="708"/>
          <w:tab w:val="left" w:pos="1066" w:leader="none"/>
        </w:tabs>
        <w:ind w:firstLine="580"/>
        <w:jc w:val="both"/>
        <w:rPr/>
      </w:pPr>
      <w:r>
        <w:rPr/>
        <w:t>Приемка Товара по количеству проводится в помещении Государственного заказчика и должна быть полностью завершена в день поставки.</w:t>
      </w:r>
    </w:p>
    <w:p>
      <w:pPr>
        <w:pStyle w:val="13"/>
        <w:shd w:val="clear" w:color="auto" w:fill="auto"/>
        <w:ind w:firstLine="580"/>
        <w:jc w:val="both"/>
        <w:rPr>
          <w:b/>
          <w:bCs/>
        </w:rPr>
      </w:pPr>
      <w:r>
        <w:rPr>
          <w:b/>
          <w:bCs/>
        </w:rPr>
        <w:t>Приемка поставленного Товара по количеству включает в себя:</w:t>
      </w:r>
    </w:p>
    <w:p>
      <w:pPr>
        <w:pStyle w:val="13"/>
        <w:shd w:val="clear" w:color="auto" w:fill="auto"/>
        <w:ind w:firstLine="580"/>
        <w:jc w:val="both"/>
        <w:rPr/>
      </w:pPr>
      <w:r>
        <w:rPr/>
        <w:t>- контроль наличия/отсутствия внешних повреждений упаковки;</w:t>
      </w:r>
    </w:p>
    <w:p>
      <w:pPr>
        <w:pStyle w:val="13"/>
        <w:shd w:val="clear" w:color="auto" w:fill="auto"/>
        <w:ind w:firstLine="580"/>
        <w:jc w:val="both"/>
        <w:rPr/>
      </w:pPr>
      <w:r>
        <w:rPr/>
        <w:t>- проверка количества поставленного Товара на соответствие спецификации к настоящему Контракту.</w:t>
      </w:r>
    </w:p>
    <w:p>
      <w:pPr>
        <w:pStyle w:val="13"/>
        <w:numPr>
          <w:ilvl w:val="1"/>
          <w:numId w:val="1"/>
        </w:numPr>
        <w:shd w:val="clear" w:color="auto" w:fill="auto"/>
        <w:tabs>
          <w:tab w:val="clear" w:pos="708"/>
          <w:tab w:val="left" w:pos="1066" w:leader="none"/>
        </w:tabs>
        <w:ind w:firstLine="580"/>
        <w:jc w:val="both"/>
        <w:rPr/>
      </w:pPr>
      <w:r>
        <w:rPr/>
        <w:t>Для проверки поставленного Товара в части соответствия условиям настоящего Контракта Государственный заказчик проводит экспертизу. Экспертиза может проводиться Государственным заказчиком своими силами или к её проведению могут привлекаться независимые эксперты (экспертные организации).</w:t>
      </w:r>
    </w:p>
    <w:p>
      <w:pPr>
        <w:pStyle w:val="13"/>
        <w:numPr>
          <w:ilvl w:val="1"/>
          <w:numId w:val="1"/>
        </w:numPr>
        <w:shd w:val="clear" w:color="auto" w:fill="auto"/>
        <w:tabs>
          <w:tab w:val="clear" w:pos="708"/>
          <w:tab w:val="left" w:pos="1066" w:leader="none"/>
        </w:tabs>
        <w:ind w:firstLine="580"/>
        <w:jc w:val="both"/>
        <w:rPr/>
      </w:pPr>
      <w:r>
        <w:rPr/>
        <w:t>Приемка Товара осуществляется путем передачи Поставщиком Товара и всех необходимых документов, предусмотренных законодательством Российской Федерации и Контрактом для данного вида Товара, а также иных документов, подтверждающих качество Товара.</w:t>
      </w:r>
    </w:p>
    <w:p>
      <w:pPr>
        <w:pStyle w:val="13"/>
        <w:numPr>
          <w:ilvl w:val="1"/>
          <w:numId w:val="1"/>
        </w:numPr>
        <w:shd w:val="clear" w:color="auto" w:fill="auto"/>
        <w:tabs>
          <w:tab w:val="clear" w:pos="708"/>
          <w:tab w:val="left" w:pos="1066" w:leader="none"/>
        </w:tabs>
        <w:ind w:firstLine="580"/>
        <w:jc w:val="both"/>
        <w:rPr/>
      </w:pPr>
      <w:r>
        <w:rPr/>
        <w:t>Ответственное лицо Государственного заказчика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pPr>
        <w:pStyle w:val="13"/>
        <w:numPr>
          <w:ilvl w:val="1"/>
          <w:numId w:val="1"/>
        </w:numPr>
        <w:shd w:val="clear" w:color="auto" w:fill="auto"/>
        <w:tabs>
          <w:tab w:val="clear" w:pos="708"/>
          <w:tab w:val="left" w:pos="1066" w:leader="none"/>
        </w:tabs>
        <w:ind w:firstLine="580"/>
        <w:jc w:val="both"/>
        <w:rPr/>
      </w:pPr>
      <w:r>
        <w:rPr/>
        <w:t>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проводит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pPr>
        <w:pStyle w:val="13"/>
        <w:numPr>
          <w:ilvl w:val="1"/>
          <w:numId w:val="1"/>
        </w:numPr>
        <w:shd w:val="clear" w:color="auto" w:fill="auto"/>
        <w:tabs>
          <w:tab w:val="clear" w:pos="708"/>
          <w:tab w:val="left" w:pos="1066" w:leader="none"/>
        </w:tabs>
        <w:ind w:firstLine="580"/>
        <w:jc w:val="both"/>
        <w:rPr/>
      </w:pPr>
      <w:r>
        <w:rPr/>
        <w:t>Приемка поставленного Товара осуществляется в порядке, который установлен пунктом 6.1  Контракта, не позднее 10 рабочих дней с даты поставки Товара и  предоставления документов предусмотренных в пункте 3.1.4 Контракта, либо Поставщику в те же сроки направляется мотивированный отказ от подписания документа о приемке с указанием причин такого отказа.</w:t>
      </w:r>
    </w:p>
    <w:p>
      <w:pPr>
        <w:pStyle w:val="13"/>
        <w:numPr>
          <w:ilvl w:val="1"/>
          <w:numId w:val="1"/>
        </w:numPr>
        <w:shd w:val="clear" w:color="auto" w:fill="auto"/>
        <w:tabs>
          <w:tab w:val="clear" w:pos="708"/>
          <w:tab w:val="left" w:pos="1066" w:leader="none"/>
        </w:tabs>
        <w:ind w:firstLine="580"/>
        <w:jc w:val="both"/>
        <w:rPr/>
      </w:pPr>
      <w:r>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Государственный заказчик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pPr>
        <w:pStyle w:val="13"/>
        <w:numPr>
          <w:ilvl w:val="1"/>
          <w:numId w:val="1"/>
        </w:numPr>
        <w:shd w:val="clear" w:color="auto" w:fill="auto"/>
        <w:tabs>
          <w:tab w:val="clear" w:pos="708"/>
          <w:tab w:val="left" w:pos="1066" w:leader="none"/>
        </w:tabs>
        <w:ind w:firstLine="580"/>
        <w:jc w:val="both"/>
        <w:rPr/>
      </w:pPr>
      <w:r>
        <w:rPr/>
        <w:t>Во всех случаях, влекущих возврат Товара Поставщику, Государственный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Государственным заказчиком в связи с принятием Товара на ответственное хранение и (или) его возвратом (заменой), подлежат возмещению Поставщиком.</w:t>
      </w:r>
    </w:p>
    <w:p>
      <w:pPr>
        <w:pStyle w:val="13"/>
        <w:numPr>
          <w:ilvl w:val="1"/>
          <w:numId w:val="1"/>
        </w:numPr>
        <w:shd w:val="clear" w:color="auto" w:fill="auto"/>
        <w:tabs>
          <w:tab w:val="clear" w:pos="708"/>
          <w:tab w:val="left" w:pos="1066" w:leader="none"/>
        </w:tabs>
        <w:ind w:firstLine="580"/>
        <w:jc w:val="both"/>
        <w:rPr/>
      </w:pPr>
      <w:r>
        <w:rPr/>
        <w:t xml:space="preserve"> </w:t>
      </w:r>
      <w:r>
        <w:rPr/>
        <w:t xml:space="preserve">Право собственности и риск случайной гибели или порчи Товара переходит от Поставщика к Государственному заказчику с момента приемки Товара Государственным заказчиком и подписания Сторонами документов, указанных в 3.1.4. Контракта. </w:t>
      </w:r>
    </w:p>
    <w:p>
      <w:pPr>
        <w:pStyle w:val="13"/>
        <w:shd w:val="clear" w:color="auto" w:fill="auto"/>
        <w:tabs>
          <w:tab w:val="clear" w:pos="708"/>
          <w:tab w:val="left" w:pos="1066" w:leader="none"/>
        </w:tabs>
        <w:ind w:firstLine="580"/>
        <w:jc w:val="both"/>
        <w:rPr/>
      </w:pPr>
      <w:r>
        <w:rPr/>
      </w:r>
    </w:p>
    <w:p>
      <w:pPr>
        <w:pStyle w:val="14"/>
        <w:keepNext w:val="true"/>
        <w:keepLines/>
        <w:numPr>
          <w:ilvl w:val="0"/>
          <w:numId w:val="1"/>
        </w:numPr>
        <w:shd w:val="clear" w:color="auto" w:fill="auto"/>
        <w:tabs>
          <w:tab w:val="clear" w:pos="708"/>
          <w:tab w:val="left" w:pos="318" w:leader="none"/>
        </w:tabs>
        <w:spacing w:before="0" w:after="0"/>
        <w:rPr/>
      </w:pPr>
      <w:bookmarkStart w:id="14" w:name="bookmark14"/>
      <w:bookmarkStart w:id="15" w:name="bookmark15"/>
      <w:r>
        <w:rPr/>
        <w:t>СРОК ДЕЙСТВИЯ КОНТРАКТА</w:t>
      </w:r>
      <w:bookmarkEnd w:id="14"/>
      <w:bookmarkEnd w:id="15"/>
    </w:p>
    <w:p>
      <w:pPr>
        <w:pStyle w:val="13"/>
        <w:numPr>
          <w:ilvl w:val="1"/>
          <w:numId w:val="1"/>
        </w:numPr>
        <w:shd w:val="clear" w:color="auto" w:fill="auto"/>
        <w:tabs>
          <w:tab w:val="clear" w:pos="708"/>
          <w:tab w:val="left" w:pos="1066" w:leader="none"/>
        </w:tabs>
        <w:spacing w:before="0" w:after="260"/>
        <w:ind w:firstLine="580"/>
        <w:jc w:val="both"/>
        <w:rPr/>
      </w:pPr>
      <w:r>
        <w:rPr/>
        <w:t>Контракт вступает в силу со дня, следующего за днем подписания сторонами и действует по</w:t>
      </w:r>
      <w:r>
        <w:rPr>
          <w:b/>
          <w:bCs/>
          <w:shd w:fill="auto" w:val="clear"/>
        </w:rPr>
        <w:t xml:space="preserve"> 15 декабря 2026 г. </w:t>
      </w:r>
      <w:r>
        <w:rPr>
          <w:b w:val="false"/>
          <w:bCs w:val="false"/>
          <w:shd w:fill="auto" w:val="clear"/>
        </w:rPr>
        <w:t>Окончание срока действия контракта не влечет прекращение неисполненных обязательств Сторон, в том числе по оплате и гарантийных обязательств Поставщика.</w:t>
      </w:r>
    </w:p>
    <w:p>
      <w:pPr>
        <w:pStyle w:val="14"/>
        <w:keepNext w:val="true"/>
        <w:keepLines/>
        <w:numPr>
          <w:ilvl w:val="0"/>
          <w:numId w:val="1"/>
        </w:numPr>
        <w:shd w:val="clear" w:color="auto" w:fill="auto"/>
        <w:tabs>
          <w:tab w:val="clear" w:pos="708"/>
          <w:tab w:val="left" w:pos="318" w:leader="none"/>
        </w:tabs>
        <w:spacing w:before="0" w:after="0"/>
        <w:rPr/>
      </w:pPr>
      <w:r>
        <w:rPr/>
        <w:t xml:space="preserve"> </w:t>
      </w:r>
      <w:bookmarkStart w:id="16" w:name="bookmark16"/>
      <w:bookmarkStart w:id="17" w:name="bookmark17"/>
      <w:r>
        <w:rPr/>
        <w:t>ФОРС-МАЖОР</w:t>
      </w:r>
      <w:bookmarkEnd w:id="16"/>
      <w:bookmarkEnd w:id="17"/>
    </w:p>
    <w:p>
      <w:pPr>
        <w:pStyle w:val="13"/>
        <w:numPr>
          <w:ilvl w:val="1"/>
          <w:numId w:val="1"/>
        </w:numPr>
        <w:shd w:val="clear" w:color="auto" w:fill="auto"/>
        <w:tabs>
          <w:tab w:val="clear" w:pos="708"/>
          <w:tab w:val="left" w:pos="1066" w:leader="none"/>
        </w:tabs>
        <w:ind w:firstLine="580"/>
        <w:jc w:val="both"/>
        <w:rPr/>
      </w:pPr>
      <w:r>
        <w:rPr/>
        <w:t>Стороны освобождаются от ответственности за частичное или полное неисполнение обязательств по Контракту, если оно явилось следствием обстоятельств непреодолимой силы.</w:t>
      </w:r>
    </w:p>
    <w:p>
      <w:pPr>
        <w:pStyle w:val="13"/>
        <w:shd w:val="clear" w:color="auto" w:fill="auto"/>
        <w:ind w:firstLine="580"/>
        <w:jc w:val="both"/>
        <w:rPr/>
      </w:pPr>
      <w:r>
        <w:rPr/>
        <w:t>Под обстоятельствами непреодолимой силы подразумеваются внешние чрезвычайные события, политические и экономические изменения, непосредственно влияющие на исполнение контрактных обязательств, которые наступили независимо от воли Сторон (пожары, землетрясения, наводнения, любые другие стихийные бедствия, эпидемии, аварии, взрывы, несчастные случаи, забастовки, массовые беспорядки, волнения гражданского населения, действия враждебных сил, война, а также установления органов власти всех уровней, предписания судебных органов), временное или полное прекращение финансирования Государственного заказчика или финансирование в неполном объеме, инфляция, а также все другие события и обстоятельства, которые Стороны не могли предвидеть и/или предотвратить.</w:t>
      </w:r>
    </w:p>
    <w:p>
      <w:pPr>
        <w:pStyle w:val="13"/>
        <w:numPr>
          <w:ilvl w:val="1"/>
          <w:numId w:val="1"/>
        </w:numPr>
        <w:shd w:val="clear" w:color="auto" w:fill="auto"/>
        <w:tabs>
          <w:tab w:val="clear" w:pos="708"/>
          <w:tab w:val="left" w:pos="1066" w:leader="none"/>
        </w:tabs>
        <w:ind w:firstLine="580"/>
        <w:jc w:val="both"/>
        <w:rPr/>
      </w:pPr>
      <w:r>
        <w:rPr/>
        <w:t>Сторона, которая по причине обстоятельств непреодолимой силы не может исполнить обязательства по Контракту, обязана незамедлительно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pPr>
        <w:pStyle w:val="13"/>
        <w:numPr>
          <w:ilvl w:val="1"/>
          <w:numId w:val="1"/>
        </w:numPr>
        <w:shd w:val="clear" w:color="auto" w:fill="auto"/>
        <w:tabs>
          <w:tab w:val="clear" w:pos="708"/>
          <w:tab w:val="left" w:pos="1066" w:leader="none"/>
        </w:tabs>
        <w:ind w:firstLine="580"/>
        <w:jc w:val="both"/>
        <w:rPr/>
      </w:pPr>
      <w:r>
        <w:rPr/>
        <w:t>Неуведомление, несвоевременное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pPr>
        <w:pStyle w:val="13"/>
        <w:shd w:val="clear" w:color="auto" w:fill="auto"/>
        <w:tabs>
          <w:tab w:val="clear" w:pos="708"/>
          <w:tab w:val="left" w:pos="1066" w:leader="none"/>
        </w:tabs>
        <w:ind w:hanging="0" w:left="580"/>
        <w:jc w:val="both"/>
        <w:rPr/>
      </w:pPr>
      <w:r>
        <w:rPr/>
      </w:r>
    </w:p>
    <w:p>
      <w:pPr>
        <w:pStyle w:val="14"/>
        <w:keepNext w:val="true"/>
        <w:keepLines/>
        <w:numPr>
          <w:ilvl w:val="0"/>
          <w:numId w:val="1"/>
        </w:numPr>
        <w:shd w:val="clear" w:color="auto" w:fill="auto"/>
        <w:tabs>
          <w:tab w:val="clear" w:pos="708"/>
          <w:tab w:val="left" w:pos="330" w:leader="none"/>
        </w:tabs>
        <w:spacing w:before="0" w:after="0"/>
        <w:rPr/>
      </w:pPr>
      <w:bookmarkStart w:id="18" w:name="bookmark18"/>
      <w:bookmarkStart w:id="19" w:name="bookmark19"/>
      <w:r>
        <w:rPr/>
        <w:t>ОТВЕТСТВЕННОСТЬ СТОРОН</w:t>
      </w:r>
      <w:bookmarkEnd w:id="18"/>
      <w:bookmarkEnd w:id="19"/>
    </w:p>
    <w:p>
      <w:pPr>
        <w:pStyle w:val="13"/>
        <w:numPr>
          <w:ilvl w:val="1"/>
          <w:numId w:val="1"/>
        </w:numPr>
        <w:shd w:val="clear" w:color="auto" w:fill="auto"/>
        <w:tabs>
          <w:tab w:val="clear" w:pos="708"/>
          <w:tab w:val="left" w:pos="1066" w:leader="none"/>
        </w:tabs>
        <w:ind w:firstLine="580"/>
        <w:jc w:val="both"/>
        <w:rPr/>
      </w:pPr>
      <w:r>
        <w:rPr/>
        <w:t>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pPr>
        <w:pStyle w:val="13"/>
        <w:numPr>
          <w:ilvl w:val="1"/>
          <w:numId w:val="1"/>
        </w:numPr>
        <w:shd w:val="clear" w:color="auto" w:fill="auto"/>
        <w:tabs>
          <w:tab w:val="clear" w:pos="708"/>
          <w:tab w:val="left" w:pos="1066" w:leader="none"/>
        </w:tabs>
        <w:spacing w:before="0" w:after="260"/>
        <w:ind w:firstLine="580"/>
        <w:jc w:val="both"/>
        <w:rPr/>
      </w:pPr>
      <w:r>
        <w:rPr/>
        <w:t>Ущерб, нанесенный третьему лицу, в ходе поставки Товара и произошедший по вине Поставщика, компенсируется за счет Поставщика.</w:t>
      </w:r>
    </w:p>
    <w:p>
      <w:pPr>
        <w:pStyle w:val="14"/>
        <w:keepNext w:val="true"/>
        <w:keepLines/>
        <w:numPr>
          <w:ilvl w:val="0"/>
          <w:numId w:val="1"/>
        </w:numPr>
        <w:shd w:val="clear" w:color="auto" w:fill="auto"/>
        <w:tabs>
          <w:tab w:val="clear" w:pos="708"/>
          <w:tab w:val="left" w:pos="442" w:leader="none"/>
        </w:tabs>
        <w:spacing w:before="0" w:after="0"/>
        <w:rPr/>
      </w:pPr>
      <w:bookmarkStart w:id="20" w:name="bookmark20"/>
      <w:bookmarkStart w:id="21" w:name="bookmark21"/>
      <w:r>
        <w:rPr/>
        <w:t>РАЗРЕШЕНИЕ СПОРОВ</w:t>
      </w:r>
      <w:bookmarkEnd w:id="20"/>
      <w:bookmarkEnd w:id="21"/>
    </w:p>
    <w:p>
      <w:pPr>
        <w:pStyle w:val="13"/>
        <w:numPr>
          <w:ilvl w:val="1"/>
          <w:numId w:val="1"/>
        </w:numPr>
        <w:shd w:val="clear" w:color="auto" w:fill="auto"/>
        <w:tabs>
          <w:tab w:val="clear" w:pos="708"/>
          <w:tab w:val="left" w:pos="1279" w:leader="none"/>
        </w:tabs>
        <w:ind w:firstLine="580"/>
        <w:jc w:val="both"/>
        <w:rPr/>
      </w:pPr>
      <w:r>
        <w:rPr/>
        <w:t xml:space="preserve">В случае возникновения споров и разногласий при исполнении Контракта Стороны обязуются принимать все меры к разрешению разногласий путем переговоров в том числе в досудебном порядке. </w:t>
      </w:r>
    </w:p>
    <w:p>
      <w:pPr>
        <w:pStyle w:val="13"/>
        <w:numPr>
          <w:ilvl w:val="1"/>
          <w:numId w:val="1"/>
        </w:numPr>
        <w:shd w:val="clear" w:color="auto" w:fill="auto"/>
        <w:tabs>
          <w:tab w:val="clear" w:pos="708"/>
          <w:tab w:val="left" w:pos="1279" w:leader="none"/>
        </w:tabs>
        <w:ind w:firstLine="580"/>
        <w:jc w:val="both"/>
        <w:rPr/>
      </w:pPr>
      <w:r>
        <w:rPr/>
        <w:t>Сторона, право которой нарушено, до обращения в Арбитражный суд обязана предъявить письменно другой Стороне претензию с изложением своих требований.</w:t>
      </w:r>
    </w:p>
    <w:p>
      <w:pPr>
        <w:pStyle w:val="13"/>
        <w:numPr>
          <w:ilvl w:val="2"/>
          <w:numId w:val="1"/>
        </w:numPr>
        <w:shd w:val="clear" w:color="auto" w:fill="auto"/>
        <w:tabs>
          <w:tab w:val="clear" w:pos="708"/>
          <w:tab w:val="left" w:pos="1369" w:leader="none"/>
        </w:tabs>
        <w:spacing w:lineRule="auto" w:line="276"/>
        <w:ind w:firstLine="580"/>
        <w:jc w:val="both"/>
        <w:rPr/>
      </w:pPr>
      <w:r>
        <w:rPr/>
        <w:t>Претензия направляется нарочно или по электронной почте и (или) по факсу и одновременно высылаться по почте заказным письмом. Датой получения претензии считается день получения Стороной нарочно или по почте. Срок для ответа на претензию устанавливается 10 (десять) календарных дней со дня ее получения.</w:t>
      </w:r>
    </w:p>
    <w:p>
      <w:pPr>
        <w:pStyle w:val="13"/>
        <w:numPr>
          <w:ilvl w:val="2"/>
          <w:numId w:val="1"/>
        </w:numPr>
        <w:shd w:val="clear" w:color="auto" w:fill="auto"/>
        <w:tabs>
          <w:tab w:val="clear" w:pos="708"/>
          <w:tab w:val="left" w:pos="1340" w:leader="none"/>
        </w:tabs>
        <w:spacing w:lineRule="auto" w:line="276"/>
        <w:ind w:firstLine="580"/>
        <w:jc w:val="both"/>
        <w:rPr/>
      </w:pPr>
      <w:r>
        <w:rPr/>
        <w:t xml:space="preserve">Ответ на претензию направляется по электронной почте и (или) по факсу и одновременно высылается по почте заказным письмом. </w:t>
      </w:r>
    </w:p>
    <w:p>
      <w:pPr>
        <w:pStyle w:val="13"/>
        <w:shd w:val="clear" w:color="auto" w:fill="auto"/>
        <w:tabs>
          <w:tab w:val="clear" w:pos="708"/>
          <w:tab w:val="left" w:pos="1340" w:leader="none"/>
        </w:tabs>
        <w:spacing w:lineRule="auto" w:line="276"/>
        <w:ind w:hanging="0"/>
        <w:jc w:val="both"/>
        <w:rPr/>
      </w:pPr>
      <w:r>
        <w:rPr/>
        <w:t xml:space="preserve">          </w:t>
      </w:r>
      <w:r>
        <w:rPr/>
        <w:t>10.3 В случае, если в указанный в претензии разумный срок претензионные требования не рассмотрены либо не удовлетворены (полностью или частично) Сторона, право которой нарушено, вправе обратиться с исковым заявлением в Арбитражный суд г. Москвы.</w:t>
      </w:r>
    </w:p>
    <w:p>
      <w:pPr>
        <w:pStyle w:val="13"/>
        <w:shd w:val="clear" w:color="auto" w:fill="auto"/>
        <w:tabs>
          <w:tab w:val="clear" w:pos="708"/>
          <w:tab w:val="left" w:pos="1340" w:leader="none"/>
        </w:tabs>
        <w:spacing w:lineRule="auto" w:line="276"/>
        <w:ind w:hanging="0"/>
        <w:jc w:val="center"/>
        <w:rPr/>
      </w:pPr>
      <w:r>
        <w:rPr/>
      </w:r>
    </w:p>
    <w:p>
      <w:pPr>
        <w:pStyle w:val="14"/>
        <w:keepNext w:val="true"/>
        <w:keepLines/>
        <w:numPr>
          <w:ilvl w:val="0"/>
          <w:numId w:val="1"/>
        </w:numPr>
        <w:shd w:val="clear" w:color="auto" w:fill="auto"/>
        <w:tabs>
          <w:tab w:val="clear" w:pos="708"/>
          <w:tab w:val="left" w:pos="438" w:leader="none"/>
        </w:tabs>
        <w:spacing w:lineRule="auto" w:line="276" w:before="0" w:after="0"/>
        <w:rPr/>
      </w:pPr>
      <w:bookmarkStart w:id="22" w:name="bookmark22"/>
      <w:bookmarkStart w:id="23" w:name="bookmark23"/>
      <w:r>
        <w:rPr/>
        <w:t>ОСНОВАНИЕ И ПОРЯДОК РАСТОРЖЕНИЯ И ИЗМЕНЕНИЯ КОНТРАКТА</w:t>
      </w:r>
      <w:bookmarkEnd w:id="22"/>
      <w:bookmarkEnd w:id="23"/>
    </w:p>
    <w:p>
      <w:pPr>
        <w:pStyle w:val="13"/>
        <w:numPr>
          <w:ilvl w:val="1"/>
          <w:numId w:val="1"/>
        </w:numPr>
        <w:shd w:val="clear" w:color="auto" w:fill="auto"/>
        <w:tabs>
          <w:tab w:val="clear" w:pos="708"/>
          <w:tab w:val="left" w:pos="1186" w:leader="none"/>
        </w:tabs>
        <w:spacing w:lineRule="auto" w:line="276"/>
        <w:ind w:firstLine="580"/>
        <w:jc w:val="both"/>
        <w:rPr/>
      </w:pPr>
      <w:r>
        <w:rPr/>
        <w:t>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предусмотренных ч. 1 ст. 95 Федерального закона от 05.04.2013 № 44-ФЗ.</w:t>
      </w:r>
    </w:p>
    <w:p>
      <w:pPr>
        <w:pStyle w:val="13"/>
        <w:numPr>
          <w:ilvl w:val="1"/>
          <w:numId w:val="1"/>
        </w:numPr>
        <w:shd w:val="clear" w:color="auto" w:fill="auto"/>
        <w:tabs>
          <w:tab w:val="clear" w:pos="708"/>
          <w:tab w:val="left" w:pos="1186" w:leader="none"/>
        </w:tabs>
        <w:spacing w:lineRule="auto" w:line="276"/>
        <w:ind w:firstLine="580"/>
        <w:jc w:val="both"/>
        <w:rPr/>
      </w:pPr>
      <w:r>
        <w:rPr/>
        <w:t>Расторжение настоящего Контракта допускается по соглашению Сторон, по решению суда,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pPr>
        <w:pStyle w:val="13"/>
        <w:numPr>
          <w:ilvl w:val="1"/>
          <w:numId w:val="1"/>
        </w:numPr>
        <w:shd w:val="clear" w:color="auto" w:fill="auto"/>
        <w:tabs>
          <w:tab w:val="clear" w:pos="708"/>
          <w:tab w:val="left" w:pos="1279" w:leader="none"/>
        </w:tabs>
        <w:spacing w:lineRule="auto" w:line="276" w:before="0" w:after="260"/>
        <w:ind w:firstLine="580"/>
        <w:jc w:val="both"/>
        <w:rPr/>
      </w:pPr>
      <w:r>
        <w:rPr/>
        <w:t>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14"/>
        <w:keepNext w:val="true"/>
        <w:keepLines/>
        <w:numPr>
          <w:ilvl w:val="0"/>
          <w:numId w:val="1"/>
        </w:numPr>
        <w:shd w:val="clear" w:color="auto" w:fill="auto"/>
        <w:tabs>
          <w:tab w:val="clear" w:pos="708"/>
          <w:tab w:val="left" w:pos="442" w:leader="none"/>
        </w:tabs>
        <w:spacing w:lineRule="auto" w:line="276" w:before="0" w:after="0"/>
        <w:rPr/>
      </w:pPr>
      <w:bookmarkStart w:id="24" w:name="bookmark24"/>
      <w:bookmarkStart w:id="25" w:name="bookmark25"/>
      <w:r>
        <w:rPr/>
        <w:t>ПРОЧИЕ УСЛОВИЯ</w:t>
      </w:r>
      <w:bookmarkEnd w:id="24"/>
      <w:bookmarkEnd w:id="25"/>
    </w:p>
    <w:p>
      <w:pPr>
        <w:pStyle w:val="13"/>
        <w:shd w:val="clear" w:color="auto" w:fill="auto"/>
        <w:spacing w:lineRule="auto" w:line="276"/>
        <w:ind w:firstLine="580"/>
        <w:jc w:val="both"/>
        <w:rPr/>
      </w:pPr>
      <w:r>
        <w:rPr/>
        <w:t>12.1.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разделе 13 Контракта, или с использованием факсимильной связи, электронной почты с последующим представлением оригинала.</w:t>
      </w:r>
    </w:p>
    <w:p>
      <w:pPr>
        <w:pStyle w:val="13"/>
        <w:numPr>
          <w:ilvl w:val="0"/>
          <w:numId w:val="2"/>
        </w:numPr>
        <w:shd w:val="clear" w:color="auto" w:fill="auto"/>
        <w:tabs>
          <w:tab w:val="clear" w:pos="708"/>
          <w:tab w:val="left" w:pos="1134" w:leader="none"/>
        </w:tabs>
        <w:spacing w:lineRule="auto" w:line="276"/>
        <w:ind w:firstLine="567"/>
        <w:jc w:val="both"/>
        <w:rPr/>
      </w:pPr>
      <w:r>
        <w:rPr/>
        <w:t>Во всем остальном, что не предусмотрено Контрактом, стороны руководствуются действующим законодательством Российской Федерации.</w:t>
      </w:r>
    </w:p>
    <w:p>
      <w:pPr>
        <w:pStyle w:val="13"/>
        <w:numPr>
          <w:ilvl w:val="0"/>
          <w:numId w:val="2"/>
        </w:numPr>
        <w:shd w:val="clear" w:color="auto" w:fill="auto"/>
        <w:tabs>
          <w:tab w:val="clear" w:pos="708"/>
          <w:tab w:val="left" w:pos="1134" w:leader="none"/>
        </w:tabs>
        <w:spacing w:lineRule="auto" w:line="276"/>
        <w:ind w:firstLine="567"/>
        <w:jc w:val="both"/>
        <w:rPr/>
      </w:pPr>
      <w:r>
        <w:rPr/>
        <w:t>Все изменения и дополнения к Контракту действительны лишь в том случае, если они совершены в письменной форме и подписаны обеими Сторонами.</w:t>
      </w:r>
    </w:p>
    <w:p>
      <w:pPr>
        <w:pStyle w:val="13"/>
        <w:numPr>
          <w:ilvl w:val="0"/>
          <w:numId w:val="2"/>
        </w:numPr>
        <w:shd w:val="clear" w:color="auto" w:fill="auto"/>
        <w:tabs>
          <w:tab w:val="clear" w:pos="708"/>
          <w:tab w:val="left" w:pos="1134" w:leader="none"/>
        </w:tabs>
        <w:spacing w:lineRule="auto" w:line="276"/>
        <w:ind w:firstLine="567"/>
        <w:jc w:val="both"/>
        <w:rPr/>
      </w:pPr>
      <w:r>
        <w:rPr/>
        <w:t>Контракт составлен в двух экземплярах, имеющих одинаковую юридическую силу, по одному для каждой из Сторон, вступает в силу с момента подписания его Сторонами и действует до момента приема Государственным заказчиком Товара, а в части оплаты и сверки взаиморасчетов до полного исполнения Сторонами обязательств.</w:t>
      </w:r>
    </w:p>
    <w:p>
      <w:pPr>
        <w:pStyle w:val="13"/>
        <w:numPr>
          <w:ilvl w:val="0"/>
          <w:numId w:val="2"/>
        </w:numPr>
        <w:shd w:val="clear" w:color="auto" w:fill="auto"/>
        <w:tabs>
          <w:tab w:val="clear" w:pos="708"/>
          <w:tab w:val="left" w:pos="1134" w:leader="none"/>
        </w:tabs>
        <w:spacing w:lineRule="auto" w:line="276"/>
        <w:ind w:firstLine="567"/>
        <w:jc w:val="both"/>
        <w:rPr/>
      </w:pPr>
      <w:r>
        <w:rPr/>
        <w:t>Следующие приложения являются неотъемлемой частью Контракта:</w:t>
      </w:r>
    </w:p>
    <w:p>
      <w:pPr>
        <w:pStyle w:val="NoSpacing"/>
        <w:tabs>
          <w:tab w:val="clear" w:pos="708"/>
          <w:tab w:val="left" w:pos="1134" w:leader="none"/>
        </w:tabs>
        <w:spacing w:lineRule="auto" w:line="276"/>
        <w:ind w:firstLine="567"/>
        <w:jc w:val="both"/>
        <w:rPr>
          <w:rFonts w:ascii="Times New Roman" w:hAnsi="Times New Roman" w:cs="Times New Roman"/>
        </w:rPr>
      </w:pPr>
      <w:r>
        <w:rPr>
          <w:rFonts w:cs="Times New Roman" w:ascii="Times New Roman" w:hAnsi="Times New Roman"/>
        </w:rPr>
        <w:t>- Приложение № 1 - Спецификация,</w:t>
      </w:r>
    </w:p>
    <w:p>
      <w:pPr>
        <w:pStyle w:val="NoSpacing"/>
        <w:tabs>
          <w:tab w:val="clear" w:pos="708"/>
          <w:tab w:val="left" w:pos="1134" w:leader="none"/>
        </w:tabs>
        <w:spacing w:lineRule="auto" w:line="276"/>
        <w:ind w:firstLine="567"/>
        <w:jc w:val="both"/>
        <w:rPr>
          <w:rFonts w:ascii="Times New Roman" w:hAnsi="Times New Roman" w:cs="Times New Roman"/>
        </w:rPr>
      </w:pPr>
      <w:r>
        <w:rPr>
          <w:rFonts w:cs="Times New Roman" w:ascii="Times New Roman" w:hAnsi="Times New Roman"/>
        </w:rPr>
        <w:t>- Приложение № 2 - Форма Акта сдачи-приемки Товара,</w:t>
      </w:r>
    </w:p>
    <w:p>
      <w:pPr>
        <w:pStyle w:val="NoSpacing"/>
        <w:tabs>
          <w:tab w:val="clear" w:pos="708"/>
          <w:tab w:val="left" w:pos="1134" w:leader="none"/>
        </w:tabs>
        <w:spacing w:lineRule="auto" w:line="276"/>
        <w:ind w:firstLine="567"/>
        <w:jc w:val="both"/>
        <w:rPr>
          <w:rFonts w:ascii="Times New Roman" w:hAnsi="Times New Roman" w:cs="Times New Roman"/>
        </w:rPr>
      </w:pPr>
      <w:r>
        <w:rPr>
          <w:rFonts w:cs="Times New Roman" w:ascii="Times New Roman" w:hAnsi="Times New Roman"/>
        </w:rPr>
        <w:t xml:space="preserve">- Приложение № 3 - Техническое задание. </w:t>
      </w:r>
    </w:p>
    <w:p>
      <w:pPr>
        <w:pStyle w:val="NoSpacing"/>
        <w:tabs>
          <w:tab w:val="clear" w:pos="708"/>
          <w:tab w:val="left" w:pos="1134" w:leader="none"/>
        </w:tabs>
        <w:spacing w:lineRule="auto" w:line="276"/>
        <w:ind w:hanging="0" w:left="0"/>
        <w:jc w:val="both"/>
        <w:rPr>
          <w:rFonts w:ascii="Times New Roman" w:hAnsi="Times New Roman" w:cs="Times New Roman"/>
        </w:rPr>
      </w:pPr>
      <w:r>
        <w:rPr>
          <w:rFonts w:cs="Times New Roman" w:ascii="Times New Roman" w:hAnsi="Times New Roman"/>
        </w:rPr>
      </w:r>
    </w:p>
    <w:p>
      <w:pPr>
        <w:pStyle w:val="NoSpacing"/>
        <w:tabs>
          <w:tab w:val="clear" w:pos="708"/>
          <w:tab w:val="left" w:pos="1134" w:leader="none"/>
        </w:tabs>
        <w:spacing w:lineRule="auto" w:line="276"/>
        <w:ind w:hanging="0" w:left="0"/>
        <w:jc w:val="both"/>
        <w:rPr>
          <w:rFonts w:ascii="Times New Roman" w:hAnsi="Times New Roman" w:cs="Times New Roman"/>
        </w:rPr>
      </w:pPr>
      <w:r>
        <w:rPr>
          <w:rFonts w:cs="Times New Roman" w:ascii="Times New Roman" w:hAnsi="Times New Roman"/>
        </w:rPr>
      </w:r>
    </w:p>
    <w:p>
      <w:pPr>
        <w:pStyle w:val="NoSpacing"/>
        <w:tabs>
          <w:tab w:val="clear" w:pos="708"/>
          <w:tab w:val="left" w:pos="1134" w:leader="none"/>
        </w:tabs>
        <w:spacing w:lineRule="auto" w:line="276"/>
        <w:ind w:hanging="0" w:left="0"/>
        <w:jc w:val="both"/>
        <w:rPr>
          <w:rFonts w:ascii="Times New Roman" w:hAnsi="Times New Roman" w:cs="Times New Roman"/>
        </w:rPr>
      </w:pPr>
      <w:r>
        <w:rPr>
          <w:rFonts w:cs="Times New Roman" w:ascii="Times New Roman" w:hAnsi="Times New Roman"/>
        </w:rPr>
      </w:r>
    </w:p>
    <w:p>
      <w:pPr>
        <w:pStyle w:val="13"/>
        <w:numPr>
          <w:ilvl w:val="0"/>
          <w:numId w:val="1"/>
        </w:numPr>
        <w:shd w:val="clear" w:color="auto" w:fill="auto"/>
        <w:tabs>
          <w:tab w:val="clear" w:pos="708"/>
          <w:tab w:val="left" w:pos="498" w:leader="none"/>
        </w:tabs>
        <w:spacing w:lineRule="auto" w:line="276" w:before="0" w:after="0"/>
        <w:ind w:hanging="0"/>
        <w:jc w:val="center"/>
        <w:rPr/>
      </w:pPr>
      <w:r>
        <w:rPr>
          <w:b/>
          <w:bCs/>
        </w:rPr>
        <w:t>ПОДПИСИ И БАНКОВСКИЕ РЕКВИЗИТЫ СТОРОН</w:t>
      </w:r>
    </w:p>
    <w:tbl>
      <w:tblPr>
        <w:tblStyle w:val="a8"/>
        <w:tblW w:w="9605" w:type="dxa"/>
        <w:jc w:val="left"/>
        <w:tblInd w:w="250" w:type="dxa"/>
        <w:tblLayout w:type="fixed"/>
        <w:tblCellMar>
          <w:top w:w="0" w:type="dxa"/>
          <w:left w:w="108" w:type="dxa"/>
          <w:bottom w:w="0" w:type="dxa"/>
          <w:right w:w="108" w:type="dxa"/>
        </w:tblCellMar>
        <w:tblLook w:noHBand="0" w:noVBand="1" w:firstColumn="1" w:lastRow="0" w:lastColumn="0" w:firstRow="1" w:val="04a0"/>
      </w:tblPr>
      <w:tblGrid>
        <w:gridCol w:w="5245"/>
        <w:gridCol w:w="4360"/>
      </w:tblGrid>
      <w:tr>
        <w:trPr/>
        <w:tc>
          <w:tcPr>
            <w:tcW w:w="5245" w:type="dxa"/>
            <w:tcBorders>
              <w:top w:val="nil"/>
              <w:left w:val="nil"/>
              <w:bottom w:val="nil"/>
              <w:right w:val="nil"/>
            </w:tcBorders>
          </w:tcPr>
          <w:p>
            <w:pPr>
              <w:pStyle w:val="14"/>
              <w:keepNext w:val="true"/>
              <w:keepLines/>
              <w:widowControl w:val="false"/>
              <w:shd w:val="clear" w:color="auto" w:fill="auto"/>
              <w:spacing w:lineRule="auto" w:line="276" w:before="0" w:after="0"/>
              <w:ind w:hanging="113"/>
              <w:jc w:val="both"/>
              <w:rPr>
                <w:kern w:val="0"/>
                <w:sz w:val="24"/>
                <w:szCs w:val="24"/>
                <w:lang w:val="ru-RU" w:eastAsia="ru-RU" w:bidi="ru-RU"/>
              </w:rPr>
            </w:pPr>
            <w:bookmarkStart w:id="26" w:name="bookmark26"/>
            <w:bookmarkStart w:id="27" w:name="bookmark27"/>
            <w:r>
              <w:rPr>
                <w:kern w:val="0"/>
                <w:sz w:val="24"/>
                <w:szCs w:val="24"/>
                <w:lang w:val="ru-RU" w:eastAsia="ru-RU" w:bidi="ru-RU"/>
              </w:rPr>
              <w:t xml:space="preserve"> </w:t>
            </w:r>
            <w:r>
              <w:rPr>
                <w:kern w:val="0"/>
                <w:sz w:val="24"/>
                <w:szCs w:val="24"/>
                <w:lang w:val="ru-RU" w:eastAsia="ru-RU" w:bidi="ru-RU"/>
              </w:rPr>
              <w:t>ГОСУДАРСТВЕННЫЙ ЗАКАЗЧИК:</w:t>
            </w:r>
            <w:bookmarkEnd w:id="26"/>
            <w:bookmarkEnd w:id="27"/>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Государственный заказчик:</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ФКУ «ГБ МСЭ по Московской области»</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Минтруда России</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125319, г. Москва, ул. Коккинаки, д.6</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ИНН </w:t>
            </w:r>
            <w:r>
              <w:rPr>
                <w:rStyle w:val="wmi-callto"/>
                <w:color w:val="1A1A1A"/>
                <w:kern w:val="0"/>
                <w:sz w:val="24"/>
                <w:szCs w:val="24"/>
                <w:lang w:val="ru-RU" w:eastAsia="ru-RU"/>
              </w:rPr>
              <w:t>7714584918</w:t>
            </w:r>
            <w:r>
              <w:rPr>
                <w:color w:val="1A1A1A"/>
                <w:kern w:val="0"/>
                <w:sz w:val="24"/>
                <w:szCs w:val="24"/>
                <w:lang w:val="ru-RU" w:eastAsia="ru-RU"/>
              </w:rPr>
              <w:t>/КПП </w:t>
            </w:r>
            <w:r>
              <w:rPr>
                <w:rStyle w:val="wmi-callto"/>
                <w:color w:val="1A1A1A"/>
                <w:kern w:val="0"/>
                <w:sz w:val="24"/>
                <w:szCs w:val="24"/>
                <w:lang w:val="ru-RU" w:eastAsia="ru-RU"/>
              </w:rPr>
              <w:t>771401001</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ОГРН </w:t>
            </w:r>
            <w:r>
              <w:rPr>
                <w:rStyle w:val="wmi-callto"/>
                <w:color w:val="1A1A1A"/>
                <w:kern w:val="0"/>
                <w:sz w:val="24"/>
                <w:szCs w:val="24"/>
                <w:lang w:val="ru-RU" w:eastAsia="ru-RU"/>
              </w:rPr>
              <w:t>1047797082068</w:t>
            </w:r>
            <w:r>
              <w:rPr>
                <w:color w:val="1A1A1A"/>
                <w:kern w:val="0"/>
                <w:sz w:val="24"/>
                <w:szCs w:val="24"/>
                <w:lang w:val="ru-RU" w:eastAsia="ru-RU"/>
              </w:rPr>
              <w:t>,</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ОКПО </w:t>
            </w:r>
            <w:r>
              <w:rPr>
                <w:rStyle w:val="wmi-callto"/>
                <w:color w:val="1A1A1A"/>
                <w:kern w:val="0"/>
                <w:sz w:val="24"/>
                <w:szCs w:val="24"/>
                <w:lang w:val="ru-RU" w:eastAsia="ru-RU"/>
              </w:rPr>
              <w:t>75399391</w:t>
            </w:r>
            <w:r>
              <w:rPr>
                <w:color w:val="1A1A1A"/>
                <w:kern w:val="0"/>
                <w:sz w:val="24"/>
                <w:szCs w:val="24"/>
                <w:lang w:val="ru-RU" w:eastAsia="ru-RU"/>
              </w:rPr>
              <w:t>, ОКТМО </w:t>
            </w:r>
            <w:r>
              <w:rPr>
                <w:rStyle w:val="wmi-callto"/>
                <w:color w:val="1A1A1A"/>
                <w:kern w:val="0"/>
                <w:sz w:val="24"/>
                <w:szCs w:val="24"/>
                <w:lang w:val="ru-RU" w:eastAsia="ru-RU"/>
              </w:rPr>
              <w:t>45333000</w:t>
            </w:r>
            <w:r>
              <w:rPr>
                <w:color w:val="1A1A1A"/>
                <w:kern w:val="0"/>
                <w:sz w:val="24"/>
                <w:szCs w:val="24"/>
                <w:lang w:val="ru-RU" w:eastAsia="ru-RU"/>
              </w:rPr>
              <w:t>,</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ОКВЭД 88.10, ОКОГУ </w:t>
            </w:r>
            <w:r>
              <w:rPr>
                <w:rStyle w:val="wmi-callto"/>
                <w:color w:val="1A1A1A"/>
                <w:kern w:val="0"/>
                <w:sz w:val="24"/>
                <w:szCs w:val="24"/>
                <w:lang w:val="ru-RU" w:eastAsia="ru-RU"/>
              </w:rPr>
              <w:t>1326500</w:t>
            </w:r>
            <w:r>
              <w:rPr>
                <w:color w:val="1A1A1A"/>
                <w:kern w:val="0"/>
                <w:sz w:val="24"/>
                <w:szCs w:val="24"/>
                <w:lang w:val="ru-RU" w:eastAsia="ru-RU"/>
              </w:rPr>
              <w:t>, ОКФС 12,</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ОКОПФ 75104,</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л/сч. 03481А76410</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Номер казначейского счета: </w:t>
            </w:r>
            <w:r>
              <w:rPr>
                <w:rStyle w:val="wmi-callto"/>
                <w:color w:val="1A1A1A"/>
                <w:kern w:val="0"/>
                <w:sz w:val="24"/>
                <w:szCs w:val="24"/>
                <w:lang w:val="ru-RU" w:eastAsia="ru-RU"/>
              </w:rPr>
              <w:t>03211643000000013234</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Номер банковского счета, входящего в состав ЕКС: </w:t>
            </w:r>
            <w:r>
              <w:rPr>
                <w:rStyle w:val="wmi-callto"/>
                <w:color w:val="1A1A1A"/>
                <w:kern w:val="0"/>
                <w:sz w:val="24"/>
                <w:szCs w:val="24"/>
                <w:lang w:val="ru-RU" w:eastAsia="ru-RU"/>
              </w:rPr>
              <w:t>40102810745370000024</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БИК: </w:t>
            </w:r>
            <w:r>
              <w:rPr>
                <w:rStyle w:val="wmi-callto"/>
                <w:color w:val="1A1A1A"/>
                <w:kern w:val="0"/>
                <w:sz w:val="24"/>
                <w:szCs w:val="24"/>
                <w:lang w:val="ru-RU" w:eastAsia="ru-RU"/>
              </w:rPr>
              <w:t>012202102</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Наименование: ОКЦ №1 ВОЛГО-ВЯТСКОЕ ГУ БАНКА РОССИИ//УФК по Нижегородской области, г. Нижний Новгород</w:t>
            </w:r>
          </w:p>
          <w:p>
            <w:pPr>
              <w:pStyle w:val="NormalWeb"/>
              <w:shd w:val="clear" w:color="auto" w:fill="FFFFFF"/>
              <w:spacing w:beforeAutospacing="0" w:before="0" w:afterAutospacing="0" w:after="0"/>
              <w:jc w:val="left"/>
              <w:rPr>
                <w:color w:val="1A1A1A"/>
              </w:rPr>
            </w:pPr>
            <w:r>
              <w:rPr>
                <w:color w:val="1A1A1A"/>
                <w:kern w:val="0"/>
                <w:sz w:val="24"/>
                <w:szCs w:val="24"/>
                <w:lang w:val="ru-RU" w:eastAsia="ru-RU"/>
              </w:rPr>
              <w:t>тел. 8 (499) </w:t>
            </w:r>
            <w:r>
              <w:rPr>
                <w:rStyle w:val="wmi-callto"/>
                <w:color w:val="1A1A1A"/>
                <w:kern w:val="0"/>
                <w:sz w:val="24"/>
                <w:szCs w:val="24"/>
                <w:lang w:val="ru-RU" w:eastAsia="ru-RU"/>
              </w:rPr>
              <w:t>152-05-55</w:t>
            </w:r>
          </w:p>
          <w:p>
            <w:pPr>
              <w:pStyle w:val="NormalWeb"/>
              <w:spacing w:lineRule="atLeast" w:line="276" w:beforeAutospacing="0" w:before="0" w:afterAutospacing="0" w:after="261"/>
              <w:ind w:hanging="113"/>
              <w:jc w:val="left"/>
              <w:rPr>
                <w:kern w:val="0"/>
                <w:sz w:val="24"/>
                <w:szCs w:val="24"/>
                <w:lang w:val="ru-RU" w:eastAsia="ru-RU"/>
              </w:rPr>
            </w:pPr>
            <w:r>
              <w:rPr>
                <w:color w:val="1A1A1A"/>
                <w:kern w:val="0"/>
                <w:sz w:val="24"/>
                <w:szCs w:val="24"/>
                <w:lang w:val="ru-RU" w:eastAsia="ru-RU"/>
              </w:rPr>
              <w:t xml:space="preserve">  </w:t>
            </w:r>
            <w:r>
              <w:rPr>
                <w:color w:val="1A1A1A"/>
                <w:kern w:val="0"/>
                <w:sz w:val="24"/>
                <w:szCs w:val="24"/>
                <w:lang w:val="ru-RU" w:eastAsia="ru-RU"/>
              </w:rPr>
              <w:t>e-mail: </w:t>
            </w:r>
            <w:hyperlink r:id="rId2" w:tgtFrame="_blank">
              <w:r>
                <w:rPr>
                  <w:rStyle w:val="Hyperlink"/>
                  <w:color w:val="auto"/>
                  <w:kern w:val="0"/>
                  <w:sz w:val="24"/>
                  <w:szCs w:val="24"/>
                  <w:u w:val="none"/>
                  <w:lang w:val="ru-RU" w:eastAsia="ru-RU"/>
                </w:rPr>
                <w:t>zakupkimsemo@yandex.ru</w:t>
              </w:r>
            </w:hyperlink>
          </w:p>
          <w:p>
            <w:pPr>
              <w:pStyle w:val="13"/>
              <w:widowControl w:val="false"/>
              <w:shd w:val="clear" w:color="auto" w:fill="auto"/>
              <w:spacing w:lineRule="auto" w:line="276" w:before="0" w:after="260"/>
              <w:ind w:hanging="113"/>
              <w:jc w:val="both"/>
              <w:rPr>
                <w:kern w:val="0"/>
                <w:sz w:val="24"/>
                <w:szCs w:val="24"/>
                <w:lang w:val="ru-RU" w:eastAsia="ru-RU" w:bidi="ru-RU"/>
              </w:rPr>
            </w:pPr>
            <w:r>
              <w:rPr>
                <w:kern w:val="0"/>
                <w:sz w:val="24"/>
                <w:szCs w:val="24"/>
                <w:lang w:val="ru-RU" w:eastAsia="ru-RU" w:bidi="ru-RU"/>
              </w:rPr>
            </w:r>
          </w:p>
        </w:tc>
        <w:tc>
          <w:tcPr>
            <w:tcW w:w="4360" w:type="dxa"/>
            <w:tcBorders>
              <w:top w:val="nil"/>
              <w:left w:val="nil"/>
              <w:bottom w:val="nil"/>
              <w:right w:val="nil"/>
            </w:tcBorders>
          </w:tcPr>
          <w:p>
            <w:pPr>
              <w:pStyle w:val="14"/>
              <w:keepNext w:val="true"/>
              <w:keepLines/>
              <w:widowControl w:val="false"/>
              <w:shd w:val="clear" w:color="auto" w:fill="auto"/>
              <w:spacing w:lineRule="auto" w:line="276" w:before="0" w:after="0"/>
              <w:ind w:hanging="72" w:left="-41"/>
              <w:jc w:val="both"/>
              <w:rPr>
                <w:kern w:val="0"/>
                <w:sz w:val="24"/>
                <w:szCs w:val="24"/>
                <w:lang w:val="ru-RU" w:eastAsia="ru-RU" w:bidi="ru-RU"/>
              </w:rPr>
            </w:pPr>
            <w:r>
              <w:rPr>
                <w:kern w:val="0"/>
                <w:sz w:val="24"/>
                <w:szCs w:val="24"/>
                <w:lang w:val="ru-RU" w:eastAsia="ru-RU" w:bidi="ru-RU"/>
              </w:rPr>
              <w:t>ПОСТАВЩИК:</w:t>
            </w:r>
          </w:p>
          <w:p>
            <w:pPr>
              <w:pStyle w:val="14"/>
              <w:keepNext w:val="true"/>
              <w:keepLines/>
              <w:widowControl w:val="false"/>
              <w:shd w:val="clear" w:color="auto" w:fill="auto"/>
              <w:spacing w:lineRule="auto" w:line="276" w:before="0" w:after="0"/>
              <w:ind w:hanging="72" w:left="-41"/>
              <w:jc w:val="both"/>
              <w:rPr>
                <w:b w:val="false"/>
                <w:lang w:val="en-US"/>
              </w:rPr>
            </w:pPr>
            <w:r>
              <w:rPr>
                <w:b w:val="false"/>
                <w:lang w:val="en-US"/>
              </w:rPr>
            </w:r>
          </w:p>
        </w:tc>
      </w:tr>
      <w:tr>
        <w:trPr>
          <w:trHeight w:val="638" w:hRule="atLeast"/>
        </w:trPr>
        <w:tc>
          <w:tcPr>
            <w:tcW w:w="5245" w:type="dxa"/>
            <w:tcBorders>
              <w:top w:val="nil"/>
              <w:left w:val="nil"/>
              <w:bottom w:val="nil"/>
              <w:right w:val="nil"/>
            </w:tcBorders>
          </w:tcPr>
          <w:p>
            <w:pPr>
              <w:pStyle w:val="13"/>
              <w:widowControl w:val="false"/>
              <w:shd w:val="clear" w:color="auto" w:fill="auto"/>
              <w:spacing w:lineRule="auto" w:line="276" w:before="0" w:after="0"/>
              <w:ind w:hanging="0"/>
              <w:jc w:val="both"/>
              <w:rPr>
                <w:kern w:val="0"/>
                <w:sz w:val="24"/>
                <w:szCs w:val="24"/>
                <w:lang w:val="ru-RU" w:eastAsia="ru-RU" w:bidi="ru-RU"/>
              </w:rPr>
            </w:pPr>
            <w:r>
              <w:rPr>
                <w:kern w:val="0"/>
                <w:sz w:val="24"/>
                <w:szCs w:val="24"/>
                <w:lang w:val="ru-RU" w:eastAsia="ru-RU" w:bidi="ru-RU"/>
              </w:rPr>
            </w:r>
          </w:p>
          <w:p>
            <w:pPr>
              <w:pStyle w:val="13"/>
              <w:widowControl w:val="false"/>
              <w:shd w:val="clear" w:color="auto" w:fill="auto"/>
              <w:spacing w:lineRule="auto" w:line="276" w:before="0" w:after="0"/>
              <w:ind w:hanging="0"/>
              <w:jc w:val="both"/>
              <w:rPr>
                <w:kern w:val="0"/>
                <w:sz w:val="24"/>
                <w:szCs w:val="24"/>
                <w:lang w:val="ru-RU" w:eastAsia="ru-RU" w:bidi="ru-RU"/>
              </w:rPr>
            </w:pPr>
            <w:r>
              <w:rPr>
                <w:kern w:val="0"/>
                <w:sz w:val="24"/>
                <w:szCs w:val="24"/>
                <w:lang w:val="ru-RU" w:eastAsia="ru-RU" w:bidi="ru-RU"/>
              </w:rPr>
              <w:t>______________________ /__________ /</w:t>
            </w:r>
          </w:p>
          <w:p>
            <w:pPr>
              <w:pStyle w:val="13"/>
              <w:widowControl w:val="false"/>
              <w:shd w:val="clear" w:color="auto" w:fill="auto"/>
              <w:spacing w:lineRule="auto" w:line="276" w:before="0" w:after="0"/>
              <w:ind w:hanging="0"/>
              <w:jc w:val="both"/>
              <w:rPr>
                <w:kern w:val="0"/>
                <w:sz w:val="24"/>
                <w:szCs w:val="24"/>
                <w:lang w:val="ru-RU" w:eastAsia="ru-RU" w:bidi="ru-RU"/>
              </w:rPr>
            </w:pPr>
            <w:r>
              <w:rPr>
                <w:kern w:val="0"/>
                <w:sz w:val="24"/>
                <w:szCs w:val="24"/>
                <w:lang w:val="ru-RU" w:eastAsia="ru-RU" w:bidi="ru-RU"/>
              </w:rPr>
              <w:t>м.п.</w:t>
            </w:r>
          </w:p>
        </w:tc>
        <w:tc>
          <w:tcPr>
            <w:tcW w:w="4360" w:type="dxa"/>
            <w:tcBorders>
              <w:top w:val="nil"/>
              <w:left w:val="nil"/>
              <w:bottom w:val="nil"/>
              <w:right w:val="nil"/>
            </w:tcBorders>
          </w:tcPr>
          <w:p>
            <w:pPr>
              <w:pStyle w:val="13"/>
              <w:widowControl w:val="false"/>
              <w:shd w:val="clear" w:color="auto" w:fill="auto"/>
              <w:spacing w:lineRule="auto" w:line="276" w:before="0" w:after="0"/>
              <w:ind w:hanging="0"/>
              <w:jc w:val="both"/>
              <w:rPr>
                <w:kern w:val="0"/>
                <w:sz w:val="24"/>
                <w:szCs w:val="24"/>
                <w:lang w:val="ru-RU" w:eastAsia="ru-RU" w:bidi="ru-RU"/>
              </w:rPr>
            </w:pPr>
            <w:r>
              <w:rPr>
                <w:kern w:val="0"/>
                <w:sz w:val="24"/>
                <w:szCs w:val="24"/>
                <w:lang w:val="ru-RU" w:eastAsia="ru-RU" w:bidi="ru-RU"/>
              </w:rPr>
            </w:r>
          </w:p>
          <w:p>
            <w:pPr>
              <w:pStyle w:val="13"/>
              <w:widowControl w:val="false"/>
              <w:shd w:val="clear" w:color="auto" w:fill="auto"/>
              <w:spacing w:lineRule="auto" w:line="276" w:before="0" w:after="0"/>
              <w:ind w:hanging="0"/>
              <w:jc w:val="both"/>
              <w:rPr>
                <w:kern w:val="0"/>
                <w:sz w:val="24"/>
                <w:szCs w:val="24"/>
                <w:lang w:val="ru-RU" w:eastAsia="ru-RU" w:bidi="ru-RU"/>
              </w:rPr>
            </w:pPr>
            <w:r>
              <w:rPr>
                <w:kern w:val="0"/>
                <w:sz w:val="24"/>
                <w:szCs w:val="24"/>
                <w:lang w:val="ru-RU" w:eastAsia="ru-RU" w:bidi="ru-RU"/>
              </w:rPr>
              <w:t>______________________ /_________ /</w:t>
            </w:r>
          </w:p>
          <w:p>
            <w:pPr>
              <w:pStyle w:val="13"/>
              <w:widowControl w:val="false"/>
              <w:shd w:val="clear" w:color="auto" w:fill="auto"/>
              <w:spacing w:lineRule="auto" w:line="276" w:before="0" w:after="260"/>
              <w:ind w:hanging="0"/>
              <w:jc w:val="both"/>
              <w:rPr>
                <w:kern w:val="0"/>
                <w:sz w:val="24"/>
                <w:szCs w:val="24"/>
                <w:lang w:val="ru-RU" w:eastAsia="ru-RU" w:bidi="ru-RU"/>
              </w:rPr>
            </w:pPr>
            <w:r>
              <w:rPr>
                <w:kern w:val="0"/>
                <w:sz w:val="24"/>
                <w:szCs w:val="24"/>
                <w:lang w:val="ru-RU" w:eastAsia="ru-RU" w:bidi="ru-RU"/>
              </w:rPr>
              <w:t>м.п.</w:t>
            </w:r>
          </w:p>
        </w:tc>
      </w:tr>
    </w:tbl>
    <w:p>
      <w:pPr>
        <w:sectPr>
          <w:footerReference w:type="even" r:id="rId3"/>
          <w:footerReference w:type="default" r:id="rId4"/>
          <w:footerReference w:type="first" r:id="rId5"/>
          <w:type w:val="nextPage"/>
          <w:pgSz w:w="11906" w:h="16838"/>
          <w:pgMar w:left="1134" w:right="1127" w:gutter="0" w:header="0" w:top="897" w:footer="3" w:bottom="710"/>
          <w:pgNumType w:start="1" w:fmt="decimal"/>
          <w:formProt w:val="false"/>
          <w:titlePg/>
          <w:textDirection w:val="lrTb"/>
          <w:docGrid w:type="default" w:linePitch="360" w:charSpace="0"/>
        </w:sectPr>
      </w:pPr>
    </w:p>
    <w:p>
      <w:pPr>
        <w:pStyle w:val="Normal"/>
        <w:shd w:val="clear" w:color="auto" w:fill="FFFFFF"/>
        <w:tabs>
          <w:tab w:val="clear" w:pos="708"/>
          <w:tab w:val="left" w:pos="3480" w:leader="none"/>
          <w:tab w:val="center" w:pos="4667" w:leader="none"/>
        </w:tabs>
        <w:spacing w:before="67" w:after="0"/>
        <w:ind w:left="11199" w:right="21"/>
        <w:jc w:val="right"/>
        <w:rPr/>
      </w:pPr>
      <w:r>
        <w:rPr>
          <w:rFonts w:cs="Times New Roman" w:ascii="Times New Roman" w:hAnsi="Times New Roman"/>
        </w:rPr>
        <w:t xml:space="preserve">Приложение № 1 </w:t>
      </w:r>
    </w:p>
    <w:p>
      <w:pPr>
        <w:pStyle w:val="15"/>
        <w:ind w:left="11199"/>
        <w:jc w:val="right"/>
        <w:rPr/>
      </w:pPr>
      <w:r>
        <w:rPr>
          <w:rFonts w:ascii="Times New Roman" w:hAnsi="Times New Roman"/>
          <w:sz w:val="24"/>
          <w:szCs w:val="24"/>
        </w:rPr>
        <w:t xml:space="preserve">к Государственному Контракту </w:t>
      </w:r>
    </w:p>
    <w:p>
      <w:pPr>
        <w:pStyle w:val="15"/>
        <w:ind w:hanging="0" w:left="0"/>
        <w:jc w:val="right"/>
        <w:rPr>
          <w:rFonts w:ascii="Times New Roman" w:hAnsi="Times New Roman"/>
          <w:sz w:val="24"/>
          <w:szCs w:val="24"/>
        </w:rPr>
      </w:pPr>
      <w:r>
        <w:rPr>
          <w:rFonts w:ascii="Times New Roman" w:hAnsi="Times New Roman"/>
          <w:sz w:val="24"/>
          <w:szCs w:val="24"/>
        </w:rPr>
        <w:t>от «___» _________ 2026 г. № ____</w:t>
      </w:r>
    </w:p>
    <w:p>
      <w:pPr>
        <w:pStyle w:val="15"/>
        <w:ind w:hanging="0" w:left="0"/>
        <w:jc w:val="right"/>
        <w:rPr>
          <w:rFonts w:ascii="Times New Roman" w:hAnsi="Times New Roman"/>
          <w:sz w:val="24"/>
          <w:szCs w:val="24"/>
        </w:rPr>
      </w:pPr>
      <w:r>
        <w:rPr>
          <w:rFonts w:ascii="Times New Roman" w:hAnsi="Times New Roman"/>
          <w:sz w:val="24"/>
          <w:szCs w:val="24"/>
        </w:rPr>
      </w:r>
    </w:p>
    <w:p>
      <w:pPr>
        <w:pStyle w:val="13"/>
        <w:shd w:val="clear" w:color="auto" w:fill="auto"/>
        <w:ind w:hanging="0"/>
        <w:jc w:val="center"/>
        <w:rPr/>
      </w:pPr>
      <w:r>
        <w:rPr>
          <w:bCs/>
        </w:rPr>
        <w:t>СПЕЦИФИКАЦИЯ*</w:t>
      </w:r>
    </w:p>
    <w:p>
      <w:pPr>
        <w:pStyle w:val="13"/>
        <w:jc w:val="center"/>
        <w:rPr>
          <w:bCs/>
        </w:rPr>
      </w:pPr>
      <w:r>
        <w:rPr>
          <w:bCs/>
        </w:rPr>
        <w:t xml:space="preserve">на поставку шкафов архивных металлических для нужд </w:t>
      </w:r>
    </w:p>
    <w:p>
      <w:pPr>
        <w:pStyle w:val="13"/>
        <w:jc w:val="center"/>
        <w:rPr>
          <w:bCs/>
        </w:rPr>
      </w:pPr>
      <w:r>
        <w:rPr>
          <w:bCs/>
        </w:rPr>
        <w:t>ФКУ «ГБ МСЭ по Московской области» Минтруда России</w:t>
      </w:r>
    </w:p>
    <w:tbl>
      <w:tblPr>
        <w:tblW w:w="15549" w:type="dxa"/>
        <w:jc w:val="left"/>
        <w:tblInd w:w="0" w:type="dxa"/>
        <w:tblLayout w:type="fixed"/>
        <w:tblCellMar>
          <w:top w:w="0" w:type="dxa"/>
          <w:left w:w="108" w:type="dxa"/>
          <w:bottom w:w="0" w:type="dxa"/>
          <w:right w:w="108" w:type="dxa"/>
        </w:tblCellMar>
        <w:tblLook w:noHBand="0" w:noVBand="1" w:firstColumn="1" w:lastRow="0" w:lastColumn="0" w:firstRow="1" w:val="04a0"/>
      </w:tblPr>
      <w:tblGrid>
        <w:gridCol w:w="617"/>
        <w:gridCol w:w="1583"/>
        <w:gridCol w:w="1699"/>
        <w:gridCol w:w="4895"/>
        <w:gridCol w:w="1126"/>
        <w:gridCol w:w="1032"/>
        <w:gridCol w:w="2314"/>
        <w:gridCol w:w="2283"/>
      </w:tblGrid>
      <w:tr>
        <w:trPr>
          <w:trHeight w:val="367" w:hRule="atLeast"/>
        </w:trPr>
        <w:tc>
          <w:tcPr>
            <w:tcW w:w="6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rPr>
            </w:pPr>
            <w:r>
              <w:rPr>
                <w:rFonts w:cs="Times New Roman" w:ascii="Times New Roman" w:hAnsi="Times New Roman"/>
                <w:b/>
              </w:rPr>
              <w:t>№</w:t>
            </w:r>
          </w:p>
          <w:p>
            <w:pPr>
              <w:pStyle w:val="Normal"/>
              <w:jc w:val="center"/>
              <w:rPr>
                <w:rFonts w:ascii="Times New Roman" w:hAnsi="Times New Roman" w:cs="Times New Roman"/>
              </w:rPr>
            </w:pPr>
            <w:r>
              <w:rPr>
                <w:rFonts w:cs="Times New Roman" w:ascii="Times New Roman" w:hAnsi="Times New Roman"/>
                <w:b/>
              </w:rPr>
              <w:t>п/п</w:t>
            </w:r>
          </w:p>
        </w:tc>
        <w:tc>
          <w:tcPr>
            <w:tcW w:w="15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Times New Roman" w:ascii="Times New Roman" w:hAnsi="Times New Roman"/>
                <w:b/>
              </w:rPr>
              <w:t>Наименование Товара</w:t>
            </w:r>
          </w:p>
        </w:tc>
        <w:tc>
          <w:tcPr>
            <w:tcW w:w="169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b/>
                <w:bCs/>
                <w:shd w:fill="FFFFFF" w:val="clear"/>
              </w:rPr>
              <w:t>КТРУ/ОКПД2</w:t>
            </w:r>
          </w:p>
        </w:tc>
        <w:tc>
          <w:tcPr>
            <w:tcW w:w="4895"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jc w:val="center"/>
              <w:rPr>
                <w:rFonts w:ascii="Times New Roman" w:hAnsi="Times New Roman" w:cs="Times New Roman"/>
              </w:rPr>
            </w:pPr>
            <w:r>
              <w:rPr>
                <w:rFonts w:cs="Times New Roman" w:ascii="Times New Roman" w:hAnsi="Times New Roman"/>
                <w:b/>
                <w:bCs/>
                <w:shd w:fill="FFFFFF" w:val="clear"/>
              </w:rPr>
              <w:t>Характеристики Товара</w:t>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rPr>
            </w:pPr>
            <w:r>
              <w:rPr>
                <w:rFonts w:cs="Times New Roman" w:ascii="Times New Roman" w:hAnsi="Times New Roman"/>
                <w:b/>
              </w:rPr>
              <w:t>Ед. изм.</w:t>
            </w:r>
          </w:p>
        </w:tc>
        <w:tc>
          <w:tcPr>
            <w:tcW w:w="1032" w:type="dxa"/>
            <w:tcBorders>
              <w:top w:val="single" w:sz="4" w:space="0" w:color="000000"/>
              <w:left w:val="single" w:sz="4" w:space="0" w:color="000000"/>
              <w:bottom w:val="single" w:sz="4" w:space="0" w:color="000000"/>
            </w:tcBorders>
            <w:vAlign w:val="center"/>
          </w:tcPr>
          <w:p>
            <w:pPr>
              <w:pStyle w:val="Normal"/>
              <w:ind w:left="-110" w:right="-65"/>
              <w:jc w:val="center"/>
              <w:rPr>
                <w:rFonts w:ascii="Times New Roman" w:hAnsi="Times New Roman" w:cs="Times New Roman"/>
              </w:rPr>
            </w:pPr>
            <w:r>
              <w:rPr>
                <w:rFonts w:cs="Times New Roman" w:ascii="Times New Roman" w:hAnsi="Times New Roman"/>
                <w:b/>
              </w:rPr>
              <w:t>Кол-во</w:t>
            </w:r>
          </w:p>
        </w:tc>
        <w:tc>
          <w:tcPr>
            <w:tcW w:w="2314" w:type="dxa"/>
            <w:tcBorders>
              <w:top w:val="single" w:sz="4" w:space="0" w:color="000000"/>
              <w:left w:val="single" w:sz="4" w:space="0" w:color="000000"/>
              <w:bottom w:val="single" w:sz="4" w:space="0" w:color="000000"/>
              <w:right w:val="single" w:sz="4" w:space="0" w:color="000000"/>
            </w:tcBorders>
            <w:vAlign w:val="center"/>
          </w:tcPr>
          <w:p>
            <w:pPr>
              <w:pStyle w:val="Normal"/>
              <w:ind w:left="-110" w:right="-65"/>
              <w:jc w:val="center"/>
              <w:rPr>
                <w:rFonts w:ascii="Times New Roman" w:hAnsi="Times New Roman" w:cs="Times New Roman"/>
                <w:b/>
                <w:bCs/>
              </w:rPr>
            </w:pPr>
            <w:r>
              <w:rPr>
                <w:rFonts w:cs="Times New Roman" w:ascii="Times New Roman" w:hAnsi="Times New Roman"/>
                <w:b/>
                <w:bCs/>
              </w:rPr>
              <w:t>Цена за ед. Товара</w:t>
            </w:r>
          </w:p>
        </w:tc>
        <w:tc>
          <w:tcPr>
            <w:tcW w:w="228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pPr>
            <w:r>
              <w:rPr>
                <w:rFonts w:cs="Times New Roman" w:ascii="Times New Roman" w:hAnsi="Times New Roman"/>
                <w:b/>
              </w:rPr>
              <w:t>Итого стоимость в руб.</w:t>
            </w:r>
            <w:r>
              <w:rPr>
                <w:rFonts w:cs="Times New Roman" w:ascii="Times New Roman" w:hAnsi="Times New Roman"/>
                <w:b/>
                <w:vertAlign w:val="superscript"/>
              </w:rPr>
              <w:t>1</w:t>
            </w:r>
            <w:r>
              <w:rPr>
                <w:rFonts w:cs="Times New Roman" w:ascii="Times New Roman" w:hAnsi="Times New Roman"/>
                <w:b/>
              </w:rPr>
              <w:t xml:space="preserve">, </w:t>
            </w:r>
            <w:r>
              <w:rPr>
                <w:rFonts w:cs="Times New Roman" w:ascii="Times New Roman" w:hAnsi="Times New Roman"/>
                <w:i/>
              </w:rPr>
              <w:t>с учетом НДС / НДС не облагается</w:t>
            </w:r>
          </w:p>
        </w:tc>
      </w:tr>
      <w:tr>
        <w:trPr>
          <w:trHeight w:val="558" w:hRule="atLeast"/>
        </w:trPr>
        <w:tc>
          <w:tcPr>
            <w:tcW w:w="617" w:type="dxa"/>
            <w:tcBorders>
              <w:top w:val="single" w:sz="4" w:space="0" w:color="000000"/>
              <w:left w:val="single" w:sz="4" w:space="0" w:color="000000"/>
              <w:bottom w:val="single" w:sz="4" w:space="0" w:color="000000"/>
              <w:right w:val="single" w:sz="4" w:space="0" w:color="000000"/>
            </w:tcBorders>
            <w:vAlign w:val="center"/>
          </w:tcPr>
          <w:p>
            <w:pPr>
              <w:pStyle w:val="Normal"/>
              <w:widowControl/>
              <w:numPr>
                <w:ilvl w:val="0"/>
                <w:numId w:val="2"/>
              </w:numPr>
              <w:jc w:val="center"/>
              <w:rPr>
                <w:rFonts w:ascii="Times New Roman" w:hAnsi="Times New Roman" w:cs="Times New Roman"/>
              </w:rPr>
            </w:pPr>
            <w:r>
              <w:rPr>
                <w:rFonts w:cs="Times New Roman" w:ascii="Times New Roman" w:hAnsi="Times New Roman"/>
              </w:rPr>
            </w:r>
          </w:p>
        </w:tc>
        <w:tc>
          <w:tcPr>
            <w:tcW w:w="1583"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rPr>
            </w:pPr>
            <w:r>
              <w:rPr>
                <w:rFonts w:cs="Times New Roman" w:ascii="Times New Roman" w:hAnsi="Times New Roman"/>
              </w:rPr>
            </w:r>
          </w:p>
        </w:tc>
        <w:tc>
          <w:tcPr>
            <w:tcW w:w="1699"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rPr>
            </w:pPr>
            <w:r>
              <w:rPr>
                <w:rFonts w:cs="Times New Roman" w:ascii="Times New Roman" w:hAnsi="Times New Roman"/>
              </w:rPr>
              <w:t>31.01.11.122-00000001/31.01.11.122</w:t>
            </w:r>
          </w:p>
        </w:tc>
        <w:tc>
          <w:tcPr>
            <w:tcW w:w="4895" w:type="dxa"/>
            <w:tcBorders>
              <w:left w:val="single" w:sz="4" w:space="0" w:color="000000"/>
              <w:bottom w:val="single" w:sz="4" w:space="0" w:color="000000"/>
              <w:right w:val="single" w:sz="4" w:space="0" w:color="000000"/>
            </w:tcBorders>
          </w:tcPr>
          <w:p>
            <w:pPr>
              <w:pStyle w:val="Normal"/>
              <w:rPr>
                <w:rFonts w:ascii="Times New Roman" w:hAnsi="Times New Roman" w:cs="Times New Roman"/>
                <w:b/>
                <w:bCs/>
                <w:i/>
                <w:iCs/>
              </w:rPr>
            </w:pPr>
            <w:r>
              <w:rPr>
                <w:rFonts w:cs="Times New Roman" w:ascii="Times New Roman" w:hAnsi="Times New Roman"/>
                <w:b/>
                <w:bCs/>
                <w:i/>
                <w:iCs/>
              </w:rPr>
            </w:r>
          </w:p>
        </w:tc>
        <w:tc>
          <w:tcPr>
            <w:tcW w:w="1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rPr>
            </w:pPr>
            <w:r>
              <w:rPr>
                <w:rFonts w:cs="Times New Roman" w:ascii="Times New Roman" w:hAnsi="Times New Roman"/>
              </w:rPr>
              <w:t>Штука</w:t>
            </w:r>
          </w:p>
        </w:tc>
        <w:tc>
          <w:tcPr>
            <w:tcW w:w="1032" w:type="dxa"/>
            <w:tcBorders>
              <w:left w:val="single" w:sz="4" w:space="0" w:color="000000"/>
              <w:bottom w:val="single" w:sz="4" w:space="0" w:color="000000"/>
            </w:tcBorders>
            <w:vAlign w:val="center"/>
          </w:tcPr>
          <w:p>
            <w:pPr>
              <w:pStyle w:val="Normal"/>
              <w:jc w:val="center"/>
              <w:rPr>
                <w:rFonts w:ascii="Times New Roman" w:hAnsi="Times New Roman" w:cs="Times New Roman"/>
              </w:rPr>
            </w:pPr>
            <w:r>
              <w:rPr>
                <w:rFonts w:cs="Times New Roman" w:ascii="Times New Roman" w:hAnsi="Times New Roman"/>
              </w:rPr>
              <w:t>2</w:t>
            </w:r>
          </w:p>
        </w:tc>
        <w:tc>
          <w:tcPr>
            <w:tcW w:w="2314"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rPr>
            </w:pPr>
            <w:r>
              <w:rPr>
                <w:rFonts w:cs="Times New Roman" w:ascii="Times New Roman" w:hAnsi="Times New Roman"/>
              </w:rPr>
            </w:r>
          </w:p>
        </w:tc>
        <w:tc>
          <w:tcPr>
            <w:tcW w:w="2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rPr>
            </w:pPr>
            <w:r>
              <w:rPr>
                <w:rFonts w:cs="Times New Roman" w:ascii="Times New Roman" w:hAnsi="Times New Roman"/>
              </w:rPr>
            </w:r>
          </w:p>
        </w:tc>
      </w:tr>
      <w:tr>
        <w:trPr>
          <w:trHeight w:val="178" w:hRule="atLeast"/>
        </w:trPr>
        <w:tc>
          <w:tcPr>
            <w:tcW w:w="13266"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left"/>
              <w:rPr>
                <w:rFonts w:ascii="Times New Roman" w:hAnsi="Times New Roman" w:cs="Times New Roman"/>
                <w:b/>
                <w:bCs/>
                <w:lang w:val="en-US"/>
              </w:rPr>
            </w:pPr>
            <w:r>
              <w:rPr>
                <w:rFonts w:cs="Times New Roman" w:ascii="Times New Roman" w:hAnsi="Times New Roman"/>
                <w:b/>
                <w:bCs/>
              </w:rPr>
              <w:t>Итого</w:t>
            </w:r>
            <w:r>
              <w:rPr>
                <w:rFonts w:cs="Times New Roman" w:ascii="Times New Roman" w:hAnsi="Times New Roman"/>
                <w:b/>
                <w:bCs/>
                <w:lang w:val="en-US"/>
              </w:rPr>
              <w:t>:</w:t>
            </w:r>
          </w:p>
        </w:tc>
        <w:tc>
          <w:tcPr>
            <w:tcW w:w="2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cs="Times New Roman"/>
              </w:rPr>
            </w:pPr>
            <w:r>
              <w:rPr>
                <w:rFonts w:cs="Times New Roman" w:ascii="Times New Roman" w:hAnsi="Times New Roman"/>
              </w:rPr>
            </w:r>
          </w:p>
        </w:tc>
      </w:tr>
    </w:tbl>
    <w:p>
      <w:pPr>
        <w:pStyle w:val="13"/>
        <w:shd w:val="clear" w:color="auto" w:fill="auto"/>
        <w:ind w:hanging="0"/>
        <w:jc w:val="both"/>
        <w:rPr>
          <w:bCs/>
          <w:iCs/>
          <w:vertAlign w:val="superscript"/>
        </w:rPr>
      </w:pPr>
      <w:r>
        <w:rPr>
          <w:rFonts w:eastAsia="Times New Roman" w:cs="Times New Roman"/>
          <w:color w:val="000000"/>
          <w:kern w:val="0"/>
          <w:sz w:val="24"/>
          <w:szCs w:val="24"/>
          <w:lang w:val="ru-RU" w:eastAsia="ru-RU" w:bidi="ru-RU"/>
        </w:rPr>
        <w:t>* Доставка, разгрузка</w:t>
      </w:r>
      <w:r>
        <w:rPr>
          <w:rFonts w:eastAsia="Times New Roman" w:cs="Times New Roman"/>
          <w:color w:val="000000"/>
          <w:kern w:val="0"/>
          <w:sz w:val="24"/>
          <w:szCs w:val="24"/>
          <w:shd w:fill="FFFFFF" w:val="clear"/>
          <w:lang w:val="ru-RU" w:eastAsia="ru-RU" w:bidi="ru-RU"/>
        </w:rPr>
        <w:t>, сборка, установка Т</w:t>
      </w:r>
      <w:r>
        <w:rPr>
          <w:rFonts w:eastAsia="Times New Roman" w:cs="Times New Roman"/>
          <w:color w:val="000000"/>
          <w:kern w:val="0"/>
          <w:sz w:val="24"/>
          <w:szCs w:val="24"/>
          <w:lang w:val="ru-RU" w:eastAsia="ru-RU" w:bidi="ru-RU"/>
        </w:rPr>
        <w:t>овара осуществляется по адресу, указанному в п. 1.3 настоящего Контракта и должна осуществляться силами и за счет Поставщик</w:t>
      </w:r>
      <w:r>
        <w:rPr>
          <w:bCs/>
          <w:iCs/>
        </w:rPr>
        <w:t>а. Сборка осуществляется в день поставки Товара.</w:t>
      </w:r>
    </w:p>
    <w:p>
      <w:pPr>
        <w:pStyle w:val="13"/>
        <w:shd w:val="clear" w:color="auto" w:fill="auto"/>
        <w:ind w:hanging="0"/>
        <w:jc w:val="both"/>
        <w:rPr/>
      </w:pPr>
      <w:r>
        <w:rPr>
          <w:vertAlign w:val="superscript"/>
        </w:rPr>
        <w:t>1</w:t>
      </w:r>
      <w:r>
        <w:rPr/>
        <w:t>Стоимость указывается в рублях и включает в себя: стоимость всего Товара все затраты Поставщика, связанные с исполнением Контракта, в том числе страхование, уплату пошлин, налогов, сборов и других обязательных платежей, которые Поставщик обязан выплатить в связи с выполнением обязательств по Контракту, в соответствии с законодательством Российской Федерации.</w:t>
      </w:r>
    </w:p>
    <w:p>
      <w:pPr>
        <w:pStyle w:val="13"/>
        <w:shd w:val="clear" w:color="auto" w:fill="auto"/>
        <w:ind w:hanging="0"/>
        <w:jc w:val="both"/>
        <w:rPr/>
      </w:pPr>
      <w:r>
        <w:rPr/>
      </w:r>
    </w:p>
    <w:p>
      <w:pPr>
        <w:pStyle w:val="13"/>
        <w:shd w:val="clear" w:color="auto" w:fill="auto"/>
        <w:spacing w:before="0" w:after="0"/>
        <w:ind w:hanging="0"/>
        <w:jc w:val="both"/>
        <w:rPr/>
      </w:pPr>
      <w:r>
        <w:rPr/>
      </w:r>
    </w:p>
    <w:tbl>
      <w:tblPr>
        <w:tblW w:w="13622" w:type="dxa"/>
        <w:jc w:val="left"/>
        <w:tblInd w:w="1101" w:type="dxa"/>
        <w:tblLayout w:type="fixed"/>
        <w:tblCellMar>
          <w:top w:w="0" w:type="dxa"/>
          <w:left w:w="108" w:type="dxa"/>
          <w:bottom w:w="0" w:type="dxa"/>
          <w:right w:w="108" w:type="dxa"/>
        </w:tblCellMar>
        <w:tblLook w:noHBand="0" w:noVBand="1" w:firstColumn="1" w:lastRow="0" w:lastColumn="0" w:firstRow="1" w:val="04a0"/>
      </w:tblPr>
      <w:tblGrid>
        <w:gridCol w:w="7279"/>
        <w:gridCol w:w="6343"/>
      </w:tblGrid>
      <w:tr>
        <w:trPr>
          <w:trHeight w:val="1515" w:hRule="atLeast"/>
        </w:trPr>
        <w:tc>
          <w:tcPr>
            <w:tcW w:w="7279" w:type="dxa"/>
            <w:tcBorders/>
          </w:tcPr>
          <w:p>
            <w:pPr>
              <w:pStyle w:val="Normal"/>
              <w:spacing w:before="0" w:after="60"/>
              <w:ind w:hanging="5760" w:left="5760"/>
              <w:jc w:val="both"/>
              <w:rPr>
                <w:rFonts w:ascii="Times New Roman" w:hAnsi="Times New Roman" w:eastAsia="Times New Roman"/>
              </w:rPr>
            </w:pPr>
            <w:r>
              <w:rPr>
                <w:rFonts w:eastAsia="Times New Roman" w:ascii="Times New Roman" w:hAnsi="Times New Roman"/>
              </w:rPr>
              <w:t>от Государственного заказчика</w:t>
            </w:r>
          </w:p>
          <w:p>
            <w:pPr>
              <w:pStyle w:val="Normal"/>
              <w:spacing w:before="0" w:after="60"/>
              <w:ind w:hanging="5760" w:left="5760"/>
              <w:jc w:val="both"/>
              <w:rPr>
                <w:rFonts w:ascii="Times New Roman" w:hAnsi="Times New Roman" w:eastAsia="Times New Roman"/>
              </w:rPr>
            </w:pPr>
            <w:r>
              <w:rPr>
                <w:rFonts w:eastAsia="Times New Roman" w:ascii="Times New Roman" w:hAnsi="Times New Roman"/>
              </w:rPr>
            </w:r>
          </w:p>
          <w:p>
            <w:pPr>
              <w:pStyle w:val="Normal"/>
              <w:jc w:val="both"/>
              <w:rPr>
                <w:rFonts w:ascii="Times New Roman" w:hAnsi="Times New Roman"/>
              </w:rPr>
            </w:pPr>
            <w:r>
              <w:rPr>
                <w:rFonts w:ascii="Times New Roman" w:hAnsi="Times New Roman"/>
              </w:rPr>
              <w:t>_________________/______________/</w:t>
            </w:r>
          </w:p>
        </w:tc>
        <w:tc>
          <w:tcPr>
            <w:tcW w:w="6343" w:type="dxa"/>
            <w:tcBorders/>
          </w:tcPr>
          <w:p>
            <w:pPr>
              <w:pStyle w:val="Normal"/>
              <w:spacing w:before="0" w:after="60"/>
              <w:ind w:hanging="5760" w:left="5760"/>
              <w:jc w:val="both"/>
              <w:rPr>
                <w:rFonts w:ascii="Times New Roman" w:hAnsi="Times New Roman" w:eastAsia="Times New Roman"/>
              </w:rPr>
            </w:pPr>
            <w:r>
              <w:rPr>
                <w:rFonts w:eastAsia="Times New Roman" w:ascii="Times New Roman" w:hAnsi="Times New Roman"/>
              </w:rPr>
              <w:t>от Поставщика</w:t>
            </w:r>
          </w:p>
          <w:p>
            <w:pPr>
              <w:pStyle w:val="Normal"/>
              <w:spacing w:before="0" w:after="60"/>
              <w:ind w:hanging="5760" w:left="5760"/>
              <w:jc w:val="both"/>
              <w:rPr>
                <w:rFonts w:ascii="Times New Roman" w:hAnsi="Times New Roman" w:eastAsia="Times New Roman"/>
              </w:rPr>
            </w:pPr>
            <w:r>
              <w:rPr>
                <w:rFonts w:eastAsia="Times New Roman" w:ascii="Times New Roman" w:hAnsi="Times New Roman"/>
              </w:rPr>
            </w:r>
          </w:p>
          <w:p>
            <w:pPr>
              <w:pStyle w:val="Normal"/>
              <w:jc w:val="both"/>
              <w:rPr>
                <w:rFonts w:ascii="Times New Roman" w:hAnsi="Times New Roman"/>
              </w:rPr>
            </w:pPr>
            <w:r>
              <w:rPr>
                <w:rFonts w:ascii="Times New Roman" w:hAnsi="Times New Roman"/>
              </w:rPr>
              <w:t>__________________/______________/</w:t>
            </w:r>
          </w:p>
        </w:tc>
      </w:tr>
    </w:tbl>
    <w:p>
      <w:pPr>
        <w:sectPr>
          <w:footerReference w:type="even" r:id="rId6"/>
          <w:footerReference w:type="default" r:id="rId7"/>
          <w:footerReference w:type="first" r:id="rId8"/>
          <w:type w:val="nextPage"/>
          <w:pgSz w:orient="landscape" w:w="16838" w:h="11906"/>
          <w:pgMar w:left="710" w:right="897" w:gutter="0" w:header="0" w:top="702" w:footer="3" w:bottom="1134"/>
          <w:pgNumType w:start="1" w:fmt="decimal"/>
          <w:formProt w:val="false"/>
          <w:titlePg/>
          <w:textDirection w:val="lrTb"/>
          <w:docGrid w:type="default" w:linePitch="360" w:charSpace="0"/>
        </w:sectPr>
      </w:pPr>
    </w:p>
    <w:p>
      <w:pPr>
        <w:pStyle w:val="Normal"/>
        <w:shd w:val="clear" w:color="auto" w:fill="FFFFFF"/>
        <w:tabs>
          <w:tab w:val="clear" w:pos="708"/>
          <w:tab w:val="left" w:pos="3480" w:leader="none"/>
          <w:tab w:val="center" w:pos="4667" w:leader="none"/>
        </w:tabs>
        <w:spacing w:before="67" w:after="0"/>
        <w:ind w:hanging="0" w:left="0" w:right="21"/>
        <w:jc w:val="right"/>
        <w:rPr>
          <w:rFonts w:ascii="Times New Roman" w:hAnsi="Times New Roman" w:cs="Times New Roman"/>
          <w:spacing w:val="-2"/>
        </w:rPr>
      </w:pPr>
      <w:r>
        <w:rPr>
          <w:rFonts w:cs="Times New Roman" w:ascii="Times New Roman" w:hAnsi="Times New Roman"/>
        </w:rPr>
        <w:t>Приложение № 2</w:t>
      </w:r>
    </w:p>
    <w:p>
      <w:pPr>
        <w:pStyle w:val="15"/>
        <w:ind w:left="6237"/>
        <w:jc w:val="right"/>
        <w:rPr/>
      </w:pPr>
      <w:r>
        <w:rPr>
          <w:rFonts w:ascii="Times New Roman" w:hAnsi="Times New Roman"/>
          <w:sz w:val="24"/>
          <w:szCs w:val="24"/>
        </w:rPr>
        <w:t xml:space="preserve">к Государственному Контракту </w:t>
      </w:r>
    </w:p>
    <w:p>
      <w:pPr>
        <w:pStyle w:val="15"/>
        <w:ind w:left="6237"/>
        <w:jc w:val="right"/>
        <w:rPr/>
      </w:pPr>
      <w:r>
        <w:rPr>
          <w:rFonts w:ascii="Times New Roman" w:hAnsi="Times New Roman"/>
          <w:sz w:val="24"/>
          <w:szCs w:val="24"/>
        </w:rPr>
        <w:t>от «___» _________ 2026 г. № ___</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tbl>
      <w:tblPr>
        <w:tblW w:w="10250" w:type="dxa"/>
        <w:jc w:val="left"/>
        <w:tblInd w:w="534" w:type="dxa"/>
        <w:tblLayout w:type="fixed"/>
        <w:tblCellMar>
          <w:top w:w="0" w:type="dxa"/>
          <w:left w:w="108" w:type="dxa"/>
          <w:bottom w:w="0" w:type="dxa"/>
          <w:right w:w="108" w:type="dxa"/>
        </w:tblCellMar>
        <w:tblLook w:noHBand="0" w:noVBand="1" w:firstColumn="1" w:lastRow="0" w:lastColumn="0" w:firstRow="1" w:val="04a0"/>
      </w:tblPr>
      <w:tblGrid>
        <w:gridCol w:w="5523"/>
        <w:gridCol w:w="4727"/>
      </w:tblGrid>
      <w:tr>
        <w:trPr>
          <w:trHeight w:val="1470" w:hRule="atLeast"/>
        </w:trPr>
        <w:tc>
          <w:tcPr>
            <w:tcW w:w="5523" w:type="dxa"/>
            <w:tcBorders/>
            <w:shd w:color="auto" w:fill="auto" w:val="clear"/>
          </w:tcPr>
          <w:p>
            <w:pPr>
              <w:pStyle w:val="BodyTextIndent"/>
              <w:ind w:hanging="0"/>
              <w:jc w:val="both"/>
              <w:rPr>
                <w:b/>
                <w:sz w:val="24"/>
                <w:szCs w:val="24"/>
              </w:rPr>
            </w:pPr>
            <w:r>
              <w:rPr>
                <w:b/>
                <w:sz w:val="24"/>
                <w:szCs w:val="24"/>
              </w:rPr>
              <w:t>УТВЕРЖДАЮ</w:t>
            </w:r>
          </w:p>
          <w:p>
            <w:pPr>
              <w:pStyle w:val="BodyTextIndent"/>
              <w:ind w:hanging="0"/>
              <w:jc w:val="both"/>
              <w:rPr>
                <w:sz w:val="24"/>
                <w:szCs w:val="24"/>
              </w:rPr>
            </w:pPr>
            <w:r>
              <w:rPr>
                <w:sz w:val="24"/>
                <w:szCs w:val="24"/>
              </w:rPr>
              <w:t>от Государственного заказчика</w:t>
            </w:r>
          </w:p>
          <w:p>
            <w:pPr>
              <w:pStyle w:val="BodyTextIndent"/>
              <w:ind w:hanging="0"/>
              <w:jc w:val="both"/>
              <w:rPr>
                <w:sz w:val="24"/>
                <w:szCs w:val="24"/>
              </w:rPr>
            </w:pPr>
            <w:r>
              <w:rPr>
                <w:sz w:val="24"/>
                <w:szCs w:val="24"/>
              </w:rPr>
            </w:r>
          </w:p>
          <w:p>
            <w:pPr>
              <w:pStyle w:val="BodyTextIndent"/>
              <w:ind w:hanging="0"/>
              <w:jc w:val="both"/>
              <w:rPr>
                <w:sz w:val="24"/>
                <w:szCs w:val="24"/>
              </w:rPr>
            </w:pPr>
            <w:r>
              <w:rPr>
                <w:sz w:val="24"/>
                <w:szCs w:val="24"/>
              </w:rPr>
              <w:t>________________/ ________ /</w:t>
            </w:r>
          </w:p>
          <w:p>
            <w:pPr>
              <w:pStyle w:val="BodyTextIndent"/>
              <w:ind w:hanging="0"/>
              <w:jc w:val="both"/>
              <w:rPr>
                <w:sz w:val="24"/>
                <w:szCs w:val="24"/>
              </w:rPr>
            </w:pPr>
            <w:r>
              <w:rPr>
                <w:sz w:val="24"/>
                <w:szCs w:val="24"/>
              </w:rPr>
              <w:t>м.п.</w:t>
            </w:r>
          </w:p>
        </w:tc>
        <w:tc>
          <w:tcPr>
            <w:tcW w:w="4727" w:type="dxa"/>
            <w:tcBorders/>
            <w:shd w:color="auto" w:fill="auto" w:val="clear"/>
          </w:tcPr>
          <w:p>
            <w:pPr>
              <w:pStyle w:val="BodyTextIndent"/>
              <w:ind w:hanging="0"/>
              <w:jc w:val="both"/>
              <w:rPr>
                <w:b/>
                <w:sz w:val="24"/>
                <w:szCs w:val="24"/>
              </w:rPr>
            </w:pPr>
            <w:r>
              <w:rPr>
                <w:b/>
                <w:sz w:val="24"/>
                <w:szCs w:val="24"/>
              </w:rPr>
              <w:t>УТВЕРЖДАЮ</w:t>
            </w:r>
          </w:p>
          <w:p>
            <w:pPr>
              <w:pStyle w:val="BodyTextIndent"/>
              <w:ind w:hanging="0"/>
              <w:jc w:val="both"/>
              <w:rPr>
                <w:sz w:val="24"/>
                <w:szCs w:val="24"/>
              </w:rPr>
            </w:pPr>
            <w:r>
              <w:rPr>
                <w:sz w:val="24"/>
                <w:szCs w:val="24"/>
              </w:rPr>
              <w:t>от Поставщика</w:t>
            </w:r>
          </w:p>
          <w:p>
            <w:pPr>
              <w:pStyle w:val="BodyTextIndent"/>
              <w:ind w:hanging="0"/>
              <w:jc w:val="both"/>
              <w:rPr>
                <w:sz w:val="24"/>
                <w:szCs w:val="24"/>
              </w:rPr>
            </w:pPr>
            <w:r>
              <w:rPr>
                <w:sz w:val="24"/>
                <w:szCs w:val="24"/>
              </w:rPr>
            </w:r>
          </w:p>
          <w:p>
            <w:pPr>
              <w:pStyle w:val="BodyTextIndent"/>
              <w:ind w:hanging="0"/>
              <w:jc w:val="both"/>
              <w:rPr>
                <w:sz w:val="24"/>
                <w:szCs w:val="24"/>
              </w:rPr>
            </w:pPr>
            <w:r>
              <w:rPr>
                <w:sz w:val="24"/>
                <w:szCs w:val="24"/>
              </w:rPr>
              <w:t>_______________/ ________ /</w:t>
            </w:r>
          </w:p>
          <w:p>
            <w:pPr>
              <w:pStyle w:val="Normal"/>
              <w:keepNext w:val="true"/>
              <w:tabs>
                <w:tab w:val="clear" w:pos="708"/>
                <w:tab w:val="left" w:pos="720" w:leader="none"/>
              </w:tabs>
              <w:ind w:firstLine="39"/>
              <w:jc w:val="both"/>
              <w:rPr>
                <w:rFonts w:ascii="Times New Roman" w:hAnsi="Times New Roman" w:cs="Times New Roman"/>
              </w:rPr>
            </w:pPr>
            <w:r>
              <w:rPr>
                <w:rFonts w:cs="Times New Roman" w:ascii="Times New Roman" w:hAnsi="Times New Roman"/>
              </w:rPr>
              <w:t>м.п.</w:t>
            </w:r>
          </w:p>
        </w:tc>
      </w:tr>
    </w:tbl>
    <w:p>
      <w:pPr>
        <w:pStyle w:val="Normal"/>
        <w:tabs>
          <w:tab w:val="clear" w:pos="708"/>
          <w:tab w:val="left" w:pos="432" w:leader="none"/>
        </w:tabs>
        <w:ind w:firstLine="540"/>
        <w:jc w:val="both"/>
        <w:rPr>
          <w:rFonts w:ascii="Times New Roman" w:hAnsi="Times New Roman" w:cs="Times New Roman"/>
          <w:b/>
        </w:rPr>
      </w:pPr>
      <w:r>
        <w:rPr>
          <w:rFonts w:cs="Times New Roman" w:ascii="Times New Roman" w:hAnsi="Times New Roman"/>
          <w:b/>
        </w:rPr>
      </w:r>
    </w:p>
    <w:p>
      <w:pPr>
        <w:pStyle w:val="Normal"/>
        <w:tabs>
          <w:tab w:val="clear" w:pos="708"/>
          <w:tab w:val="left" w:pos="432" w:leader="none"/>
        </w:tabs>
        <w:jc w:val="center"/>
        <w:rPr>
          <w:rFonts w:ascii="Times New Roman" w:hAnsi="Times New Roman" w:cs="Times New Roman"/>
          <w:b/>
        </w:rPr>
      </w:pPr>
      <w:r>
        <w:rPr>
          <w:rFonts w:cs="Times New Roman" w:ascii="Times New Roman" w:hAnsi="Times New Roman"/>
          <w:b/>
        </w:rPr>
        <w:t>ФОРМА</w:t>
      </w:r>
    </w:p>
    <w:p>
      <w:pPr>
        <w:pStyle w:val="Normal"/>
        <w:ind w:firstLine="426" w:left="-426"/>
        <w:jc w:val="center"/>
        <w:rPr>
          <w:rFonts w:ascii="Times New Roman" w:hAnsi="Times New Roman" w:cs="Times New Roman"/>
          <w:b/>
        </w:rPr>
      </w:pPr>
      <w:r>
        <w:rPr>
          <w:rFonts w:cs="Times New Roman" w:ascii="Times New Roman" w:hAnsi="Times New Roman"/>
          <w:b/>
        </w:rPr>
        <w:t>Акт сдачи-приемки Товара</w:t>
      </w:r>
    </w:p>
    <w:p>
      <w:pPr>
        <w:pStyle w:val="Normal"/>
        <w:ind w:right="19"/>
        <w:jc w:val="both"/>
        <w:rPr>
          <w:rFonts w:ascii="Times New Roman" w:hAnsi="Times New Roman" w:cs="Times New Roman"/>
        </w:rPr>
      </w:pPr>
      <w:r>
        <w:rPr>
          <w:rFonts w:cs="Times New Roman" w:ascii="Times New Roman" w:hAnsi="Times New Roman"/>
        </w:rPr>
        <w:t xml:space="preserve">г. Москва </w:t>
        <w:tab/>
        <w:tab/>
        <w:tab/>
        <w:tab/>
        <w:tab/>
        <w:tab/>
        <w:tab/>
        <w:tab/>
        <w:tab/>
        <w:t xml:space="preserve">                   «___» _________ 2026 г.</w:t>
      </w:r>
    </w:p>
    <w:p>
      <w:pPr>
        <w:pStyle w:val="BodyTextIndent"/>
        <w:ind w:firstLine="426" w:left="-426"/>
        <w:jc w:val="both"/>
        <w:rPr>
          <w:sz w:val="24"/>
          <w:szCs w:val="24"/>
        </w:rPr>
      </w:pPr>
      <w:r>
        <w:rPr>
          <w:sz w:val="24"/>
          <w:szCs w:val="24"/>
        </w:rPr>
      </w:r>
    </w:p>
    <w:p>
      <w:pPr>
        <w:pStyle w:val="Normal"/>
        <w:tabs>
          <w:tab w:val="clear" w:pos="708"/>
          <w:tab w:val="left" w:pos="432" w:leader="none"/>
        </w:tabs>
        <w:ind w:firstLine="567"/>
        <w:jc w:val="both"/>
        <w:rPr>
          <w:rFonts w:ascii="Times New Roman" w:hAnsi="Times New Roman" w:cs="Times New Roman"/>
        </w:rPr>
      </w:pPr>
      <w:r>
        <w:rPr>
          <w:rFonts w:cs="Times New Roman" w:ascii="Times New Roman" w:hAnsi="Times New Roman"/>
        </w:rPr>
        <w:t>Федеральное казенное учреждение «Главное бюро медико-социальной экспертизы по Московской области» Министерства труда и социальной защиты Российской Федерации (ФКУ «ГБ МСЭ по Московской области» Минтруда России), именуемое в дальнейшем «Государственный заказчик», в лице _______________________, действующего на основании _______________________, с одной стороны, и _____________, именуемое в дальнейшем «Поставщик», в лице _____________, действующего на основании _____________, с другой стороны, вместе именуемые «Стороны», составили настоящий Акт о нижеследующем:</w:t>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1. В соответствии с Государственным контрактом от «____» __________ 2026 г. № _____ (далее – Контракт) Поставщик поставил Товар, а Государственный заказчик принял: </w:t>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r>
    </w:p>
    <w:tbl>
      <w:tblPr>
        <w:tblW w:w="10490" w:type="dxa"/>
        <w:jc w:val="left"/>
        <w:tblInd w:w="109" w:type="dxa"/>
        <w:tblLayout w:type="fixed"/>
        <w:tblCellMar>
          <w:top w:w="0" w:type="dxa"/>
          <w:left w:w="108" w:type="dxa"/>
          <w:bottom w:w="0" w:type="dxa"/>
          <w:right w:w="108" w:type="dxa"/>
        </w:tblCellMar>
        <w:tblLook w:noHBand="0" w:noVBand="0" w:firstColumn="1" w:lastRow="1" w:lastColumn="1" w:firstRow="1" w:val="01e0"/>
      </w:tblPr>
      <w:tblGrid>
        <w:gridCol w:w="567"/>
        <w:gridCol w:w="2547"/>
        <w:gridCol w:w="1706"/>
        <w:gridCol w:w="1417"/>
        <w:gridCol w:w="2122"/>
        <w:gridCol w:w="2131"/>
      </w:tblGrid>
      <w:tr>
        <w:trPr>
          <w:trHeight w:val="814"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п/п</w:t>
            </w:r>
          </w:p>
        </w:tc>
        <w:tc>
          <w:tcPr>
            <w:tcW w:w="254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t>Наименование Товара</w:t>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t>Ед. измерения</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t>Количество</w:t>
            </w:r>
          </w:p>
        </w:tc>
        <w:tc>
          <w:tcPr>
            <w:tcW w:w="212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t>Цена за ед., в руб.</w:t>
            </w:r>
          </w:p>
        </w:tc>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t>Стоимость, в руб.</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t>1.</w:t>
            </w:r>
          </w:p>
        </w:tc>
        <w:tc>
          <w:tcPr>
            <w:tcW w:w="254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212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t>2.</w:t>
            </w:r>
          </w:p>
        </w:tc>
        <w:tc>
          <w:tcPr>
            <w:tcW w:w="254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212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t>…</w:t>
            </w:r>
          </w:p>
        </w:tc>
        <w:tc>
          <w:tcPr>
            <w:tcW w:w="254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170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212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c>
          <w:tcPr>
            <w:tcW w:w="21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cs="Times New Roman"/>
              </w:rPr>
            </w:pPr>
            <w:r>
              <w:rPr>
                <w:rFonts w:cs="Times New Roman" w:ascii="Times New Roman" w:hAnsi="Times New Roman"/>
              </w:rPr>
            </w:r>
          </w:p>
        </w:tc>
      </w:tr>
    </w:tbl>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t>2. Фактическое качество поставленного Товара, его количество, соответствуют (не соответствуют) требованиям Контракта:</w:t>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t xml:space="preserve">_________________________________________ </w:t>
      </w:r>
      <w:r>
        <w:rPr>
          <w:rFonts w:cs="Times New Roman" w:ascii="Times New Roman" w:hAnsi="Times New Roman"/>
          <w:i/>
          <w:iCs/>
        </w:rPr>
        <w:t>(в случае выбора «не соответствует», необходимо указать пункты Контракта и/или приложений к Контракту, которые не исполнены, исполнены частично, исполнены не надлежащим образом и т.п.)</w:t>
      </w:r>
      <w:r>
        <w:rPr>
          <w:rFonts w:cs="Times New Roman" w:ascii="Times New Roman" w:hAnsi="Times New Roman"/>
        </w:rPr>
        <w:t>.</w:t>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t>3. Недостатки поставленного Товара выявлены/не выявлены:</w:t>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t xml:space="preserve">__________________________________________ </w:t>
      </w:r>
      <w:r>
        <w:rPr>
          <w:rFonts w:cs="Times New Roman" w:ascii="Times New Roman" w:hAnsi="Times New Roman"/>
          <w:i/>
          <w:iCs/>
        </w:rPr>
        <w:t>(в случае выбора «выявлены», необходимо указать пункты Контракта и/или приложений к Контракту, которые не исполнены, исполнены частично, исполнены не надлежащим образом и т.п.)</w:t>
      </w:r>
      <w:r>
        <w:rPr>
          <w:rFonts w:cs="Times New Roman" w:ascii="Times New Roman" w:hAnsi="Times New Roman"/>
        </w:rPr>
        <w:t>.</w:t>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t>4. Сумма, подлежащая оплате Поставщику в соответствии с условиями Контракта: _______________________________________________________________________________.</w:t>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t xml:space="preserve">5. В соответствии с пунктом ____ Контракта сумма штрафных санкций составляет ___________________ </w:t>
      </w:r>
      <w:r>
        <w:rPr>
          <w:rFonts w:cs="Times New Roman" w:ascii="Times New Roman" w:hAnsi="Times New Roman"/>
          <w:i/>
          <w:iCs/>
        </w:rPr>
        <w:t>(указывается порядок расчета штрафных санкций)</w:t>
      </w:r>
      <w:r>
        <w:rPr>
          <w:rFonts w:cs="Times New Roman" w:ascii="Times New Roman" w:hAnsi="Times New Roman"/>
        </w:rPr>
        <w:t>.</w:t>
      </w:r>
    </w:p>
    <w:p>
      <w:pPr>
        <w:pStyle w:val="Normal"/>
        <w:tabs>
          <w:tab w:val="clear" w:pos="708"/>
          <w:tab w:val="left" w:pos="432" w:leader="none"/>
        </w:tabs>
        <w:jc w:val="both"/>
        <w:rPr>
          <w:rFonts w:ascii="Times New Roman" w:hAnsi="Times New Roman" w:cs="Times New Roman"/>
          <w:i/>
          <w:iCs/>
        </w:rPr>
      </w:pPr>
      <w:r>
        <w:rPr>
          <w:rFonts w:cs="Times New Roman" w:ascii="Times New Roman" w:hAnsi="Times New Roman"/>
        </w:rPr>
        <w:t xml:space="preserve">Общая стоимость штрафных санкций составит: ________________________ </w:t>
      </w:r>
      <w:r>
        <w:rPr>
          <w:rFonts w:cs="Times New Roman" w:ascii="Times New Roman" w:hAnsi="Times New Roman"/>
          <w:i/>
          <w:iCs/>
        </w:rPr>
        <w:t>(в случае не начисления штрафных санкций, необходимо указать «0 рублей 00 копеек»).</w:t>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t>6. Итоговая сумма, подлежащая оплате Поставщику, составляет ____________________________________________________</w:t>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r>
    </w:p>
    <w:p>
      <w:pPr>
        <w:pStyle w:val="Normal"/>
        <w:tabs>
          <w:tab w:val="clear" w:pos="708"/>
          <w:tab w:val="left" w:pos="432" w:leader="none"/>
        </w:tabs>
        <w:jc w:val="both"/>
        <w:rPr>
          <w:rFonts w:ascii="Times New Roman" w:hAnsi="Times New Roman" w:cs="Times New Roman"/>
          <w:i/>
          <w:iCs/>
        </w:rPr>
      </w:pPr>
      <w:r>
        <w:rPr>
          <w:rFonts w:cs="Times New Roman" w:ascii="Times New Roman" w:hAnsi="Times New Roman"/>
        </w:rPr>
        <w:t xml:space="preserve">7. Результаты по Контракту: ______________________________________ </w:t>
      </w:r>
      <w:r>
        <w:rPr>
          <w:rFonts w:cs="Times New Roman" w:ascii="Times New Roman" w:hAnsi="Times New Roman"/>
          <w:i/>
          <w:iCs/>
        </w:rPr>
        <w:t>(необходимо указать, что именно исполнено по Контракту, с каким качеством, с указанием на наличие или отсутствие недостатков).</w:t>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r>
    </w:p>
    <w:p>
      <w:pPr>
        <w:pStyle w:val="Normal"/>
        <w:ind w:firstLine="540"/>
        <w:jc w:val="both"/>
        <w:rPr>
          <w:rFonts w:ascii="Times New Roman" w:hAnsi="Times New Roman" w:cs="Times New Roman"/>
        </w:rPr>
      </w:pPr>
      <w:r>
        <w:rPr>
          <w:rFonts w:cs="Times New Roman" w:ascii="Times New Roman" w:hAnsi="Times New Roman"/>
        </w:rPr>
      </w:r>
    </w:p>
    <w:tbl>
      <w:tblPr>
        <w:tblW w:w="10348" w:type="dxa"/>
        <w:jc w:val="left"/>
        <w:tblInd w:w="391" w:type="dxa"/>
        <w:tblLayout w:type="fixed"/>
        <w:tblCellMar>
          <w:top w:w="0" w:type="dxa"/>
          <w:left w:w="108" w:type="dxa"/>
          <w:bottom w:w="0" w:type="dxa"/>
          <w:right w:w="108" w:type="dxa"/>
        </w:tblCellMar>
        <w:tblLook w:noHBand="0" w:noVBand="1" w:firstColumn="1" w:lastRow="0" w:lastColumn="0" w:firstRow="1" w:val="04a0"/>
      </w:tblPr>
      <w:tblGrid>
        <w:gridCol w:w="5953"/>
        <w:gridCol w:w="4395"/>
      </w:tblGrid>
      <w:tr>
        <w:trPr/>
        <w:tc>
          <w:tcPr>
            <w:tcW w:w="5953" w:type="dxa"/>
            <w:tcBorders/>
            <w:shd w:color="auto" w:fill="auto" w:val="clear"/>
          </w:tcPr>
          <w:p>
            <w:pPr>
              <w:pStyle w:val="Normal"/>
              <w:spacing w:before="150" w:after="150"/>
              <w:ind w:right="150"/>
              <w:jc w:val="both"/>
              <w:rPr>
                <w:rFonts w:ascii="Times New Roman" w:hAnsi="Times New Roman" w:cs="Times New Roman"/>
              </w:rPr>
            </w:pPr>
            <w:r>
              <w:rPr>
                <w:rFonts w:cs="Times New Roman" w:ascii="Times New Roman" w:hAnsi="Times New Roman"/>
              </w:rPr>
              <w:t>от Государственного заказчика</w:t>
            </w:r>
          </w:p>
          <w:p>
            <w:pPr>
              <w:pStyle w:val="Normal"/>
              <w:spacing w:before="150" w:after="150"/>
              <w:ind w:right="150"/>
              <w:jc w:val="both"/>
              <w:rPr>
                <w:rFonts w:ascii="Times New Roman" w:hAnsi="Times New Roman" w:cs="Times New Roman"/>
              </w:rPr>
            </w:pPr>
            <w:r>
              <w:rPr>
                <w:rFonts w:cs="Times New Roman" w:ascii="Times New Roman" w:hAnsi="Times New Roman"/>
              </w:rPr>
              <w:t>________________/ ________ /</w:t>
            </w:r>
          </w:p>
          <w:p>
            <w:pPr>
              <w:pStyle w:val="Normal"/>
              <w:spacing w:before="150" w:after="150"/>
              <w:ind w:right="150"/>
              <w:jc w:val="both"/>
              <w:rPr>
                <w:rFonts w:ascii="Times New Roman" w:hAnsi="Times New Roman" w:cs="Times New Roman"/>
              </w:rPr>
            </w:pPr>
            <w:r>
              <w:rPr>
                <w:rFonts w:cs="Times New Roman" w:ascii="Times New Roman" w:hAnsi="Times New Roman"/>
              </w:rPr>
              <w:t>м.п.</w:t>
            </w:r>
          </w:p>
        </w:tc>
        <w:tc>
          <w:tcPr>
            <w:tcW w:w="4395" w:type="dxa"/>
            <w:tcBorders/>
            <w:shd w:color="auto" w:fill="auto" w:val="clear"/>
          </w:tcPr>
          <w:p>
            <w:pPr>
              <w:pStyle w:val="Normal"/>
              <w:spacing w:before="150" w:after="150"/>
              <w:ind w:right="150"/>
              <w:jc w:val="both"/>
              <w:rPr>
                <w:rFonts w:ascii="Times New Roman" w:hAnsi="Times New Roman" w:cs="Times New Roman"/>
              </w:rPr>
            </w:pPr>
            <w:r>
              <w:rPr>
                <w:rFonts w:cs="Times New Roman" w:ascii="Times New Roman" w:hAnsi="Times New Roman"/>
              </w:rPr>
              <w:t>от Поставщика</w:t>
            </w:r>
          </w:p>
          <w:p>
            <w:pPr>
              <w:pStyle w:val="Normal"/>
              <w:spacing w:before="150" w:after="150"/>
              <w:ind w:right="150"/>
              <w:jc w:val="both"/>
              <w:rPr>
                <w:rFonts w:ascii="Times New Roman" w:hAnsi="Times New Roman" w:cs="Times New Roman"/>
              </w:rPr>
            </w:pPr>
            <w:r>
              <w:rPr>
                <w:rFonts w:cs="Times New Roman" w:ascii="Times New Roman" w:hAnsi="Times New Roman"/>
              </w:rPr>
              <w:t>________________/ ________ /</w:t>
            </w:r>
          </w:p>
          <w:p>
            <w:pPr>
              <w:pStyle w:val="Normal"/>
              <w:keepNext w:val="true"/>
              <w:tabs>
                <w:tab w:val="clear" w:pos="708"/>
                <w:tab w:val="left" w:pos="720" w:leader="none"/>
              </w:tabs>
              <w:ind w:firstLine="39"/>
              <w:jc w:val="both"/>
              <w:rPr>
                <w:rFonts w:ascii="Times New Roman" w:hAnsi="Times New Roman" w:cs="Times New Roman"/>
              </w:rPr>
            </w:pPr>
            <w:r>
              <w:rPr>
                <w:rFonts w:cs="Times New Roman" w:ascii="Times New Roman" w:hAnsi="Times New Roman"/>
              </w:rPr>
              <w:t>м.п.</w:t>
            </w:r>
          </w:p>
        </w:tc>
      </w:tr>
    </w:tbl>
    <w:p>
      <w:pPr>
        <w:pStyle w:val="Normal"/>
        <w:jc w:val="both"/>
        <w:rPr>
          <w:rFonts w:ascii="Times New Roman" w:hAnsi="Times New Roman" w:cs="Times New Roman"/>
          <w:b/>
        </w:rPr>
      </w:pPr>
      <w:r>
        <w:rPr>
          <w:rFonts w:cs="Times New Roman" w:ascii="Times New Roman" w:hAnsi="Times New Roman"/>
          <w:b/>
        </w:rPr>
      </w:r>
    </w:p>
    <w:p>
      <w:pPr>
        <w:pStyle w:val="Normal"/>
        <w:jc w:val="both"/>
        <w:rPr>
          <w:rFonts w:ascii="Times New Roman" w:hAnsi="Times New Roman" w:cs="Times New Roman"/>
          <w:bCs/>
          <w:i/>
          <w:iCs/>
        </w:rPr>
      </w:pPr>
      <w:r>
        <w:rPr>
          <w:rFonts w:cs="Times New Roman" w:ascii="Times New Roman" w:hAnsi="Times New Roman"/>
          <w:bCs/>
          <w:i/>
          <w:iCs/>
        </w:rPr>
        <w:t>* При заполнении настоящей формы, Поставщик не указывает, что данная форма, является приложением к Контракту, не указывает должностей и лиц, утверждающих настоящую форму, а также слово «форма».</w:t>
      </w:r>
    </w:p>
    <w:p>
      <w:pPr>
        <w:pStyle w:val="Normal"/>
        <w:tabs>
          <w:tab w:val="clear" w:pos="708"/>
          <w:tab w:val="left" w:pos="432" w:leader="none"/>
        </w:tabs>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Ответственное лицо</w:t>
      </w:r>
    </w:p>
    <w:p>
      <w:pPr>
        <w:pStyle w:val="Normal"/>
        <w:jc w:val="both"/>
        <w:rPr>
          <w:rFonts w:ascii="Times New Roman" w:hAnsi="Times New Roman" w:cs="Times New Roman"/>
        </w:rPr>
      </w:pPr>
      <w:r>
        <w:rPr>
          <w:rFonts w:cs="Times New Roman" w:ascii="Times New Roman" w:hAnsi="Times New Roman"/>
        </w:rPr>
        <w:t>по Контракту</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____________ /Смирнов А.Ф./</w:t>
      </w:r>
    </w:p>
    <w:p>
      <w:pPr>
        <w:pStyle w:val="Normal"/>
        <w:jc w:val="both"/>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r>
        <w:rPr>
          <w:rFonts w:cs="Times New Roman" w:ascii="Times New Roman" w:hAnsi="Times New Roman"/>
        </w:rPr>
        <w:t>Ответственное лицо от планово-финансового</w:t>
      </w:r>
    </w:p>
    <w:p>
      <w:pPr>
        <w:pStyle w:val="Normal"/>
        <w:jc w:val="both"/>
        <w:rPr>
          <w:rFonts w:ascii="Times New Roman" w:hAnsi="Times New Roman" w:cs="Times New Roman"/>
        </w:rPr>
      </w:pPr>
      <w:r>
        <w:rPr>
          <w:rFonts w:cs="Times New Roman" w:ascii="Times New Roman" w:hAnsi="Times New Roman"/>
        </w:rPr>
        <w:t>отдела</w:t>
      </w:r>
    </w:p>
    <w:p>
      <w:pPr>
        <w:pStyle w:val="13"/>
        <w:shd w:val="clear" w:color="auto" w:fill="auto"/>
        <w:spacing w:before="0" w:after="220"/>
        <w:ind w:hanging="0"/>
        <w:jc w:val="both"/>
        <w:rPr/>
      </w:pPr>
      <w:r>
        <w:rPr/>
      </w:r>
    </w:p>
    <w:p>
      <w:pPr>
        <w:pStyle w:val="13"/>
        <w:shd w:val="clear" w:color="auto" w:fill="auto"/>
        <w:spacing w:before="0" w:after="220"/>
        <w:ind w:hanging="0"/>
        <w:jc w:val="both"/>
        <w:rPr/>
      </w:pPr>
      <w:r>
        <w:rPr/>
        <w:t>___________ / ____________ /</w:t>
      </w:r>
    </w:p>
    <w:p>
      <w:pPr>
        <w:pStyle w:val="Normal"/>
        <w:jc w:val="both"/>
        <w:rPr>
          <w:rFonts w:ascii="Times New Roman" w:hAnsi="Times New Roman" w:eastAsia="Times New Roman" w:cs="Times New Roman"/>
        </w:rPr>
      </w:pPr>
      <w:r>
        <w:rPr>
          <w:rFonts w:eastAsia="Times New Roman" w:cs="Times New Roman" w:ascii="Times New Roman" w:hAnsi="Times New Roman"/>
        </w:rPr>
      </w:r>
      <w:r>
        <w:br w:type="page"/>
      </w:r>
    </w:p>
    <w:p>
      <w:pPr>
        <w:pStyle w:val="Normal"/>
        <w:shd w:val="clear" w:color="auto" w:fill="FFFFFF"/>
        <w:tabs>
          <w:tab w:val="clear" w:pos="708"/>
          <w:tab w:val="left" w:pos="3480" w:leader="none"/>
          <w:tab w:val="center" w:pos="4667" w:leader="none"/>
        </w:tabs>
        <w:spacing w:before="0" w:after="0"/>
        <w:ind w:left="6237" w:right="21"/>
        <w:jc w:val="right"/>
        <w:rPr/>
      </w:pPr>
      <w:r>
        <w:rPr>
          <w:rFonts w:cs="Times New Roman" w:ascii="Times New Roman" w:hAnsi="Times New Roman"/>
        </w:rPr>
        <w:t>Приложение № 3</w:t>
      </w:r>
    </w:p>
    <w:p>
      <w:pPr>
        <w:pStyle w:val="15"/>
        <w:ind w:left="6237"/>
        <w:jc w:val="right"/>
        <w:rPr/>
      </w:pPr>
      <w:r>
        <w:rPr>
          <w:rFonts w:ascii="Times New Roman" w:hAnsi="Times New Roman"/>
          <w:sz w:val="24"/>
          <w:szCs w:val="24"/>
        </w:rPr>
        <w:t xml:space="preserve">к Государственному Контракту </w:t>
      </w:r>
    </w:p>
    <w:p>
      <w:pPr>
        <w:pStyle w:val="15"/>
        <w:ind w:left="6237"/>
        <w:jc w:val="right"/>
        <w:rPr>
          <w:rFonts w:ascii="Times New Roman" w:hAnsi="Times New Roman"/>
          <w:sz w:val="24"/>
          <w:szCs w:val="24"/>
        </w:rPr>
      </w:pPr>
      <w:r>
        <w:rPr>
          <w:rFonts w:ascii="Times New Roman" w:hAnsi="Times New Roman"/>
          <w:sz w:val="24"/>
          <w:szCs w:val="24"/>
        </w:rPr>
        <w:t>от «___» _________ 2026 г. № ___</w:t>
      </w:r>
    </w:p>
    <w:p>
      <w:pPr>
        <w:pStyle w:val="15"/>
        <w:ind w:left="6237"/>
        <w:jc w:val="right"/>
        <w:rPr>
          <w:rFonts w:ascii="Times New Roman" w:hAnsi="Times New Roman"/>
          <w:sz w:val="24"/>
          <w:szCs w:val="24"/>
        </w:rPr>
      </w:pPr>
      <w:r>
        <w:rPr>
          <w:rFonts w:ascii="Times New Roman" w:hAnsi="Times New Roman"/>
          <w:sz w:val="24"/>
          <w:szCs w:val="24"/>
        </w:rPr>
      </w:r>
    </w:p>
    <w:p>
      <w:pPr>
        <w:pStyle w:val="Normal"/>
        <w:spacing w:before="0" w:after="60"/>
        <w:ind w:hanging="0" w:left="0"/>
        <w:jc w:val="center"/>
        <w:rPr/>
      </w:pPr>
      <w:r>
        <w:rPr/>
      </w:r>
    </w:p>
    <w:p>
      <w:pPr>
        <w:pStyle w:val="Normal"/>
        <w:spacing w:before="0" w:after="60"/>
        <w:ind w:hanging="5760" w:left="5760"/>
        <w:jc w:val="center"/>
        <w:rPr>
          <w:rFonts w:ascii="Times New Roman" w:hAnsi="Times New Roman"/>
          <w:b/>
          <w:bCs/>
        </w:rPr>
      </w:pPr>
      <w:r>
        <w:rPr>
          <w:rFonts w:ascii="Times New Roman" w:hAnsi="Times New Roman"/>
          <w:b/>
          <w:bCs/>
        </w:rPr>
        <w:t>ТЕХНИЧЕСКОЕ ЗАДАНИЕ</w:t>
      </w:r>
    </w:p>
    <w:p>
      <w:pPr>
        <w:pStyle w:val="Normal"/>
        <w:spacing w:before="0" w:after="60"/>
        <w:ind w:hanging="5760" w:left="5760"/>
        <w:jc w:val="center"/>
        <w:rPr>
          <w:rFonts w:ascii="Times New Roman" w:hAnsi="Times New Roman"/>
        </w:rPr>
      </w:pPr>
      <w:r>
        <w:rPr>
          <w:rFonts w:ascii="Times New Roman" w:hAnsi="Times New Roman"/>
        </w:rPr>
        <w:t xml:space="preserve">на поставку шкафов архивных металлических для нужд </w:t>
      </w:r>
    </w:p>
    <w:p>
      <w:pPr>
        <w:pStyle w:val="Normal"/>
        <w:spacing w:before="0" w:after="60"/>
        <w:ind w:hanging="5760" w:left="5760"/>
        <w:jc w:val="center"/>
        <w:rPr>
          <w:rFonts w:ascii="Times New Roman" w:hAnsi="Times New Roman"/>
        </w:rPr>
      </w:pPr>
      <w:r>
        <w:rPr>
          <w:rFonts w:ascii="Times New Roman" w:hAnsi="Times New Roman"/>
        </w:rPr>
        <w:t>ФКУ «ГБ МСЭ по Московской области» Минтруда России</w:t>
      </w:r>
    </w:p>
    <w:p>
      <w:pPr>
        <w:pStyle w:val="Normal"/>
        <w:numPr>
          <w:ilvl w:val="0"/>
          <w:numId w:val="3"/>
        </w:numPr>
        <w:spacing w:before="0" w:after="60"/>
        <w:rPr>
          <w:rFonts w:ascii="Times New Roman" w:hAnsi="Times New Roman"/>
        </w:rPr>
      </w:pPr>
      <w:r>
        <w:rPr>
          <w:rFonts w:ascii="Times New Roman" w:hAnsi="Times New Roman"/>
          <w:b/>
          <w:bCs/>
        </w:rPr>
        <w:t xml:space="preserve">Наименование объекта закупки: </w:t>
      </w:r>
      <w:r>
        <w:rPr>
          <w:rFonts w:ascii="Times New Roman" w:hAnsi="Times New Roman"/>
        </w:rPr>
        <w:t>Поставка шкафов архивных металлических</w:t>
      </w:r>
    </w:p>
    <w:p>
      <w:pPr>
        <w:pStyle w:val="Normal"/>
        <w:numPr>
          <w:ilvl w:val="0"/>
          <w:numId w:val="3"/>
        </w:numPr>
        <w:spacing w:before="0" w:after="60"/>
        <w:rPr>
          <w:rFonts w:ascii="Times New Roman" w:hAnsi="Times New Roman"/>
        </w:rPr>
      </w:pPr>
      <w:r>
        <w:rPr>
          <w:rFonts w:ascii="Times New Roman" w:hAnsi="Times New Roman"/>
          <w:b/>
          <w:bCs/>
        </w:rPr>
        <w:t>Место поставки Товара:</w:t>
      </w:r>
      <w:r>
        <w:rPr>
          <w:rFonts w:ascii="Times New Roman" w:hAnsi="Times New Roman"/>
        </w:rPr>
        <w:t xml:space="preserve"> </w:t>
      </w:r>
      <w:r>
        <w:rPr>
          <w:rFonts w:cs="Times New Roman" w:ascii="Times New Roman" w:hAnsi="Times New Roman"/>
          <w:sz w:val="24"/>
          <w:szCs w:val="24"/>
        </w:rPr>
        <w:t>Московская обл., г. Домодедово, ул. Гагарина, д. 50.</w:t>
      </w:r>
    </w:p>
    <w:p>
      <w:pPr>
        <w:pStyle w:val="Normal"/>
        <w:numPr>
          <w:ilvl w:val="0"/>
          <w:numId w:val="0"/>
        </w:numPr>
        <w:spacing w:before="0" w:after="60"/>
        <w:ind w:hanging="0" w:left="720"/>
        <w:jc w:val="both"/>
        <w:rPr/>
      </w:pPr>
      <w:r>
        <w:rPr>
          <w:rFonts w:ascii="Times New Roman" w:hAnsi="Times New Roman"/>
        </w:rPr>
        <w:t>Поставка Товара погрузочно-разгрузочные работы</w:t>
      </w:r>
      <w:r>
        <w:rPr>
          <w:rFonts w:ascii="Times New Roman" w:hAnsi="Times New Roman"/>
          <w:shd w:fill="FFFFFF" w:val="clear"/>
        </w:rPr>
        <w:t xml:space="preserve">, сборка и установка </w:t>
      </w:r>
      <w:r>
        <w:rPr>
          <w:rFonts w:eastAsia="Calibri" w:ascii="Times New Roman" w:hAnsi="Times New Roman"/>
          <w:b w:val="false"/>
          <w:bCs w:val="false"/>
          <w:color w:val="000000"/>
          <w:kern w:val="0"/>
          <w:sz w:val="24"/>
          <w:szCs w:val="24"/>
          <w:shd w:fill="FFFFFF" w:val="clear"/>
          <w:lang w:val="ru-RU" w:eastAsia="en-US" w:bidi="ru-RU"/>
        </w:rPr>
        <w:t>по адресу Государственного заказчика</w:t>
      </w:r>
      <w:r>
        <w:rPr>
          <w:rFonts w:ascii="Times New Roman" w:hAnsi="Times New Roman"/>
          <w:shd w:fill="FFFFFF" w:val="clear"/>
        </w:rPr>
        <w:t xml:space="preserve">, </w:t>
      </w:r>
      <w:r>
        <w:rPr>
          <w:rFonts w:ascii="Times New Roman" w:hAnsi="Times New Roman"/>
        </w:rPr>
        <w:t xml:space="preserve">уборка мусора осуществляется силами и средствами Поставщика. Поставщик не менее чем за 1 (один) день до осуществления поставки Товара согласовывает с ответственным лицом Государственного заказчика точное время и дату доставки Товара в место доставки по адресу электронный почты: </w:t>
      </w:r>
      <w:r>
        <w:rPr>
          <w:rStyle w:val="Hyperlink"/>
          <w:rFonts w:ascii="Times New Roman" w:hAnsi="Times New Roman"/>
          <w:b w:val="false"/>
          <w:bCs w:val="false"/>
          <w:i w:val="false"/>
          <w:iCs w:val="false"/>
          <w:color w:val="000000"/>
          <w:kern w:val="0"/>
          <w:sz w:val="24"/>
          <w:szCs w:val="24"/>
          <w:u w:val="none"/>
          <w:lang w:val="ru-RU" w:eastAsia="ru-RU" w:bidi="ru-RU"/>
        </w:rPr>
        <w:t>asmirnof@msemo.ru</w:t>
      </w:r>
      <w:r>
        <w:rPr>
          <w:rFonts w:ascii="Times New Roman" w:hAnsi="Times New Roman"/>
        </w:rPr>
        <w:t xml:space="preserve"> и по телефону</w:t>
      </w:r>
      <w:r>
        <w:rPr>
          <w:rFonts w:ascii="Times New Roman" w:hAnsi="Times New Roman"/>
          <w:b w:val="false"/>
          <w:bCs w:val="false"/>
          <w:i w:val="false"/>
          <w:iCs w:val="false"/>
          <w:color w:themeColor="dark1" w:val="000000"/>
          <w:sz w:val="24"/>
          <w:szCs w:val="24"/>
        </w:rPr>
        <w:t xml:space="preserve"> </w:t>
      </w:r>
      <w:r>
        <w:rPr>
          <w:rFonts w:ascii="Times New Roman" w:hAnsi="Times New Roman"/>
          <w:b w:val="false"/>
          <w:bCs w:val="false"/>
          <w:i w:val="false"/>
          <w:iCs w:val="false"/>
          <w:color w:val="000000"/>
          <w:kern w:val="0"/>
          <w:sz w:val="24"/>
          <w:szCs w:val="24"/>
          <w:lang w:val="ru-RU" w:eastAsia="ru-RU" w:bidi="ru-RU"/>
        </w:rPr>
        <w:t xml:space="preserve"> 8 (905) 150-11-10 - Смирнов А. Ф.</w:t>
      </w:r>
    </w:p>
    <w:p>
      <w:pPr>
        <w:pStyle w:val="Normal"/>
        <w:numPr>
          <w:ilvl w:val="0"/>
          <w:numId w:val="3"/>
        </w:numPr>
        <w:spacing w:before="0" w:after="60"/>
        <w:jc w:val="both"/>
        <w:rPr>
          <w:rFonts w:ascii="Times New Roman" w:hAnsi="Times New Roman"/>
        </w:rPr>
      </w:pPr>
      <w:r>
        <w:rPr>
          <w:rFonts w:ascii="Times New Roman" w:hAnsi="Times New Roman"/>
          <w:b/>
          <w:bCs/>
        </w:rPr>
        <w:t>Срок поставки: Срок поставки Товара: в течение 15 (пятнадцать) рабочих дней от 16.11.2026 г.</w:t>
      </w:r>
      <w:r>
        <w:rPr>
          <w:rFonts w:ascii="Times New Roman" w:hAnsi="Times New Roman"/>
        </w:rPr>
        <w:t xml:space="preserve"> Поставка, погрузочно-разгрузочные работы, </w:t>
      </w:r>
      <w:r>
        <w:rPr>
          <w:rFonts w:ascii="Times New Roman" w:hAnsi="Times New Roman"/>
          <w:shd w:fill="FFFFFF" w:val="clear"/>
        </w:rPr>
        <w:t>сборка Т</w:t>
      </w:r>
      <w:r>
        <w:rPr>
          <w:rFonts w:ascii="Times New Roman" w:hAnsi="Times New Roman"/>
        </w:rPr>
        <w:t xml:space="preserve">овара осуществляется в рабочие дни: понедельник, вторник, среда, четверг, пятница с 9:00 ч. до 17:00 ч., обед с 13:00 ч. до 14:00 ч. </w:t>
      </w:r>
    </w:p>
    <w:p>
      <w:pPr>
        <w:pStyle w:val="Normal"/>
        <w:numPr>
          <w:ilvl w:val="0"/>
          <w:numId w:val="3"/>
        </w:numPr>
        <w:spacing w:before="0" w:after="60"/>
        <w:jc w:val="left"/>
        <w:rPr>
          <w:rFonts w:ascii="Times New Roman" w:hAnsi="Times New Roman"/>
          <w:b/>
          <w:bCs/>
        </w:rPr>
      </w:pPr>
      <w:r>
        <w:rPr>
          <w:rFonts w:ascii="Times New Roman" w:hAnsi="Times New Roman"/>
          <w:b/>
          <w:bCs/>
        </w:rPr>
        <w:t xml:space="preserve">Поставляемый Товар должен соответствовать ГОСТ и ТУ: </w:t>
      </w:r>
    </w:p>
    <w:p>
      <w:pPr>
        <w:pStyle w:val="Normal"/>
        <w:numPr>
          <w:ilvl w:val="0"/>
          <w:numId w:val="0"/>
        </w:numPr>
        <w:spacing w:before="0" w:after="60"/>
        <w:ind w:hanging="0" w:left="720"/>
        <w:jc w:val="left"/>
        <w:rPr>
          <w:rFonts w:ascii="Times New Roman" w:hAnsi="Times New Roman"/>
        </w:rPr>
      </w:pPr>
      <w:r>
        <w:rPr>
          <w:rFonts w:ascii="Times New Roman" w:hAnsi="Times New Roman"/>
        </w:rPr>
        <w:t>ГОСТ  Р 56513-2015 «Шкафы металлические архивные. Технические условия». </w:t>
      </w:r>
    </w:p>
    <w:p>
      <w:pPr>
        <w:pStyle w:val="Normal"/>
        <w:numPr>
          <w:ilvl w:val="0"/>
          <w:numId w:val="0"/>
        </w:numPr>
        <w:spacing w:before="0" w:after="60"/>
        <w:ind w:hanging="0" w:left="720"/>
        <w:jc w:val="left"/>
        <w:rPr>
          <w:rFonts w:ascii="Times New Roman" w:hAnsi="Times New Roman"/>
        </w:rPr>
      </w:pPr>
      <w:r>
        <w:rPr>
          <w:rFonts w:ascii="Times New Roman" w:hAnsi="Times New Roman"/>
        </w:rPr>
        <w:t>Решение Совета Евразийской экономической комиссии от 15.06.2012 № 32 "О принятии технического регламента Таможенного союза "О безопасности мебельной продукции" (вместе с "ТР ТС 025/2012. Технический регламент Таможенного союза. О безопасности мебельной продукции")</w:t>
      </w:r>
    </w:p>
    <w:p>
      <w:pPr>
        <w:pStyle w:val="Normal"/>
        <w:numPr>
          <w:ilvl w:val="0"/>
          <w:numId w:val="3"/>
        </w:numPr>
        <w:spacing w:before="0" w:after="60"/>
        <w:jc w:val="left"/>
        <w:rPr>
          <w:rFonts w:ascii="Times New Roman" w:hAnsi="Times New Roman"/>
          <w:b/>
          <w:bCs/>
        </w:rPr>
      </w:pPr>
      <w:r>
        <w:rPr>
          <w:rFonts w:ascii="Times New Roman" w:hAnsi="Times New Roman"/>
          <w:b/>
          <w:bCs/>
        </w:rPr>
        <w:t>Спецификация:</w:t>
      </w:r>
    </w:p>
    <w:tbl>
      <w:tblPr>
        <w:tblW w:w="10800" w:type="dxa"/>
        <w:jc w:val="left"/>
        <w:tblInd w:w="108" w:type="dxa"/>
        <w:tblLayout w:type="fixed"/>
        <w:tblCellMar>
          <w:top w:w="0" w:type="dxa"/>
          <w:left w:w="108" w:type="dxa"/>
          <w:bottom w:w="0" w:type="dxa"/>
          <w:right w:w="108" w:type="dxa"/>
        </w:tblCellMar>
      </w:tblPr>
      <w:tblGrid>
        <w:gridCol w:w="587"/>
        <w:gridCol w:w="1606"/>
        <w:gridCol w:w="2224"/>
        <w:gridCol w:w="3902"/>
        <w:gridCol w:w="1433"/>
        <w:gridCol w:w="1048"/>
      </w:tblGrid>
      <w:tr>
        <w:trPr>
          <w:trHeight w:val="4125" w:hRule="atLeast"/>
        </w:trPr>
        <w:tc>
          <w:tcPr>
            <w:tcW w:w="587" w:type="dxa"/>
            <w:tcBorders>
              <w:top w:val="single" w:sz="2" w:space="0" w:color="000000"/>
              <w:left w:val="single" w:sz="2" w:space="0" w:color="000000"/>
              <w:bottom w:val="single" w:sz="2" w:space="0" w:color="000000"/>
            </w:tcBorders>
          </w:tcPr>
          <w:p>
            <w:pPr>
              <w:pStyle w:val="Normal"/>
              <w:widowControl w:val="false"/>
              <w:spacing w:before="0" w:after="103"/>
              <w:jc w:val="center"/>
              <w:rPr>
                <w:rFonts w:ascii="Times New Roman" w:hAnsi="Times New Roman"/>
              </w:rPr>
            </w:pPr>
            <w:r>
              <w:rPr>
                <w:rFonts w:cs="Times New Roman" w:ascii="Times New Roman" w:hAnsi="Times New Roman"/>
                <w:b/>
                <w:bCs/>
                <w:sz w:val="20"/>
                <w:szCs w:val="20"/>
              </w:rPr>
              <w:t>№</w:t>
            </w:r>
          </w:p>
          <w:p>
            <w:pPr>
              <w:pStyle w:val="Normal"/>
              <w:widowControl w:val="false"/>
              <w:spacing w:before="0" w:after="103"/>
              <w:jc w:val="center"/>
              <w:rPr>
                <w:rFonts w:ascii="Times New Roman" w:hAnsi="Times New Roman"/>
              </w:rPr>
            </w:pPr>
            <w:r>
              <w:rPr>
                <w:rFonts w:cs="Times New Roman" w:ascii="Times New Roman" w:hAnsi="Times New Roman"/>
                <w:b/>
                <w:bCs/>
                <w:sz w:val="20"/>
                <w:szCs w:val="20"/>
              </w:rPr>
              <w:t>п/п</w:t>
            </w:r>
          </w:p>
        </w:tc>
        <w:tc>
          <w:tcPr>
            <w:tcW w:w="1606" w:type="dxa"/>
            <w:tcBorders>
              <w:top w:val="single" w:sz="2" w:space="0" w:color="000000"/>
              <w:left w:val="single" w:sz="2" w:space="0" w:color="000000"/>
              <w:bottom w:val="single" w:sz="2" w:space="0" w:color="000000"/>
            </w:tcBorders>
          </w:tcPr>
          <w:p>
            <w:pPr>
              <w:pStyle w:val="Normal"/>
              <w:widowControl w:val="false"/>
              <w:spacing w:before="0" w:after="103"/>
              <w:jc w:val="center"/>
              <w:rPr>
                <w:rFonts w:ascii="Times New Roman" w:hAnsi="Times New Roman"/>
              </w:rPr>
            </w:pPr>
            <w:r>
              <w:rPr>
                <w:rFonts w:cs="Times New Roman" w:ascii="Times New Roman" w:hAnsi="Times New Roman"/>
                <w:b/>
                <w:bCs/>
                <w:sz w:val="20"/>
                <w:szCs w:val="20"/>
              </w:rPr>
              <w:t>Наименование объекта закупки</w:t>
            </w:r>
          </w:p>
        </w:tc>
        <w:tc>
          <w:tcPr>
            <w:tcW w:w="2224" w:type="dxa"/>
            <w:tcBorders>
              <w:top w:val="single" w:sz="2" w:space="0" w:color="000000"/>
              <w:left w:val="single" w:sz="2" w:space="0" w:color="000000"/>
              <w:bottom w:val="single" w:sz="2" w:space="0" w:color="000000"/>
            </w:tcBorders>
          </w:tcPr>
          <w:p>
            <w:pPr>
              <w:pStyle w:val="Normal"/>
              <w:widowControl w:val="false"/>
              <w:spacing w:before="0" w:after="103"/>
              <w:jc w:val="center"/>
              <w:rPr>
                <w:rFonts w:ascii="Times New Roman" w:hAnsi="Times New Roman"/>
              </w:rPr>
            </w:pPr>
            <w:r>
              <w:rPr>
                <w:rFonts w:cs="Times New Roman" w:ascii="Times New Roman" w:hAnsi="Times New Roman"/>
                <w:b/>
                <w:bCs/>
                <w:sz w:val="20"/>
                <w:szCs w:val="20"/>
              </w:rPr>
              <w:t>Код позиции КТРУ или наименование технического регламента или документа в соответствии с системой стандартизации РФ, используемого при описании характеристик объекта закупки, код ОКПД 2 (ОК 034-2014 (КПЕС 2008))</w:t>
            </w:r>
          </w:p>
        </w:tc>
        <w:tc>
          <w:tcPr>
            <w:tcW w:w="3902" w:type="dxa"/>
            <w:tcBorders>
              <w:top w:val="single" w:sz="2" w:space="0" w:color="000000"/>
              <w:left w:val="single" w:sz="2" w:space="0" w:color="000000"/>
              <w:bottom w:val="single" w:sz="2" w:space="0" w:color="000000"/>
            </w:tcBorders>
          </w:tcPr>
          <w:p>
            <w:pPr>
              <w:pStyle w:val="Normal"/>
              <w:widowControl w:val="false"/>
              <w:spacing w:before="0" w:after="103"/>
              <w:jc w:val="center"/>
              <w:rPr>
                <w:rFonts w:ascii="Times New Roman" w:hAnsi="Times New Roman"/>
              </w:rPr>
            </w:pPr>
            <w:r>
              <w:rPr>
                <w:rFonts w:cs="Times New Roman" w:ascii="Times New Roman" w:hAnsi="Times New Roman"/>
                <w:b/>
                <w:bCs/>
                <w:sz w:val="20"/>
                <w:szCs w:val="20"/>
              </w:rPr>
              <w:t xml:space="preserve">Показатели, позволяющие определить соответствие закупаемого Товара </w:t>
              <w:br/>
              <w:t>установленным Государственным заказчиком требованиям (технические, качественные, функциональные характеристики)</w:t>
            </w:r>
          </w:p>
          <w:p>
            <w:pPr>
              <w:pStyle w:val="Normal"/>
              <w:widowControl w:val="false"/>
              <w:spacing w:before="0" w:after="103"/>
              <w:jc w:val="center"/>
              <w:rPr>
                <w:rFonts w:ascii="Times New Roman" w:hAnsi="Times New Roman" w:cs="Times New Roman"/>
                <w:b/>
                <w:bCs/>
                <w:sz w:val="20"/>
                <w:szCs w:val="20"/>
              </w:rPr>
            </w:pPr>
            <w:r>
              <w:rPr>
                <w:rFonts w:cs="Times New Roman" w:ascii="Times New Roman" w:hAnsi="Times New Roman"/>
                <w:b/>
                <w:bCs/>
                <w:sz w:val="20"/>
                <w:szCs w:val="20"/>
              </w:rPr>
            </w:r>
          </w:p>
        </w:tc>
        <w:tc>
          <w:tcPr>
            <w:tcW w:w="1433" w:type="dxa"/>
            <w:tcBorders>
              <w:top w:val="single" w:sz="2" w:space="0" w:color="000000"/>
              <w:left w:val="single" w:sz="2" w:space="0" w:color="000000"/>
              <w:bottom w:val="single" w:sz="2" w:space="0" w:color="000000"/>
            </w:tcBorders>
          </w:tcPr>
          <w:p>
            <w:pPr>
              <w:pStyle w:val="Normal"/>
              <w:widowControl w:val="false"/>
              <w:spacing w:before="0" w:after="103"/>
              <w:jc w:val="center"/>
              <w:rPr>
                <w:rFonts w:ascii="Times New Roman" w:hAnsi="Times New Roman"/>
              </w:rPr>
            </w:pPr>
            <w:r>
              <w:rPr>
                <w:rFonts w:cs="Times New Roman" w:ascii="Times New Roman" w:hAnsi="Times New Roman"/>
                <w:b/>
                <w:bCs/>
                <w:sz w:val="20"/>
                <w:szCs w:val="20"/>
              </w:rPr>
              <w:t>Кол-во</w:t>
            </w:r>
          </w:p>
        </w:tc>
        <w:tc>
          <w:tcPr>
            <w:tcW w:w="1048" w:type="dxa"/>
            <w:tcBorders>
              <w:top w:val="single" w:sz="2" w:space="0" w:color="000000"/>
              <w:left w:val="single" w:sz="2" w:space="0" w:color="000000"/>
              <w:bottom w:val="single" w:sz="2" w:space="0" w:color="000000"/>
              <w:right w:val="single" w:sz="2" w:space="0" w:color="000000"/>
            </w:tcBorders>
          </w:tcPr>
          <w:p>
            <w:pPr>
              <w:pStyle w:val="Normal"/>
              <w:widowControl w:val="false"/>
              <w:spacing w:before="0" w:after="103"/>
              <w:jc w:val="center"/>
              <w:rPr>
                <w:rFonts w:ascii="Times New Roman" w:hAnsi="Times New Roman"/>
              </w:rPr>
            </w:pPr>
            <w:r>
              <w:rPr>
                <w:rFonts w:cs="Times New Roman" w:ascii="Times New Roman" w:hAnsi="Times New Roman"/>
                <w:b/>
                <w:bCs/>
                <w:sz w:val="20"/>
                <w:szCs w:val="20"/>
              </w:rPr>
              <w:t>Ед. измерения</w:t>
            </w:r>
          </w:p>
        </w:tc>
      </w:tr>
      <w:tr>
        <w:trPr>
          <w:trHeight w:val="392" w:hRule="atLeast"/>
        </w:trPr>
        <w:tc>
          <w:tcPr>
            <w:tcW w:w="587" w:type="dxa"/>
            <w:vMerge w:val="restart"/>
            <w:tcBorders>
              <w:left w:val="single" w:sz="2" w:space="0" w:color="000000"/>
              <w:bottom w:val="single" w:sz="2" w:space="0" w:color="000000"/>
            </w:tcBorders>
            <w:vAlign w:val="center"/>
          </w:tcPr>
          <w:p>
            <w:pPr>
              <w:pStyle w:val="Normal"/>
              <w:widowControl w:val="false"/>
              <w:tabs>
                <w:tab w:val="clear" w:pos="708"/>
                <w:tab w:val="left" w:pos="0" w:leader="none"/>
              </w:tabs>
              <w:spacing w:lineRule="auto" w:line="240" w:before="0" w:after="0"/>
              <w:jc w:val="center"/>
              <w:rPr>
                <w:rFonts w:ascii="Times New Roman" w:hAnsi="Times New Roman"/>
              </w:rPr>
            </w:pPr>
            <w:r>
              <w:rPr>
                <w:rFonts w:cs="Times New Roman" w:ascii="Times New Roman" w:hAnsi="Times New Roman"/>
                <w:sz w:val="20"/>
                <w:szCs w:val="20"/>
              </w:rPr>
              <w:t>1</w:t>
            </w:r>
          </w:p>
        </w:tc>
        <w:tc>
          <w:tcPr>
            <w:tcW w:w="1606" w:type="dxa"/>
            <w:vMerge w:val="restart"/>
            <w:tcBorders>
              <w:left w:val="single" w:sz="2" w:space="0" w:color="000000"/>
              <w:bottom w:val="single" w:sz="2" w:space="0" w:color="000000"/>
            </w:tcBorders>
            <w:vAlign w:val="center"/>
          </w:tcPr>
          <w:p>
            <w:pPr>
              <w:pStyle w:val="Normal"/>
              <w:spacing w:before="0" w:after="160"/>
              <w:jc w:val="left"/>
              <w:rPr>
                <w:rFonts w:ascii="Times New Roman" w:hAnsi="Times New Roman"/>
              </w:rPr>
            </w:pPr>
            <w:r>
              <w:rPr>
                <w:rFonts w:ascii="Times New Roman" w:hAnsi="Times New Roman"/>
              </w:rPr>
            </w:r>
          </w:p>
          <w:p>
            <w:pPr>
              <w:pStyle w:val="Normal"/>
              <w:spacing w:before="0" w:after="160"/>
              <w:jc w:val="left"/>
              <w:rPr>
                <w:rFonts w:ascii="Times New Roman" w:hAnsi="Times New Roman"/>
              </w:rPr>
            </w:pPr>
            <w:r>
              <w:rPr>
                <w:rFonts w:cs="Times New Roman" w:ascii="Times New Roman" w:hAnsi="Times New Roman"/>
                <w:b w:val="false"/>
                <w:i w:val="false"/>
                <w:caps w:val="false"/>
                <w:smallCaps w:val="false"/>
                <w:color w:val="334059"/>
                <w:spacing w:val="0"/>
                <w:sz w:val="20"/>
                <w:szCs w:val="20"/>
              </w:rPr>
              <w:t>Шкаф архивный металлический</w:t>
            </w:r>
          </w:p>
        </w:tc>
        <w:tc>
          <w:tcPr>
            <w:tcW w:w="2224" w:type="dxa"/>
            <w:vMerge w:val="restart"/>
            <w:tcBorders>
              <w:left w:val="single" w:sz="2" w:space="0" w:color="000000"/>
              <w:bottom w:val="single" w:sz="2" w:space="0" w:color="000000"/>
            </w:tcBorders>
            <w:vAlign w:val="center"/>
          </w:tcPr>
          <w:p>
            <w:pPr>
              <w:pStyle w:val="NoSpacing"/>
              <w:widowControl w:val="false"/>
              <w:spacing w:lineRule="exact" w:line="283" w:before="0" w:after="0"/>
              <w:jc w:val="center"/>
              <w:rPr/>
            </w:pPr>
            <w:r>
              <w:rPr>
                <w:rStyle w:val="Hyperlink"/>
                <w:rFonts w:eastAsia="Calibri" w:cs="Times New Roman" w:ascii="Times New Roman" w:hAnsi="Times New Roman"/>
                <w:b w:val="false"/>
                <w:bCs w:val="false"/>
                <w:i w:val="false"/>
                <w:caps w:val="false"/>
                <w:smallCaps w:val="false"/>
                <w:strike w:val="false"/>
                <w:dstrike w:val="false"/>
                <w:color w:val="000000"/>
                <w:spacing w:val="0"/>
                <w:kern w:val="0"/>
                <w:sz w:val="20"/>
                <w:szCs w:val="20"/>
                <w:u w:val="none"/>
                <w:shd w:fill="FFFFFF" w:val="clear"/>
                <w:lang w:val="ru-RU" w:eastAsia="en-US" w:bidi="ar-SA"/>
              </w:rPr>
              <w:t>31.01.11.122-00000001/ 31.01.11.122</w:t>
            </w:r>
          </w:p>
        </w:tc>
        <w:tc>
          <w:tcPr>
            <w:tcW w:w="3902" w:type="dxa"/>
            <w:tcBorders>
              <w:left w:val="single" w:sz="2" w:space="0" w:color="000000"/>
              <w:bottom w:val="single" w:sz="2" w:space="0" w:color="000000"/>
            </w:tcBorders>
            <w:vAlign w:val="center"/>
          </w:tcPr>
          <w:p>
            <w:pPr>
              <w:pStyle w:val="Normal"/>
              <w:widowControl w:val="false"/>
              <w:tabs>
                <w:tab w:val="clear" w:pos="708"/>
                <w:tab w:val="left" w:pos="0" w:leader="none"/>
              </w:tabs>
              <w:snapToGrid w:val="false"/>
              <w:spacing w:lineRule="auto" w:line="240" w:before="0" w:after="0"/>
              <w:jc w:val="both"/>
              <w:rPr>
                <w:rFonts w:ascii="Times New Roman" w:hAnsi="Times New Roman"/>
              </w:rPr>
            </w:pPr>
            <w:r>
              <w:rPr>
                <w:rFonts w:eastAsia="Times New Roman" w:cs="Times New Roman" w:ascii="Times New Roman" w:hAnsi="Times New Roman"/>
                <w:b w:val="false"/>
                <w:bCs w:val="false"/>
                <w:color w:val="000000"/>
                <w:kern w:val="0"/>
                <w:sz w:val="20"/>
                <w:szCs w:val="20"/>
                <w:shd w:fill="auto" w:val="clear"/>
                <w:lang w:val="ru-RU" w:eastAsia="en-US" w:bidi="ar-SA"/>
              </w:rPr>
              <w:t>Тип дверей шкафа: Распашные</w:t>
            </w:r>
          </w:p>
        </w:tc>
        <w:tc>
          <w:tcPr>
            <w:tcW w:w="1433" w:type="dxa"/>
            <w:vMerge w:val="restart"/>
            <w:tcBorders>
              <w:left w:val="single" w:sz="2" w:space="0" w:color="000000"/>
              <w:bottom w:val="single" w:sz="2" w:space="0" w:color="000000"/>
            </w:tcBorders>
            <w:vAlign w:val="center"/>
          </w:tcPr>
          <w:p>
            <w:pPr>
              <w:pStyle w:val="user5"/>
              <w:snapToGrid w:val="false"/>
              <w:spacing w:before="0" w:after="160"/>
              <w:jc w:val="center"/>
              <w:rPr/>
            </w:pPr>
            <w:r>
              <w:rPr>
                <w:rFonts w:cs="Times New Roman" w:ascii="Times New Roman" w:hAnsi="Times New Roman"/>
                <w:color w:val="000000"/>
                <w:sz w:val="20"/>
                <w:szCs w:val="20"/>
              </w:rPr>
              <w:t>2</w:t>
            </w:r>
          </w:p>
        </w:tc>
        <w:tc>
          <w:tcPr>
            <w:tcW w:w="1048" w:type="dxa"/>
            <w:vMerge w:val="restart"/>
            <w:tcBorders>
              <w:left w:val="single" w:sz="2" w:space="0" w:color="000000"/>
              <w:bottom w:val="single" w:sz="2" w:space="0" w:color="000000"/>
              <w:right w:val="single" w:sz="2" w:space="0" w:color="000000"/>
            </w:tcBorders>
            <w:vAlign w:val="center"/>
          </w:tcPr>
          <w:p>
            <w:pPr>
              <w:pStyle w:val="user5"/>
              <w:snapToGrid w:val="false"/>
              <w:spacing w:before="0" w:after="160"/>
              <w:jc w:val="center"/>
              <w:rPr/>
            </w:pPr>
            <w:r>
              <w:rPr>
                <w:rFonts w:cs="Times New Roman" w:ascii="Times New Roman" w:hAnsi="Times New Roman"/>
                <w:color w:val="000000"/>
                <w:sz w:val="20"/>
                <w:szCs w:val="20"/>
              </w:rPr>
              <w:t>шт</w:t>
            </w:r>
          </w:p>
        </w:tc>
      </w:tr>
      <w:tr>
        <w:trPr>
          <w:trHeight w:val="392" w:hRule="atLeast"/>
        </w:trPr>
        <w:tc>
          <w:tcPr>
            <w:tcW w:w="587" w:type="dxa"/>
            <w:vMerge w:val="continue"/>
            <w:tcBorders>
              <w:left w:val="single" w:sz="2" w:space="0" w:color="000000"/>
              <w:bottom w:val="single" w:sz="2" w:space="0" w:color="000000"/>
            </w:tcBorders>
            <w:vAlign w:val="center"/>
          </w:tcPr>
          <w:p>
            <w:pPr>
              <w:pStyle w:val="Normal"/>
              <w:widowControl w:val="false"/>
              <w:tabs>
                <w:tab w:val="clear" w:pos="708"/>
                <w:tab w:val="left" w:pos="0" w:leader="none"/>
              </w:tabs>
              <w:spacing w:lineRule="auto" w:line="240" w:before="0" w:after="0"/>
              <w:jc w:val="center"/>
              <w:rPr>
                <w:rFonts w:ascii="Times New Roman" w:hAnsi="Times New Roman"/>
              </w:rPr>
            </w:pPr>
            <w:r>
              <w:rPr>
                <w:rFonts w:ascii="Times New Roman" w:hAnsi="Times New Roman"/>
              </w:rPr>
            </w:r>
          </w:p>
        </w:tc>
        <w:tc>
          <w:tcPr>
            <w:tcW w:w="1606" w:type="dxa"/>
            <w:vMerge w:val="continue"/>
            <w:tcBorders>
              <w:left w:val="single" w:sz="2" w:space="0" w:color="000000"/>
              <w:bottom w:val="single" w:sz="2" w:space="0" w:color="000000"/>
            </w:tcBorders>
            <w:vAlign w:val="center"/>
          </w:tcPr>
          <w:p>
            <w:pPr>
              <w:pStyle w:val="Normal"/>
              <w:spacing w:before="0" w:after="160"/>
              <w:jc w:val="left"/>
              <w:rPr>
                <w:rFonts w:ascii="Times New Roman" w:hAnsi="Times New Roman"/>
              </w:rPr>
            </w:pPr>
            <w:r>
              <w:rPr>
                <w:rFonts w:ascii="Times New Roman" w:hAnsi="Times New Roman"/>
              </w:rPr>
            </w:r>
          </w:p>
        </w:tc>
        <w:tc>
          <w:tcPr>
            <w:tcW w:w="2224" w:type="dxa"/>
            <w:vMerge w:val="continue"/>
            <w:tcBorders>
              <w:left w:val="single" w:sz="2" w:space="0" w:color="000000"/>
              <w:bottom w:val="single" w:sz="2" w:space="0" w:color="000000"/>
            </w:tcBorders>
            <w:vAlign w:val="center"/>
          </w:tcPr>
          <w:p>
            <w:pPr>
              <w:pStyle w:val="NoSpacing"/>
              <w:widowControl w:val="false"/>
              <w:spacing w:lineRule="exact" w:line="283" w:before="0" w:after="0"/>
              <w:jc w:val="center"/>
              <w:rPr/>
            </w:pPr>
            <w:r>
              <w:rPr/>
            </w:r>
          </w:p>
        </w:tc>
        <w:tc>
          <w:tcPr>
            <w:tcW w:w="3902" w:type="dxa"/>
            <w:tcBorders>
              <w:left w:val="single" w:sz="2" w:space="0" w:color="000000"/>
              <w:bottom w:val="single" w:sz="2" w:space="0" w:color="000000"/>
            </w:tcBorders>
            <w:vAlign w:val="center"/>
          </w:tcPr>
          <w:p>
            <w:pPr>
              <w:pStyle w:val="Normal"/>
              <w:tabs>
                <w:tab w:val="clear" w:pos="708"/>
                <w:tab w:val="left" w:pos="0" w:leader="none"/>
              </w:tabs>
              <w:snapToGrid w:val="false"/>
              <w:spacing w:lineRule="auto" w:line="240"/>
              <w:jc w:val="both"/>
              <w:rPr>
                <w:rFonts w:ascii="Times New Roman" w:hAnsi="Times New Roman" w:eastAsia="Times New Roman" w:cs="Times New Roman"/>
                <w:b w:val="false"/>
                <w:bCs w:val="false"/>
                <w:sz w:val="20"/>
                <w:szCs w:val="20"/>
                <w:shd w:fill="auto" w:val="clear"/>
                <w:lang w:eastAsia="zh-CN" w:bidi="ar-SA"/>
              </w:rPr>
            </w:pPr>
            <w:r>
              <w:rPr>
                <w:rFonts w:eastAsia="Times New Roman" w:cs="Times New Roman" w:ascii="Times New Roman" w:hAnsi="Times New Roman"/>
                <w:b w:val="false"/>
                <w:bCs w:val="false"/>
                <w:sz w:val="20"/>
                <w:szCs w:val="20"/>
                <w:shd w:fill="auto" w:val="clear"/>
                <w:lang w:eastAsia="zh-CN" w:bidi="ar-SA"/>
              </w:rPr>
              <w:t xml:space="preserve">Высота: </w:t>
            </w:r>
            <w:r>
              <w:rPr>
                <w:rFonts w:eastAsia="Liberation Serif" w:cs="Liberation Serif" w:ascii="Liberation Serif" w:hAnsi="Liberation Serif"/>
                <w:b w:val="false"/>
                <w:bCs w:val="false"/>
                <w:sz w:val="20"/>
                <w:szCs w:val="20"/>
                <w:shd w:fill="auto" w:val="clear"/>
                <w:lang w:eastAsia="zh-CN" w:bidi="ar-SA"/>
              </w:rPr>
              <w:t>≥</w:t>
            </w:r>
            <w:r>
              <w:rPr>
                <w:rFonts w:eastAsia="Times New Roman" w:cs="Times New Roman" w:ascii="Times New Roman" w:hAnsi="Times New Roman"/>
                <w:b w:val="false"/>
                <w:bCs w:val="false"/>
                <w:sz w:val="20"/>
                <w:szCs w:val="20"/>
                <w:shd w:fill="auto" w:val="clear"/>
                <w:lang w:eastAsia="zh-CN" w:bidi="ar-SA"/>
              </w:rPr>
              <w:t xml:space="preserve"> 2000 мм*</w:t>
            </w:r>
          </w:p>
        </w:tc>
        <w:tc>
          <w:tcPr>
            <w:tcW w:w="1433" w:type="dxa"/>
            <w:vMerge w:val="continue"/>
            <w:tcBorders>
              <w:left w:val="single" w:sz="2" w:space="0" w:color="000000"/>
              <w:bottom w:val="single" w:sz="2" w:space="0" w:color="000000"/>
            </w:tcBorders>
            <w:vAlign w:val="center"/>
          </w:tcPr>
          <w:p>
            <w:pPr>
              <w:pStyle w:val="user5"/>
              <w:snapToGrid w:val="false"/>
              <w:spacing w:before="0" w:after="160"/>
              <w:jc w:val="center"/>
              <w:rPr/>
            </w:pPr>
            <w:r>
              <w:rPr/>
            </w:r>
          </w:p>
        </w:tc>
        <w:tc>
          <w:tcPr>
            <w:tcW w:w="1048" w:type="dxa"/>
            <w:vMerge w:val="continue"/>
            <w:tcBorders>
              <w:left w:val="single" w:sz="2" w:space="0" w:color="000000"/>
              <w:bottom w:val="single" w:sz="2" w:space="0" w:color="000000"/>
              <w:right w:val="single" w:sz="2" w:space="0" w:color="000000"/>
            </w:tcBorders>
            <w:vAlign w:val="center"/>
          </w:tcPr>
          <w:p>
            <w:pPr>
              <w:pStyle w:val="user5"/>
              <w:snapToGrid w:val="false"/>
              <w:spacing w:before="0" w:after="160"/>
              <w:jc w:val="center"/>
              <w:rPr/>
            </w:pPr>
            <w:r>
              <w:rPr/>
            </w:r>
          </w:p>
        </w:tc>
      </w:tr>
      <w:tr>
        <w:trPr>
          <w:trHeight w:val="551" w:hRule="atLeast"/>
        </w:trPr>
        <w:tc>
          <w:tcPr>
            <w:tcW w:w="587" w:type="dxa"/>
            <w:vMerge w:val="continue"/>
            <w:tcBorders>
              <w:left w:val="single" w:sz="2" w:space="0" w:color="000000"/>
              <w:bottom w:val="single" w:sz="2" w:space="0" w:color="000000"/>
            </w:tcBorders>
            <w:vAlign w:val="center"/>
          </w:tcPr>
          <w:p>
            <w:pPr>
              <w:pStyle w:val="NoSpacing"/>
              <w:widowControl w:val="false"/>
              <w:tabs>
                <w:tab w:val="clear" w:pos="708"/>
                <w:tab w:val="left" w:pos="0" w:leader="none"/>
              </w:tabs>
              <w:snapToGrid w:val="fals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606" w:type="dxa"/>
            <w:vMerge w:val="continue"/>
            <w:tcBorders>
              <w:left w:val="single" w:sz="2" w:space="0" w:color="000000"/>
              <w:bottom w:val="single" w:sz="2" w:space="0" w:color="000000"/>
            </w:tcBorders>
            <w:vAlign w:val="center"/>
          </w:tcPr>
          <w:p>
            <w:pPr>
              <w:pStyle w:val="NoSpacing"/>
              <w:widowControl w:val="false"/>
              <w:tabs>
                <w:tab w:val="clear" w:pos="708"/>
                <w:tab w:val="left" w:pos="0" w:leader="none"/>
              </w:tabs>
              <w:snapToGrid w:val="fals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2224" w:type="dxa"/>
            <w:vMerge w:val="continue"/>
            <w:tcBorders>
              <w:left w:val="single" w:sz="2" w:space="0" w:color="000000"/>
              <w:bottom w:val="single" w:sz="2" w:space="0" w:color="000000"/>
            </w:tcBorders>
            <w:vAlign w:val="center"/>
          </w:tcPr>
          <w:p>
            <w:pPr>
              <w:pStyle w:val="Normal"/>
              <w:widowControl w:val="false"/>
              <w:tabs>
                <w:tab w:val="clear" w:pos="708"/>
                <w:tab w:val="left" w:pos="0" w:leader="none"/>
              </w:tabs>
              <w:snapToGrid w:val="fals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3902" w:type="dxa"/>
            <w:tcBorders>
              <w:left w:val="single" w:sz="2" w:space="0" w:color="000000"/>
              <w:bottom w:val="single" w:sz="2" w:space="0" w:color="000000"/>
            </w:tcBorders>
            <w:vAlign w:val="center"/>
          </w:tcPr>
          <w:p>
            <w:pPr>
              <w:pStyle w:val="Normal"/>
              <w:widowControl w:val="false"/>
              <w:tabs>
                <w:tab w:val="clear" w:pos="708"/>
                <w:tab w:val="left" w:pos="0" w:leader="none"/>
              </w:tabs>
              <w:snapToGrid w:val="false"/>
              <w:spacing w:lineRule="auto" w:line="240" w:before="0" w:after="0"/>
              <w:jc w:val="both"/>
              <w:rPr>
                <w:rFonts w:ascii="Times New Roman" w:hAnsi="Times New Roman"/>
              </w:rPr>
            </w:pPr>
            <w:r>
              <w:rPr>
                <w:rFonts w:eastAsia="Times New Roman" w:cs="Times New Roman" w:ascii="Times New Roman" w:hAnsi="Times New Roman"/>
                <w:b w:val="false"/>
                <w:bCs w:val="false"/>
                <w:color w:val="000000"/>
                <w:kern w:val="0"/>
                <w:sz w:val="20"/>
                <w:szCs w:val="20"/>
                <w:shd w:fill="auto" w:val="clear"/>
                <w:lang w:val="ru-RU" w:eastAsia="en-US" w:bidi="ar-SA"/>
              </w:rPr>
              <w:t xml:space="preserve">Ширина: </w:t>
            </w:r>
            <w:r>
              <w:rPr>
                <w:rFonts w:eastAsia="Liberation Serif" w:cs="Liberation Serif" w:ascii="Liberation Serif" w:hAnsi="Liberation Serif"/>
                <w:b w:val="false"/>
                <w:bCs w:val="false"/>
                <w:color w:val="000000"/>
                <w:kern w:val="0"/>
                <w:sz w:val="20"/>
                <w:szCs w:val="20"/>
                <w:shd w:fill="auto" w:val="clear"/>
                <w:lang w:val="ru-RU" w:eastAsia="zh-CN" w:bidi="ar-SA"/>
              </w:rPr>
              <w:t>≥</w:t>
            </w:r>
            <w:r>
              <w:rPr>
                <w:rFonts w:eastAsia="Times New Roman" w:cs="Times New Roman" w:ascii="Times New Roman" w:hAnsi="Times New Roman"/>
                <w:b w:val="false"/>
                <w:bCs w:val="false"/>
                <w:color w:val="000000"/>
                <w:kern w:val="0"/>
                <w:sz w:val="20"/>
                <w:szCs w:val="20"/>
                <w:shd w:fill="auto" w:val="clear"/>
                <w:lang w:val="ru-RU" w:eastAsia="zh-CN" w:bidi="ar-SA"/>
              </w:rPr>
              <w:t xml:space="preserve"> </w:t>
            </w:r>
            <w:r>
              <w:rPr>
                <w:rFonts w:eastAsia="Times New Roman" w:cs="Times New Roman" w:ascii="Times New Roman" w:hAnsi="Times New Roman"/>
                <w:b w:val="false"/>
                <w:bCs w:val="false"/>
                <w:color w:val="000000"/>
                <w:kern w:val="0"/>
                <w:sz w:val="20"/>
                <w:szCs w:val="20"/>
                <w:shd w:fill="auto" w:val="clear"/>
                <w:lang w:val="ru-RU" w:eastAsia="en-US" w:bidi="ar-SA"/>
              </w:rPr>
              <w:t>850 мм*</w:t>
            </w:r>
          </w:p>
        </w:tc>
        <w:tc>
          <w:tcPr>
            <w:tcW w:w="1433" w:type="dxa"/>
            <w:vMerge w:val="continue"/>
            <w:tcBorders>
              <w:left w:val="single" w:sz="2" w:space="0" w:color="000000"/>
              <w:bottom w:val="single" w:sz="2" w:space="0" w:color="000000"/>
            </w:tcBorders>
            <w:vAlign w:val="center"/>
          </w:tcPr>
          <w:p>
            <w:pPr>
              <w:pStyle w:val="NoSpacing"/>
              <w:widowControl w:val="false"/>
              <w:tabs>
                <w:tab w:val="clear" w:pos="708"/>
                <w:tab w:val="left" w:pos="0" w:leader="none"/>
              </w:tabs>
              <w:snapToGrid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1048" w:type="dxa"/>
            <w:vMerge w:val="continue"/>
            <w:tcBorders>
              <w:left w:val="single" w:sz="2" w:space="0" w:color="000000"/>
              <w:bottom w:val="single" w:sz="2" w:space="0" w:color="000000"/>
              <w:right w:val="single" w:sz="2" w:space="0" w:color="000000"/>
            </w:tcBorders>
            <w:vAlign w:val="center"/>
          </w:tcPr>
          <w:p>
            <w:pPr>
              <w:pStyle w:val="NoSpacing"/>
              <w:widowControl w:val="false"/>
              <w:tabs>
                <w:tab w:val="clear" w:pos="708"/>
                <w:tab w:val="left" w:pos="0" w:leader="none"/>
              </w:tabs>
              <w:snapToGrid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r>
      <w:tr>
        <w:trPr>
          <w:trHeight w:val="465" w:hRule="atLeast"/>
        </w:trPr>
        <w:tc>
          <w:tcPr>
            <w:tcW w:w="587" w:type="dxa"/>
            <w:vMerge w:val="continue"/>
            <w:tcBorders>
              <w:left w:val="single" w:sz="2" w:space="0" w:color="000000"/>
              <w:bottom w:val="single" w:sz="2" w:space="0" w:color="000000"/>
            </w:tcBorders>
            <w:vAlign w:val="center"/>
          </w:tcPr>
          <w:p>
            <w:pPr>
              <w:pStyle w:val="NoSpacing"/>
              <w:widowControl w:val="false"/>
              <w:tabs>
                <w:tab w:val="clear" w:pos="708"/>
                <w:tab w:val="left" w:pos="0" w:leader="none"/>
              </w:tabs>
              <w:snapToGrid w:val="fals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606" w:type="dxa"/>
            <w:vMerge w:val="continue"/>
            <w:tcBorders>
              <w:left w:val="single" w:sz="2" w:space="0" w:color="000000"/>
              <w:bottom w:val="single" w:sz="2" w:space="0" w:color="000000"/>
            </w:tcBorders>
            <w:vAlign w:val="center"/>
          </w:tcPr>
          <w:p>
            <w:pPr>
              <w:pStyle w:val="NoSpacing"/>
              <w:widowControl w:val="false"/>
              <w:tabs>
                <w:tab w:val="clear" w:pos="708"/>
                <w:tab w:val="left" w:pos="0" w:leader="none"/>
              </w:tabs>
              <w:snapToGrid w:val="fals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2224" w:type="dxa"/>
            <w:vMerge w:val="continue"/>
            <w:tcBorders>
              <w:left w:val="single" w:sz="2" w:space="0" w:color="000000"/>
              <w:bottom w:val="single" w:sz="2" w:space="0" w:color="000000"/>
            </w:tcBorders>
            <w:vAlign w:val="center"/>
          </w:tcPr>
          <w:p>
            <w:pPr>
              <w:pStyle w:val="Normal"/>
              <w:widowControl w:val="false"/>
              <w:tabs>
                <w:tab w:val="clear" w:pos="708"/>
                <w:tab w:val="left" w:pos="0" w:leader="none"/>
              </w:tabs>
              <w:snapToGrid w:val="fals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3902" w:type="dxa"/>
            <w:tcBorders>
              <w:left w:val="single" w:sz="2" w:space="0" w:color="000000"/>
              <w:bottom w:val="single" w:sz="2" w:space="0" w:color="000000"/>
            </w:tcBorders>
            <w:vAlign w:val="center"/>
          </w:tcPr>
          <w:p>
            <w:pPr>
              <w:pStyle w:val="Normal"/>
              <w:widowControl w:val="false"/>
              <w:tabs>
                <w:tab w:val="clear" w:pos="708"/>
                <w:tab w:val="left" w:pos="0" w:leader="none"/>
              </w:tabs>
              <w:snapToGrid w:val="false"/>
              <w:spacing w:lineRule="auto" w:line="240" w:before="0" w:after="0"/>
              <w:jc w:val="both"/>
              <w:rPr>
                <w:rFonts w:ascii="Times New Roman" w:hAnsi="Times New Roman"/>
              </w:rPr>
            </w:pPr>
            <w:r>
              <w:rPr>
                <w:rFonts w:eastAsia="Times New Roman" w:cs="Times New Roman" w:ascii="Times New Roman" w:hAnsi="Times New Roman"/>
                <w:b w:val="false"/>
                <w:bCs w:val="false"/>
                <w:color w:val="000000"/>
                <w:sz w:val="20"/>
                <w:szCs w:val="20"/>
                <w:shd w:fill="auto" w:val="clear"/>
                <w:lang w:val="ru-RU" w:eastAsia="zh-CN" w:bidi="ar-SA"/>
              </w:rPr>
              <w:t xml:space="preserve">Глубина: </w:t>
            </w:r>
            <w:r>
              <w:rPr>
                <w:rFonts w:eastAsia="Liberation Serif" w:cs="Liberation Serif" w:ascii="Liberation Serif" w:hAnsi="Liberation Serif"/>
                <w:b w:val="false"/>
                <w:bCs w:val="false"/>
                <w:color w:val="000000"/>
                <w:sz w:val="20"/>
                <w:szCs w:val="20"/>
                <w:shd w:fill="auto" w:val="clear"/>
                <w:lang w:val="ru-RU" w:eastAsia="zh-CN" w:bidi="ar-SA"/>
              </w:rPr>
              <w:t>≥</w:t>
            </w:r>
            <w:r>
              <w:rPr>
                <w:rFonts w:eastAsia="Times New Roman" w:cs="Times New Roman" w:ascii="Times New Roman" w:hAnsi="Times New Roman"/>
                <w:b w:val="false"/>
                <w:bCs w:val="false"/>
                <w:color w:val="000000"/>
                <w:sz w:val="20"/>
                <w:szCs w:val="20"/>
                <w:shd w:fill="auto" w:val="clear"/>
                <w:lang w:val="ru-RU" w:eastAsia="zh-CN" w:bidi="ar-SA"/>
              </w:rPr>
              <w:t xml:space="preserve"> 500 мм*</w:t>
            </w:r>
          </w:p>
        </w:tc>
        <w:tc>
          <w:tcPr>
            <w:tcW w:w="1433" w:type="dxa"/>
            <w:vMerge w:val="continue"/>
            <w:tcBorders>
              <w:left w:val="single" w:sz="2" w:space="0" w:color="000000"/>
              <w:bottom w:val="single" w:sz="2" w:space="0" w:color="000000"/>
            </w:tcBorders>
            <w:vAlign w:val="center"/>
          </w:tcPr>
          <w:p>
            <w:pPr>
              <w:pStyle w:val="NoSpacing"/>
              <w:widowControl w:val="false"/>
              <w:tabs>
                <w:tab w:val="clear" w:pos="708"/>
                <w:tab w:val="left" w:pos="0" w:leader="none"/>
              </w:tabs>
              <w:snapToGrid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1048" w:type="dxa"/>
            <w:vMerge w:val="continue"/>
            <w:tcBorders>
              <w:left w:val="single" w:sz="2" w:space="0" w:color="000000"/>
              <w:bottom w:val="single" w:sz="2" w:space="0" w:color="000000"/>
              <w:right w:val="single" w:sz="2" w:space="0" w:color="000000"/>
            </w:tcBorders>
            <w:vAlign w:val="center"/>
          </w:tcPr>
          <w:p>
            <w:pPr>
              <w:pStyle w:val="NoSpacing"/>
              <w:widowControl w:val="false"/>
              <w:tabs>
                <w:tab w:val="clear" w:pos="708"/>
                <w:tab w:val="left" w:pos="0" w:leader="none"/>
              </w:tabs>
              <w:snapToGrid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r>
      <w:tr>
        <w:trPr>
          <w:trHeight w:val="465" w:hRule="atLeast"/>
        </w:trPr>
        <w:tc>
          <w:tcPr>
            <w:tcW w:w="587" w:type="dxa"/>
            <w:vMerge w:val="continue"/>
            <w:tcBorders>
              <w:left w:val="single" w:sz="2" w:space="0" w:color="000000"/>
              <w:bottom w:val="single" w:sz="2" w:space="0" w:color="000000"/>
            </w:tcBorders>
            <w:vAlign w:val="center"/>
          </w:tcPr>
          <w:p>
            <w:pPr>
              <w:pStyle w:val="NoSpacing"/>
              <w:widowControl w:val="false"/>
              <w:tabs>
                <w:tab w:val="clear" w:pos="708"/>
                <w:tab w:val="left" w:pos="0" w:leader="none"/>
              </w:tabs>
              <w:snapToGrid w:val="fals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606" w:type="dxa"/>
            <w:vMerge w:val="continue"/>
            <w:tcBorders>
              <w:left w:val="single" w:sz="2" w:space="0" w:color="000000"/>
              <w:bottom w:val="single" w:sz="2" w:space="0" w:color="000000"/>
            </w:tcBorders>
            <w:vAlign w:val="center"/>
          </w:tcPr>
          <w:p>
            <w:pPr>
              <w:pStyle w:val="NoSpacing"/>
              <w:widowControl w:val="false"/>
              <w:tabs>
                <w:tab w:val="clear" w:pos="708"/>
                <w:tab w:val="left" w:pos="0" w:leader="none"/>
              </w:tabs>
              <w:snapToGrid w:val="fals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2224" w:type="dxa"/>
            <w:vMerge w:val="continue"/>
            <w:tcBorders>
              <w:left w:val="single" w:sz="2" w:space="0" w:color="000000"/>
              <w:bottom w:val="single" w:sz="2" w:space="0" w:color="000000"/>
            </w:tcBorders>
            <w:vAlign w:val="center"/>
          </w:tcPr>
          <w:p>
            <w:pPr>
              <w:pStyle w:val="Normal"/>
              <w:widowControl w:val="false"/>
              <w:tabs>
                <w:tab w:val="clear" w:pos="708"/>
                <w:tab w:val="left" w:pos="0" w:leader="none"/>
              </w:tabs>
              <w:snapToGrid w:val="fals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3902" w:type="dxa"/>
            <w:tcBorders>
              <w:left w:val="single" w:sz="2" w:space="0" w:color="000000"/>
              <w:bottom w:val="single" w:sz="2" w:space="0" w:color="000000"/>
            </w:tcBorders>
            <w:vAlign w:val="center"/>
          </w:tcPr>
          <w:p>
            <w:pPr>
              <w:pStyle w:val="Normal"/>
              <w:tabs>
                <w:tab w:val="clear" w:pos="708"/>
                <w:tab w:val="left" w:pos="0" w:leader="none"/>
              </w:tabs>
              <w:snapToGrid w:val="false"/>
              <w:spacing w:lineRule="auto" w:line="240"/>
              <w:jc w:val="both"/>
              <w:rPr>
                <w:rFonts w:ascii="Times New Roman" w:hAnsi="Times New Roman" w:eastAsia="Times New Roman" w:cs="Times New Roman"/>
                <w:b w:val="false"/>
                <w:bCs w:val="false"/>
                <w:sz w:val="20"/>
                <w:szCs w:val="20"/>
                <w:shd w:fill="auto" w:val="clear"/>
                <w:lang w:eastAsia="zh-CN" w:bidi="ar-SA"/>
              </w:rPr>
            </w:pPr>
            <w:r>
              <w:rPr>
                <w:rFonts w:eastAsia="Times New Roman" w:cs="Times New Roman" w:ascii="Times New Roman" w:hAnsi="Times New Roman"/>
                <w:b w:val="false"/>
                <w:bCs w:val="false"/>
                <w:sz w:val="20"/>
                <w:szCs w:val="20"/>
                <w:shd w:fill="auto" w:val="clear"/>
                <w:lang w:eastAsia="zh-CN" w:bidi="ar-SA"/>
              </w:rPr>
              <w:t xml:space="preserve">Количество полок: </w:t>
            </w:r>
            <w:r>
              <w:rPr>
                <w:rFonts w:eastAsia="Liberation Serif" w:cs="Liberation Serif" w:ascii="Liberation Serif" w:hAnsi="Liberation Serif"/>
                <w:b w:val="false"/>
                <w:bCs w:val="false"/>
                <w:color w:val="000000"/>
                <w:sz w:val="20"/>
                <w:szCs w:val="20"/>
                <w:shd w:fill="auto" w:val="clear"/>
                <w:lang w:val="ru-RU" w:eastAsia="zh-CN" w:bidi="ar-SA"/>
              </w:rPr>
              <w:t xml:space="preserve">≥ </w:t>
            </w:r>
            <w:r>
              <w:rPr>
                <w:rFonts w:eastAsia="Times New Roman" w:cs="Times New Roman" w:ascii="Times New Roman" w:hAnsi="Times New Roman"/>
                <w:b w:val="false"/>
                <w:bCs w:val="false"/>
                <w:sz w:val="20"/>
                <w:szCs w:val="20"/>
                <w:shd w:fill="auto" w:val="clear"/>
                <w:lang w:eastAsia="zh-CN" w:bidi="ar-SA"/>
              </w:rPr>
              <w:t>4 шт*</w:t>
            </w:r>
          </w:p>
        </w:tc>
        <w:tc>
          <w:tcPr>
            <w:tcW w:w="1433" w:type="dxa"/>
            <w:vMerge w:val="continue"/>
            <w:tcBorders>
              <w:left w:val="single" w:sz="2" w:space="0" w:color="000000"/>
              <w:bottom w:val="single" w:sz="2" w:space="0" w:color="000000"/>
            </w:tcBorders>
            <w:vAlign w:val="center"/>
          </w:tcPr>
          <w:p>
            <w:pPr>
              <w:pStyle w:val="NoSpacing"/>
              <w:widowControl w:val="false"/>
              <w:tabs>
                <w:tab w:val="clear" w:pos="708"/>
                <w:tab w:val="left" w:pos="0" w:leader="none"/>
              </w:tabs>
              <w:snapToGrid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1048" w:type="dxa"/>
            <w:vMerge w:val="continue"/>
            <w:tcBorders>
              <w:left w:val="single" w:sz="2" w:space="0" w:color="000000"/>
              <w:bottom w:val="single" w:sz="2" w:space="0" w:color="000000"/>
              <w:right w:val="single" w:sz="2" w:space="0" w:color="000000"/>
            </w:tcBorders>
            <w:vAlign w:val="center"/>
          </w:tcPr>
          <w:p>
            <w:pPr>
              <w:pStyle w:val="NoSpacing"/>
              <w:widowControl w:val="false"/>
              <w:tabs>
                <w:tab w:val="clear" w:pos="708"/>
                <w:tab w:val="left" w:pos="0" w:leader="none"/>
              </w:tabs>
              <w:snapToGrid w:val="fals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r>
      <w:tr>
        <w:trPr>
          <w:trHeight w:val="465" w:hRule="atLeast"/>
        </w:trPr>
        <w:tc>
          <w:tcPr>
            <w:tcW w:w="10800" w:type="dxa"/>
            <w:gridSpan w:val="6"/>
            <w:tcBorders>
              <w:left w:val="single" w:sz="2" w:space="0" w:color="000000"/>
              <w:bottom w:val="single" w:sz="2" w:space="0" w:color="000000"/>
              <w:right w:val="single" w:sz="2" w:space="0" w:color="000000"/>
            </w:tcBorders>
            <w:vAlign w:val="center"/>
          </w:tcPr>
          <w:p>
            <w:pPr>
              <w:pStyle w:val="NoSpacing"/>
              <w:widowControl w:val="false"/>
              <w:tabs>
                <w:tab w:val="clear" w:pos="708"/>
                <w:tab w:val="left" w:pos="0" w:leader="none"/>
              </w:tabs>
              <w:snapToGrid w:val="fals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p>
            <w:pPr>
              <w:pStyle w:val="Normal"/>
              <w:spacing w:lineRule="auto" w:line="240" w:before="0" w:after="0"/>
              <w:jc w:val="center"/>
              <w:rPr>
                <w:rFonts w:ascii="PT Astra Serif" w:hAnsi="PT Astra Serif" w:eastAsia="Times New Roman" w:cs="Arial"/>
                <w:color w:val="000000"/>
                <w:sz w:val="24"/>
                <w:szCs w:val="24"/>
              </w:rPr>
            </w:pPr>
            <w:r>
              <w:rPr>
                <w:rFonts w:eastAsia="Times New Roman" w:cs="Arial" w:ascii="PT Astra Serif" w:hAnsi="PT Astra Serif"/>
                <w:color w:val="000000"/>
                <w:sz w:val="24"/>
                <w:szCs w:val="24"/>
              </w:rPr>
              <w:t>Примерное изображение</w:t>
            </w:r>
          </w:p>
          <w:p>
            <w:pPr>
              <w:pStyle w:val="Normal"/>
              <w:spacing w:before="0" w:after="0"/>
              <w:rPr>
                <w:rFonts w:ascii="PT Astra Serif" w:hAnsi="PT Astra Serif" w:eastAsia="Times New Roman" w:cs="Arial"/>
                <w:sz w:val="24"/>
                <w:szCs w:val="24"/>
                <w:lang w:eastAsia="ru-RU"/>
              </w:rPr>
            </w:pPr>
            <w:r>
              <w:rPr>
                <w:rFonts w:eastAsia="Times New Roman" w:cs="Arial" w:ascii="PT Astra Serif" w:hAnsi="PT Astra Serif"/>
                <w:sz w:val="24"/>
                <w:szCs w:val="24"/>
                <w:lang w:eastAsia="ru-RU"/>
              </w:rPr>
              <w:t>Описание объекта закупки может включать в себя фото (изображение объекта закупки), ч.1 п.3 ст. 33 Федерального закона № 44-ФЗ. Изображение носит информационный характер. Требование о соответствии поставляемого Товара изображению не установлено.</w:t>
            </w:r>
          </w:p>
          <w:p>
            <w:pPr>
              <w:pStyle w:val="Normal"/>
              <w:spacing w:lineRule="auto" w:line="240" w:before="0" w:after="0"/>
              <w:jc w:val="center"/>
              <w:rPr>
                <w:sz w:val="24"/>
                <w:szCs w:val="24"/>
                <w:lang w:eastAsia="ru-RU"/>
              </w:rPr>
            </w:pPr>
            <w:r>
              <w:rPr>
                <w:sz w:val="24"/>
                <w:szCs w:val="24"/>
                <w:lang w:eastAsia="ru-RU"/>
              </w:rPr>
            </w:r>
          </w:p>
          <w:p>
            <w:pPr>
              <w:pStyle w:val="Normal"/>
              <w:spacing w:lineRule="auto" w:line="240" w:before="0" w:after="0"/>
              <w:jc w:val="center"/>
              <w:rPr>
                <w:rFonts w:ascii="PT Astra Serif" w:hAnsi="PT Astra Serif" w:eastAsia="Times New Roman" w:cs="Arial"/>
                <w:color w:val="000000"/>
                <w:sz w:val="24"/>
                <w:szCs w:val="24"/>
              </w:rPr>
            </w:pPr>
            <w:r>
              <w:rPr/>
              <w:drawing>
                <wp:inline distT="0" distB="0" distL="0" distR="0">
                  <wp:extent cx="2133600" cy="217170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9"/>
                          <a:srcRect l="31785" t="16014" r="31622" b="18576"/>
                          <a:stretch>
                            <a:fillRect/>
                          </a:stretch>
                        </pic:blipFill>
                        <pic:spPr bwMode="auto">
                          <a:xfrm>
                            <a:off x="0" y="0"/>
                            <a:ext cx="2133600" cy="2171700"/>
                          </a:xfrm>
                          <a:prstGeom prst="rect">
                            <a:avLst/>
                          </a:prstGeom>
                          <a:noFill/>
                        </pic:spPr>
                      </pic:pic>
                    </a:graphicData>
                  </a:graphic>
                </wp:inline>
              </w:drawing>
            </w:r>
          </w:p>
        </w:tc>
      </w:tr>
    </w:tbl>
    <w:p>
      <w:pPr>
        <w:pStyle w:val="Normal"/>
        <w:spacing w:lineRule="auto" w:line="276"/>
        <w:ind w:firstLine="567"/>
        <w:jc w:val="both"/>
        <w:rPr>
          <w:rFonts w:ascii="Times New Roman" w:hAnsi="Times New Roman" w:eastAsia="Calibri" w:cs="Times New Roman"/>
          <w:bCs/>
          <w:i/>
          <w:sz w:val="20"/>
          <w:szCs w:val="20"/>
        </w:rPr>
      </w:pPr>
      <w:r>
        <w:rPr>
          <w:rFonts w:eastAsia="Calibri" w:cs="Times New Roman" w:ascii="Times New Roman" w:hAnsi="Times New Roman"/>
          <w:bCs/>
          <w:i/>
          <w:sz w:val="20"/>
          <w:szCs w:val="20"/>
        </w:rPr>
        <w:t>* Государственным заказчиком внесены дополнительные характеристики, не предусмотренные КТРУ.</w:t>
      </w:r>
    </w:p>
    <w:p>
      <w:pPr>
        <w:pStyle w:val="Normal"/>
        <w:spacing w:lineRule="auto" w:line="276"/>
        <w:ind w:firstLine="567"/>
        <w:jc w:val="both"/>
        <w:rPr>
          <w:rFonts w:ascii="Times New Roman" w:hAnsi="Times New Roman" w:eastAsia="Calibri" w:cs="Times New Roman"/>
          <w:bCs/>
          <w:i/>
          <w:sz w:val="20"/>
          <w:szCs w:val="20"/>
        </w:rPr>
      </w:pPr>
      <w:r>
        <w:rPr>
          <w:rFonts w:eastAsia="Calibri" w:cs="Times New Roman" w:ascii="Times New Roman" w:hAnsi="Times New Roman"/>
          <w:bCs/>
          <w:i/>
          <w:sz w:val="20"/>
          <w:szCs w:val="20"/>
        </w:rPr>
        <w:t xml:space="preserve">Обоснование включения дополнительных характеристик: </w:t>
      </w:r>
    </w:p>
    <w:p>
      <w:pPr>
        <w:pStyle w:val="Normal"/>
        <w:spacing w:lineRule="auto" w:line="276"/>
        <w:ind w:firstLine="567"/>
        <w:jc w:val="both"/>
        <w:rPr>
          <w:rFonts w:ascii="Times New Roman" w:hAnsi="Times New Roman" w:eastAsia="Calibri" w:cs="Times New Roman"/>
          <w:bCs/>
          <w:i/>
          <w:sz w:val="20"/>
          <w:szCs w:val="20"/>
        </w:rPr>
      </w:pPr>
      <w:r>
        <w:rPr>
          <w:rFonts w:eastAsia="Calibri" w:cs="Times New Roman" w:ascii="Times New Roman" w:hAnsi="Times New Roman"/>
          <w:bCs/>
          <w:i/>
          <w:sz w:val="20"/>
          <w:szCs w:val="20"/>
        </w:rPr>
        <w:t>Согласно пунктам 5 и 6 Правил использования каталога товаров, работ, услуг для обеспечения государственных и муниципальных нужд, утвержденных постановлением Правительства от 08.02.2017 № 145, Государственный заказчик вправе указать в извещении об осуществлении закупки, приглашении и документации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w:t>
      </w:r>
    </w:p>
    <w:p>
      <w:pPr>
        <w:pStyle w:val="Normal"/>
        <w:spacing w:lineRule="auto" w:line="276"/>
        <w:ind w:firstLine="567"/>
        <w:jc w:val="both"/>
        <w:rPr>
          <w:rFonts w:ascii="Times New Roman" w:hAnsi="Times New Roman" w:eastAsia="Calibri" w:cs="Times New Roman"/>
          <w:bCs/>
          <w:i/>
          <w:sz w:val="20"/>
          <w:szCs w:val="20"/>
        </w:rPr>
      </w:pPr>
      <w:r>
        <w:rPr>
          <w:rFonts w:eastAsia="Calibri" w:cs="Times New Roman" w:ascii="Times New Roman" w:hAnsi="Times New Roman"/>
          <w:bCs/>
          <w:i/>
          <w:sz w:val="20"/>
          <w:szCs w:val="20"/>
        </w:rPr>
        <w:t>Указанные характеристики кода КТРУ не в полной мере описывают некоторые технические характеристики, не соответствуют стандартам ГОСТов или полностью отсутствуют. Детализация описания требуемого Товара направлена на получение Товара отвечающего потребностям Государственного заказчика, для обеспечения нормальной деятельности.</w:t>
      </w:r>
    </w:p>
    <w:p>
      <w:pPr>
        <w:pStyle w:val="Normal"/>
        <w:spacing w:lineRule="auto" w:line="276"/>
        <w:ind w:firstLine="567"/>
        <w:jc w:val="both"/>
        <w:rPr>
          <w:rFonts w:ascii="Times New Roman" w:hAnsi="Times New Roman" w:eastAsia="Calibri" w:cs="Times New Roman"/>
          <w:bCs/>
          <w:i/>
          <w:sz w:val="20"/>
          <w:szCs w:val="20"/>
        </w:rPr>
      </w:pPr>
      <w:r>
        <w:rPr>
          <w:rFonts w:eastAsia="Calibri" w:cs="Times New Roman" w:ascii="Times New Roman" w:hAnsi="Times New Roman"/>
          <w:bCs/>
          <w:i/>
          <w:sz w:val="20"/>
          <w:szCs w:val="20"/>
        </w:rPr>
      </w:r>
    </w:p>
    <w:p>
      <w:pPr>
        <w:pStyle w:val="Normal"/>
        <w:spacing w:before="0" w:after="60"/>
        <w:rPr>
          <w:b/>
          <w:bCs/>
        </w:rPr>
      </w:pPr>
      <w:r>
        <w:rPr>
          <w:rFonts w:ascii="Times New Roman" w:hAnsi="Times New Roman"/>
          <w:b/>
          <w:bCs/>
        </w:rPr>
        <w:t>6. Требования к Товарам, к их безопасности и гарантии:</w:t>
      </w:r>
    </w:p>
    <w:p>
      <w:pPr>
        <w:pStyle w:val="Normal"/>
        <w:spacing w:before="0" w:after="60"/>
        <w:rPr>
          <w:rFonts w:ascii="Times New Roman" w:hAnsi="Times New Roman"/>
        </w:rPr>
      </w:pPr>
      <w:r>
        <w:rPr>
          <w:rFonts w:ascii="Times New Roman" w:hAnsi="Times New Roman"/>
        </w:rPr>
        <w:t>6.1. Поставщик гарантирует соответствие Товара техническим условиям при его использовании и хранении и несет все расходы по замене или ремонту дефектного Товара, выявленного Государственным заказчиком в течение гарантийного срока, если дефект не зависит от условий хранения или неправильного обращения.</w:t>
      </w:r>
    </w:p>
    <w:p>
      <w:pPr>
        <w:pStyle w:val="Normal"/>
        <w:spacing w:before="0" w:after="60"/>
        <w:rPr>
          <w:rFonts w:ascii="Times New Roman" w:hAnsi="Times New Roman"/>
        </w:rPr>
      </w:pPr>
      <w:r>
        <w:rPr>
          <w:rFonts w:ascii="Times New Roman" w:hAnsi="Times New Roman"/>
        </w:rPr>
        <w:t>6.2. Поставщик предоставляет гарантию качества на Товар. В случае обнаружения недостатков Товара, Поставщик производит замену Товара с недостатками на исправный Товар в течение 5 рабочих дней со дня направления информации от Государственного заказчика.</w:t>
      </w:r>
    </w:p>
    <w:p>
      <w:pPr>
        <w:pStyle w:val="Normal"/>
        <w:spacing w:before="0" w:after="60"/>
        <w:rPr>
          <w:rFonts w:ascii="Times New Roman" w:hAnsi="Times New Roman"/>
        </w:rPr>
      </w:pPr>
      <w:r>
        <w:rPr>
          <w:rFonts w:ascii="Times New Roman" w:hAnsi="Times New Roman"/>
        </w:rPr>
        <w:t>6.3. Гарантийный срок на поставленный Товар составляет не менее 24 месяца, начиная со дня подписания Государственным заказчиком акта сдачи-приемки Товара (Приложение № 2 к Контракту).</w:t>
      </w:r>
    </w:p>
    <w:p>
      <w:pPr>
        <w:pStyle w:val="Normal"/>
        <w:spacing w:before="0" w:after="60"/>
        <w:rPr>
          <w:rFonts w:ascii="Times New Roman" w:hAnsi="Times New Roman"/>
        </w:rPr>
      </w:pPr>
      <w:r>
        <w:rPr>
          <w:rFonts w:ascii="Times New Roman" w:hAnsi="Times New Roman"/>
        </w:rPr>
      </w:r>
    </w:p>
    <w:tbl>
      <w:tblPr>
        <w:tblW w:w="10348" w:type="dxa"/>
        <w:jc w:val="left"/>
        <w:tblInd w:w="391" w:type="dxa"/>
        <w:tblLayout w:type="fixed"/>
        <w:tblCellMar>
          <w:top w:w="0" w:type="dxa"/>
          <w:left w:w="108" w:type="dxa"/>
          <w:bottom w:w="0" w:type="dxa"/>
          <w:right w:w="108" w:type="dxa"/>
        </w:tblCellMar>
        <w:tblLook w:noHBand="0" w:noVBand="1" w:firstColumn="1" w:lastRow="0" w:lastColumn="0" w:firstRow="1" w:val="04a0"/>
      </w:tblPr>
      <w:tblGrid>
        <w:gridCol w:w="5386"/>
        <w:gridCol w:w="4962"/>
      </w:tblGrid>
      <w:tr>
        <w:trPr>
          <w:trHeight w:val="1082" w:hRule="atLeast"/>
        </w:trPr>
        <w:tc>
          <w:tcPr>
            <w:tcW w:w="5386" w:type="dxa"/>
            <w:tcBorders/>
          </w:tcPr>
          <w:p>
            <w:pPr>
              <w:pStyle w:val="Normal"/>
              <w:spacing w:before="0" w:after="60"/>
              <w:ind w:hanging="5760" w:left="5760"/>
              <w:jc w:val="both"/>
              <w:rPr>
                <w:rFonts w:ascii="Times New Roman" w:hAnsi="Times New Roman"/>
              </w:rPr>
            </w:pPr>
            <w:r>
              <w:rPr>
                <w:rFonts w:ascii="Times New Roman" w:hAnsi="Times New Roman"/>
              </w:rPr>
              <w:t>от Государственного заказчика</w:t>
            </w:r>
          </w:p>
          <w:p>
            <w:pPr>
              <w:pStyle w:val="Normal"/>
              <w:spacing w:before="0" w:after="60"/>
              <w:ind w:hanging="5760" w:left="5760"/>
              <w:jc w:val="both"/>
              <w:rPr>
                <w:rFonts w:ascii="Times New Roman" w:hAnsi="Times New Roman"/>
              </w:rPr>
            </w:pPr>
            <w:r>
              <w:rPr>
                <w:rFonts w:ascii="Times New Roman" w:hAnsi="Times New Roman"/>
              </w:rPr>
            </w:r>
          </w:p>
          <w:p>
            <w:pPr>
              <w:pStyle w:val="Normal"/>
              <w:jc w:val="both"/>
              <w:rPr>
                <w:rFonts w:ascii="Times New Roman" w:hAnsi="Times New Roman" w:eastAsia="Calibri"/>
              </w:rPr>
            </w:pPr>
            <w:r>
              <w:rPr>
                <w:rFonts w:eastAsia="Calibri" w:ascii="Times New Roman" w:hAnsi="Times New Roman"/>
              </w:rPr>
              <w:t>__________________/______________/</w:t>
            </w:r>
          </w:p>
          <w:p>
            <w:pPr>
              <w:pStyle w:val="Normal"/>
              <w:shd w:val="clear" w:color="auto" w:fill="FFFFFF"/>
              <w:spacing w:before="0" w:after="60"/>
              <w:ind w:left="24"/>
              <w:jc w:val="both"/>
              <w:rPr>
                <w:rFonts w:ascii="Times New Roman" w:hAnsi="Times New Roman"/>
              </w:rPr>
            </w:pPr>
            <w:r>
              <w:rPr>
                <w:rFonts w:ascii="Times New Roman" w:hAnsi="Times New Roman"/>
              </w:rPr>
              <w:t xml:space="preserve"> </w:t>
            </w:r>
            <w:r>
              <w:rPr>
                <w:rFonts w:ascii="Times New Roman" w:hAnsi="Times New Roman"/>
              </w:rPr>
              <w:t>М.П.</w:t>
            </w:r>
          </w:p>
        </w:tc>
        <w:tc>
          <w:tcPr>
            <w:tcW w:w="4962" w:type="dxa"/>
            <w:tcBorders/>
          </w:tcPr>
          <w:p>
            <w:pPr>
              <w:pStyle w:val="Normal"/>
              <w:spacing w:before="0" w:after="60"/>
              <w:ind w:hanging="5760" w:left="5760"/>
              <w:jc w:val="both"/>
              <w:rPr>
                <w:rFonts w:ascii="Times New Roman" w:hAnsi="Times New Roman"/>
              </w:rPr>
            </w:pPr>
            <w:r>
              <w:rPr>
                <w:rFonts w:ascii="Times New Roman" w:hAnsi="Times New Roman"/>
              </w:rPr>
              <w:t>от Поставщика</w:t>
            </w:r>
          </w:p>
          <w:p>
            <w:pPr>
              <w:pStyle w:val="Normal"/>
              <w:spacing w:before="0" w:after="60"/>
              <w:ind w:hanging="5760" w:left="5760"/>
              <w:jc w:val="both"/>
              <w:rPr>
                <w:rFonts w:ascii="Times New Roman" w:hAnsi="Times New Roman"/>
              </w:rPr>
            </w:pPr>
            <w:r>
              <w:rPr>
                <w:rFonts w:ascii="Times New Roman" w:hAnsi="Times New Roman"/>
              </w:rPr>
            </w:r>
          </w:p>
          <w:p>
            <w:pPr>
              <w:pStyle w:val="Normal"/>
              <w:jc w:val="both"/>
              <w:rPr>
                <w:rFonts w:ascii="Times New Roman" w:hAnsi="Times New Roman" w:eastAsia="Calibri"/>
              </w:rPr>
            </w:pPr>
            <w:r>
              <w:rPr>
                <w:rFonts w:eastAsia="Calibri" w:ascii="Times New Roman" w:hAnsi="Times New Roman"/>
              </w:rPr>
              <w:t>__________________/______________/</w:t>
            </w:r>
          </w:p>
          <w:p>
            <w:pPr>
              <w:pStyle w:val="Normal"/>
              <w:spacing w:before="0" w:after="60"/>
              <w:jc w:val="both"/>
              <w:rPr>
                <w:rFonts w:ascii="Times New Roman" w:hAnsi="Times New Roman"/>
              </w:rPr>
            </w:pPr>
            <w:r>
              <w:rPr>
                <w:rFonts w:ascii="Times New Roman" w:hAnsi="Times New Roman"/>
              </w:rPr>
              <w:t xml:space="preserve"> </w:t>
            </w:r>
            <w:r>
              <w:rPr>
                <w:rFonts w:ascii="Times New Roman" w:hAnsi="Times New Roman"/>
              </w:rPr>
              <w:t>М.П.</w:t>
            </w:r>
          </w:p>
        </w:tc>
      </w:tr>
    </w:tbl>
    <w:p>
      <w:pPr>
        <w:pStyle w:val="Normal"/>
        <w:jc w:val="both"/>
        <w:rPr>
          <w:rFonts w:ascii="Times New Roman" w:hAnsi="Times New Roman" w:eastAsia="Times New Roman" w:cs="Times New Roman"/>
        </w:rPr>
      </w:pPr>
      <w:r>
        <w:rPr>
          <w:rFonts w:eastAsia="Times New Roman" w:cs="Times New Roman" w:ascii="Times New Roman" w:hAnsi="Times New Roman"/>
        </w:rPr>
      </w:r>
    </w:p>
    <w:sectPr>
      <w:footerReference w:type="even" r:id="rId10"/>
      <w:footerReference w:type="default" r:id="rId11"/>
      <w:footerReference w:type="first" r:id="rId12"/>
      <w:type w:val="nextPage"/>
      <w:pgSz w:w="11906" w:h="16838"/>
      <w:pgMar w:left="567" w:right="547" w:gutter="0" w:header="0" w:top="897" w:footer="3" w:bottom="710"/>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ourier New">
    <w:charset w:val="01"/>
    <w:family w:val="roman"/>
    <w:pitch w:val="default"/>
  </w:font>
  <w:font w:name="Times New Roman">
    <w:charset w:val="01"/>
    <w:family w:val="roman"/>
    <w:pitch w:val="default"/>
  </w:font>
  <w:font w:name="Calibri Light">
    <w:charset w:val="01"/>
    <w:family w:val="roman"/>
    <w:pitch w:val="default"/>
  </w:font>
  <w:font w:name="Kudrashov">
    <w:charset w:val="01"/>
    <w:family w:val="swiss"/>
    <w:pitch w:val="default"/>
  </w:font>
  <w:font w:name="Segoe UI">
    <w:charset w:val="01"/>
    <w:family w:val="swiss"/>
    <w:pitch w:val="default"/>
  </w:font>
  <w:font w:name="PT Astra Serif">
    <w:charset w:val="01"/>
    <w:family w:val="roman"/>
    <w:pitch w:val="default"/>
  </w:font>
  <w:font w:name="Calibri">
    <w:charset w:val="01"/>
    <w:family w:val="swiss"/>
    <w:pitch w:val="default"/>
  </w:font>
  <w:font w:name="Arial">
    <w:charset w:val="01"/>
    <w:family w:val="swiss"/>
    <w:pitch w:val="default"/>
  </w:font>
  <w:font w:name="Liberation Serif">
    <w:altName w:val="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rPr/>
    </w:pPr>
    <w:r>
      <w:rPr/>
      <mc:AlternateContent>
        <mc:Choice Requires="wps">
          <w:drawing>
            <wp:anchor distT="0" distB="0" distL="0" distR="0" simplePos="0" relativeHeight="20" behindDoc="1" locked="0" layoutInCell="0" allowOverlap="1">
              <wp:simplePos x="0" y="0"/>
              <wp:positionH relativeFrom="page">
                <wp:posOffset>6723380</wp:posOffset>
              </wp:positionH>
              <wp:positionV relativeFrom="page">
                <wp:posOffset>10306050</wp:posOffset>
              </wp:positionV>
              <wp:extent cx="152400" cy="175260"/>
              <wp:effectExtent l="0" t="0" r="0" b="0"/>
              <wp:wrapNone/>
              <wp:docPr id="2" name="Врезка2"/>
              <a:graphic xmlns:a="http://schemas.openxmlformats.org/drawingml/2006/main">
                <a:graphicData uri="http://schemas.microsoft.com/office/word/2010/wordprocessingShape">
                  <wps:wsp>
                    <wps:cNvSpPr/>
                    <wps:spPr>
                      <a:xfrm>
                        <a:off x="0" y="0"/>
                        <a:ext cx="152280" cy="175320"/>
                      </a:xfrm>
                      <a:prstGeom prst="rect">
                        <a:avLst/>
                      </a:prstGeom>
                      <a:noFill/>
                      <a:ln w="0">
                        <a:noFill/>
                      </a:ln>
                    </wps:spPr>
                    <wps:style>
                      <a:lnRef idx="0"/>
                      <a:fillRef idx="0"/>
                      <a:effectRef idx="0"/>
                      <a:fontRef idx="minor"/>
                    </wps:style>
                    <wps:txbx>
                      <w:txbxContent>
                        <w:p>
                          <w:pPr>
                            <w:pStyle w:val="22"/>
                            <w:shd w:val="clear" w:color="auto" w:fill="auto"/>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txbxContent>
                    </wps:txbx>
                    <wps:bodyPr lIns="0" tIns="0" rIns="0" bIns="0" anchor="t">
                      <a:noAutofit/>
                    </wps:bodyPr>
                  </wps:wsp>
                </a:graphicData>
              </a:graphic>
            </wp:anchor>
          </w:drawing>
        </mc:Choice>
        <mc:Fallback>
          <w:pict>
            <v:rect id="shape_0" stroked="f" o:allowincell="f" style="position:absolute;margin-left:529.4pt;margin-top:811.5pt;width:11.95pt;height:13.75pt;mso-wrap-style:square;v-text-anchor:top;mso-position-horizontal-relative:page;mso-position-vertical-relative:page">
              <v:fill o:detectmouseclick="t" on="false"/>
              <v:stroke color="#3465a4" joinstyle="round" endcap="flat"/>
              <v:textbox>
                <w:txbxContent>
                  <w:p>
                    <w:pPr>
                      <w:pStyle w:val="22"/>
                      <w:shd w:val="clear" w:color="auto" w:fill="auto"/>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rPr/>
    </w:pPr>
    <w:r>
      <w:rPr/>
      <mc:AlternateContent>
        <mc:Choice Requires="wps">
          <w:drawing>
            <wp:anchor distT="0" distB="0" distL="0" distR="0" simplePos="0" relativeHeight="3" behindDoc="1" locked="0" layoutInCell="0" allowOverlap="1">
              <wp:simplePos x="0" y="0"/>
              <wp:positionH relativeFrom="page">
                <wp:posOffset>0</wp:posOffset>
              </wp:positionH>
              <wp:positionV relativeFrom="page">
                <wp:posOffset>0</wp:posOffset>
              </wp:positionV>
              <wp:extent cx="152400" cy="175260"/>
              <wp:effectExtent l="0" t="0" r="0" b="0"/>
              <wp:wrapNone/>
              <wp:docPr id="3" name="Врезка3"/>
              <a:graphic xmlns:a="http://schemas.openxmlformats.org/drawingml/2006/main">
                <a:graphicData uri="http://schemas.microsoft.com/office/word/2010/wordprocessingShape">
                  <wps:wsp>
                    <wps:cNvSpPr/>
                    <wps:spPr>
                      <a:xfrm>
                        <a:off x="0" y="0"/>
                        <a:ext cx="152280" cy="175320"/>
                      </a:xfrm>
                      <a:prstGeom prst="rect">
                        <a:avLst/>
                      </a:prstGeom>
                      <a:noFill/>
                      <a:ln w="0">
                        <a:noFill/>
                      </a:ln>
                    </wps:spPr>
                    <wps:style>
                      <a:lnRef idx="0"/>
                      <a:fillRef idx="0"/>
                      <a:effectRef idx="0"/>
                      <a:fontRef idx="minor"/>
                    </wps:style>
                    <wps:txbx>
                      <w:txbxContent>
                        <w:p>
                          <w:pPr>
                            <w:pStyle w:val="22"/>
                            <w:shd w:val="clear" w:color="auto" w:fill="auto"/>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0</w:t>
                          </w:r>
                          <w:r>
                            <w:rPr>
                              <w:sz w:val="24"/>
                              <w:szCs w:val="24"/>
                            </w:rPr>
                            <w:fldChar w:fldCharType="end"/>
                          </w:r>
                        </w:p>
                      </w:txbxContent>
                    </wps:txbx>
                    <wps:bodyPr lIns="0" tIns="0" rIns="0" bIns="0" anchor="t">
                      <a:noAutofit/>
                    </wps:bodyPr>
                  </wps:wsp>
                </a:graphicData>
              </a:graphic>
            </wp:anchor>
          </w:drawing>
        </mc:Choice>
        <mc:Fallback>
          <w:pict>
            <v:rect id="shape_0" stroked="f" o:allowincell="f" style="position:absolute;margin-left:0pt;margin-top:0pt;width:11.95pt;height:13.75pt;mso-wrap-style:square;v-text-anchor:top;mso-position-horizontal-relative:page;mso-position-vertical-relative:page">
              <v:fill o:detectmouseclick="t" on="false"/>
              <v:stroke color="#3465a4" joinstyle="round" endcap="flat"/>
              <v:textbox>
                <w:txbxContent>
                  <w:p>
                    <w:pPr>
                      <w:pStyle w:val="22"/>
                      <w:shd w:val="clear" w:color="auto" w:fill="auto"/>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0</w:t>
                    </w:r>
                    <w:r>
                      <w:rPr>
                        <w:sz w:val="24"/>
                        <w:szCs w:val="24"/>
                      </w:rPr>
                      <w:fldChar w:fldCharType="end"/>
                    </w:r>
                  </w:p>
                </w:txbxContent>
              </v:textbox>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rPr/>
    </w:pPr>
    <w:r>
      <w:rPr/>
      <mc:AlternateContent>
        <mc:Choice Requires="wps">
          <w:drawing>
            <wp:anchor distT="0" distB="0" distL="0" distR="0" simplePos="0" relativeHeight="8" behindDoc="1" locked="0" layoutInCell="0" allowOverlap="1">
              <wp:simplePos x="0" y="0"/>
              <wp:positionH relativeFrom="page">
                <wp:posOffset>6723380</wp:posOffset>
              </wp:positionH>
              <wp:positionV relativeFrom="page">
                <wp:posOffset>10306050</wp:posOffset>
              </wp:positionV>
              <wp:extent cx="152400" cy="175260"/>
              <wp:effectExtent l="0" t="0" r="0" b="0"/>
              <wp:wrapNone/>
              <wp:docPr id="5" name="Врезка4"/>
              <a:graphic xmlns:a="http://schemas.openxmlformats.org/drawingml/2006/main">
                <a:graphicData uri="http://schemas.microsoft.com/office/word/2010/wordprocessingShape">
                  <wps:wsp>
                    <wps:cNvSpPr/>
                    <wps:spPr>
                      <a:xfrm>
                        <a:off x="0" y="0"/>
                        <a:ext cx="152280" cy="175320"/>
                      </a:xfrm>
                      <a:prstGeom prst="rect">
                        <a:avLst/>
                      </a:prstGeom>
                      <a:noFill/>
                      <a:ln w="0">
                        <a:noFill/>
                      </a:ln>
                    </wps:spPr>
                    <wps:style>
                      <a:lnRef idx="0"/>
                      <a:fillRef idx="0"/>
                      <a:effectRef idx="0"/>
                      <a:fontRef idx="minor"/>
                    </wps:style>
                    <wps:txbx>
                      <w:txbxContent>
                        <w:p>
                          <w:pPr>
                            <w:pStyle w:val="22"/>
                            <w:shd w:val="clear" w:color="auto" w:fill="auto"/>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txbxContent>
                    </wps:txbx>
                    <wps:bodyPr lIns="0" tIns="0" rIns="0" bIns="0" anchor="t">
                      <a:noAutofit/>
                    </wps:bodyPr>
                  </wps:wsp>
                </a:graphicData>
              </a:graphic>
            </wp:anchor>
          </w:drawing>
        </mc:Choice>
        <mc:Fallback>
          <w:pict>
            <v:rect id="shape_0" stroked="f" o:allowincell="f" style="position:absolute;margin-left:529.4pt;margin-top:811.5pt;width:11.95pt;height:13.75pt;mso-wrap-style:square;v-text-anchor:top;mso-position-horizontal-relative:page;mso-position-vertical-relative:page">
              <v:fill o:detectmouseclick="t" on="false"/>
              <v:stroke color="#3465a4" joinstyle="round" endcap="flat"/>
              <v:textbox>
                <w:txbxContent>
                  <w:p>
                    <w:pPr>
                      <w:pStyle w:val="22"/>
                      <w:shd w:val="clear" w:color="auto" w:fill="auto"/>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exact" w:line="1"/>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rFonts w:ascii="Times New Roman" w:hAnsi="Times New Roman" w:eastAsia="Times New Roman" w:cs="Times New Roman"/>
        <w:b/>
        <w:bCs/>
        <w:i w:val="false"/>
        <w:iCs w:val="false"/>
        <w:caps w:val="false"/>
        <w:smallCaps w:val="false"/>
        <w:strike w:val="false"/>
        <w:dstrike w:val="false"/>
        <w:color w:val="000000"/>
        <w:spacing w:val="0"/>
        <w:w w:val="100"/>
        <w:sz w:val="24"/>
        <w:szCs w:val="24"/>
        <w:u w:val="none"/>
        <w:shd w:fill="auto" w:val="clear"/>
        <w:lang w:val="ru-RU" w:eastAsia="ru-RU" w:bidi="ru-RU"/>
      </w:rPr>
    </w:lvl>
    <w:lvl w:ilvl="1">
      <w:start w:val="1"/>
      <w:numFmt w:val="decimal"/>
      <w:lvlText w:val="%1.%2."/>
      <w:lvlJc w:val="left"/>
      <w:pPr>
        <w:tabs>
          <w:tab w:val="num" w:pos="0"/>
        </w:tabs>
        <w:ind w:lef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ru-RU" w:eastAsia="ru-RU" w:bidi="ru-RU"/>
      </w:rPr>
    </w:lvl>
    <w:lvl w:ilvl="2">
      <w:start w:val="1"/>
      <w:numFmt w:val="decimal"/>
      <w:lvlText w:val="%1.%2.%3."/>
      <w:lvlJc w:val="left"/>
      <w:pPr>
        <w:tabs>
          <w:tab w:val="num" w:pos="0"/>
        </w:tabs>
        <w:ind w:lef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ru-RU" w:eastAsia="ru-RU" w:bidi="ru-RU"/>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2"/>
      <w:numFmt w:val="decimal"/>
      <w:lvlText w:val="12.%1."/>
      <w:lvlJc w:val="left"/>
      <w:pPr>
        <w:tabs>
          <w:tab w:val="num" w:pos="0"/>
        </w:tabs>
        <w:ind w:lef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decimal"/>
      <w:lvlText w:val="%1."/>
      <w:lvlJc w:val="right"/>
      <w:pPr>
        <w:tabs>
          <w:tab w:val="num" w:pos="0"/>
        </w:tabs>
        <w:ind w:left="786"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08"/>
  <w:autoHyphenation w:val="true"/>
  <w:hyphenationZone w:val="360"/>
  <w:compat>
    <w:doNotExpandShiftReturn/>
    <w:compatSetting w:name="compatibilityMode" w:uri="http://schemas.microsoft.com/office/word" w:val="12"/>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ourier New" w:hAnsi="Courier New" w:eastAsia="Courier New" w:cs="Courier New"/>
        <w:sz w:val="24"/>
        <w:szCs w:val="24"/>
        <w:lang w:val="ru-RU" w:eastAsia="ru-RU" w:bidi="ru-RU"/>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91eb6"/>
    <w:pPr>
      <w:widowControl w:val="false"/>
      <w:suppressAutoHyphens w:val="false"/>
      <w:bidi w:val="0"/>
      <w:spacing w:before="0" w:after="0"/>
      <w:jc w:val="left"/>
    </w:pPr>
    <w:rPr>
      <w:rFonts w:ascii="Courier New" w:hAnsi="Courier New" w:eastAsia="Courier New" w:cs="Courier New"/>
      <w:color w:val="000000"/>
      <w:kern w:val="0"/>
      <w:sz w:val="24"/>
      <w:szCs w:val="24"/>
      <w:lang w:val="ru-RU" w:eastAsia="ru-RU" w:bidi="ru-RU"/>
    </w:rPr>
  </w:style>
  <w:style w:type="paragraph" w:styleId="Heading1">
    <w:name w:val="heading 1"/>
    <w:basedOn w:val="Normal"/>
    <w:link w:val="11"/>
    <w:qFormat/>
    <w:rsid w:val="007b7114"/>
    <w:pPr>
      <w:widowControl/>
      <w:spacing w:beforeAutospacing="1" w:afterAutospacing="1"/>
      <w:outlineLvl w:val="0"/>
    </w:pPr>
    <w:rPr>
      <w:rFonts w:ascii="Times New Roman" w:hAnsi="Times New Roman" w:eastAsia="Times New Roman" w:cs="Times New Roman"/>
      <w:b/>
      <w:bCs/>
      <w:color w:val="auto"/>
      <w:kern w:val="2"/>
      <w:sz w:val="48"/>
      <w:szCs w:val="48"/>
      <w:lang w:bidi="ar-SA"/>
    </w:rPr>
  </w:style>
  <w:style w:type="paragraph" w:styleId="Heading2">
    <w:name w:val="heading 2"/>
    <w:basedOn w:val="Normal"/>
    <w:next w:val="Normal"/>
    <w:link w:val="21"/>
    <w:unhideWhenUsed/>
    <w:qFormat/>
    <w:rsid w:val="00eb0be8"/>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E74B5"/>
      <w:sz w:val="26"/>
      <w:szCs w:val="26"/>
    </w:rPr>
  </w:style>
  <w:style w:type="paragraph" w:styleId="Heading3">
    <w:name w:val="heading 3"/>
    <w:basedOn w:val="Normal"/>
    <w:next w:val="Normal"/>
    <w:link w:val="3"/>
    <w:qFormat/>
    <w:rsid w:val="002c58e7"/>
    <w:pPr>
      <w:keepNext w:val="true"/>
      <w:widowControl/>
      <w:tabs>
        <w:tab w:val="clear" w:pos="708"/>
        <w:tab w:val="left" w:pos="0" w:leader="none"/>
      </w:tabs>
      <w:suppressAutoHyphens w:val="true"/>
      <w:jc w:val="center"/>
      <w:outlineLvl w:val="2"/>
    </w:pPr>
    <w:rPr>
      <w:rFonts w:ascii="Times New Roman" w:hAnsi="Times New Roman" w:eastAsia="Times New Roman" w:cs="Times New Roman"/>
      <w:b/>
      <w:color w:val="auto"/>
      <w:sz w:val="28"/>
      <w:szCs w:val="20"/>
      <w:lang w:eastAsia="zh-CN" w:bidi="ar-SA"/>
    </w:rPr>
  </w:style>
  <w:style w:type="paragraph" w:styleId="Heading4">
    <w:name w:val="heading 4"/>
    <w:basedOn w:val="Normal"/>
    <w:next w:val="Normal"/>
    <w:link w:val="4"/>
    <w:unhideWhenUsed/>
    <w:qFormat/>
    <w:rsid w:val="009a346b"/>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E74B5"/>
    </w:rPr>
  </w:style>
  <w:style w:type="paragraph" w:styleId="Heading5">
    <w:name w:val="heading 5"/>
    <w:basedOn w:val="Normal"/>
    <w:next w:val="Normal"/>
    <w:link w:val="5"/>
    <w:qFormat/>
    <w:rsid w:val="002c58e7"/>
    <w:pPr>
      <w:keepNext w:val="true"/>
      <w:widowControl/>
      <w:tabs>
        <w:tab w:val="clear" w:pos="708"/>
        <w:tab w:val="left" w:pos="0" w:leader="none"/>
      </w:tabs>
      <w:suppressAutoHyphens w:val="true"/>
      <w:jc w:val="both"/>
      <w:outlineLvl w:val="4"/>
    </w:pPr>
    <w:rPr>
      <w:rFonts w:ascii="Times New Roman" w:hAnsi="Times New Roman" w:eastAsia="Times New Roman" w:cs="Times New Roman"/>
      <w:b/>
      <w:color w:val="auto"/>
      <w:sz w:val="28"/>
      <w:szCs w:val="20"/>
      <w:lang w:eastAsia="zh-CN" w:bidi="ar-SA"/>
    </w:rPr>
  </w:style>
  <w:style w:type="paragraph" w:styleId="Heading6">
    <w:name w:val="heading 6"/>
    <w:basedOn w:val="Normal"/>
    <w:next w:val="Normal"/>
    <w:link w:val="6"/>
    <w:qFormat/>
    <w:rsid w:val="002c58e7"/>
    <w:pPr>
      <w:keepNext w:val="true"/>
      <w:widowControl/>
      <w:tabs>
        <w:tab w:val="clear" w:pos="708"/>
        <w:tab w:val="left" w:pos="0" w:leader="none"/>
      </w:tabs>
      <w:suppressAutoHyphens w:val="true"/>
      <w:spacing w:lineRule="auto" w:line="360"/>
      <w:jc w:val="both"/>
      <w:outlineLvl w:val="5"/>
    </w:pPr>
    <w:rPr>
      <w:rFonts w:ascii="Times New Roman" w:hAnsi="Times New Roman" w:eastAsia="Times New Roman" w:cs="Times New Roman"/>
      <w:bCs/>
      <w:color w:val="auto"/>
      <w:sz w:val="28"/>
      <w:szCs w:val="20"/>
      <w:lang w:eastAsia="zh-CN" w:bidi="ar-SA"/>
    </w:rPr>
  </w:style>
  <w:style w:type="character" w:styleId="DefaultParagraphFont" w:default="1">
    <w:name w:val="Default Paragraph Font"/>
    <w:uiPriority w:val="1"/>
    <w:semiHidden/>
    <w:unhideWhenUsed/>
    <w:qFormat/>
    <w:rPr/>
  </w:style>
  <w:style w:type="character" w:styleId="Style8" w:customStyle="1">
    <w:name w:val="Сноска_"/>
    <w:basedOn w:val="DefaultParagraphFont"/>
    <w:qFormat/>
    <w:rsid w:val="00c91eb6"/>
    <w:rPr>
      <w:rFonts w:ascii="Times New Roman" w:hAnsi="Times New Roman" w:eastAsia="Times New Roman" w:cs="Times New Roman"/>
      <w:b w:val="false"/>
      <w:bCs w:val="false"/>
      <w:i/>
      <w:iCs/>
      <w:caps w:val="false"/>
      <w:smallCaps w:val="false"/>
      <w:strike w:val="false"/>
      <w:dstrike w:val="false"/>
      <w:u w:val="none"/>
    </w:rPr>
  </w:style>
  <w:style w:type="character" w:styleId="Style9" w:customStyle="1">
    <w:name w:val="Основной текст_"/>
    <w:basedOn w:val="DefaultParagraphFont"/>
    <w:link w:val="13"/>
    <w:qFormat/>
    <w:rsid w:val="00c91eb6"/>
    <w:rPr>
      <w:rFonts w:ascii="Times New Roman" w:hAnsi="Times New Roman" w:eastAsia="Times New Roman" w:cs="Times New Roman"/>
      <w:b w:val="false"/>
      <w:bCs w:val="false"/>
      <w:i w:val="false"/>
      <w:iCs w:val="false"/>
      <w:caps w:val="false"/>
      <w:smallCaps w:val="false"/>
      <w:strike w:val="false"/>
      <w:dstrike w:val="false"/>
      <w:u w:val="none"/>
    </w:rPr>
  </w:style>
  <w:style w:type="character" w:styleId="1" w:customStyle="1">
    <w:name w:val="Заголовок №1_"/>
    <w:basedOn w:val="DefaultParagraphFont"/>
    <w:link w:val="14"/>
    <w:qFormat/>
    <w:rsid w:val="00c91eb6"/>
    <w:rPr>
      <w:rFonts w:ascii="Times New Roman" w:hAnsi="Times New Roman" w:eastAsia="Times New Roman" w:cs="Times New Roman"/>
      <w:b/>
      <w:bCs/>
      <w:i w:val="false"/>
      <w:iCs w:val="false"/>
      <w:caps w:val="false"/>
      <w:smallCaps w:val="false"/>
      <w:strike w:val="false"/>
      <w:dstrike w:val="false"/>
      <w:u w:val="none"/>
    </w:rPr>
  </w:style>
  <w:style w:type="character" w:styleId="2" w:customStyle="1">
    <w:name w:val="Колонтитул (2)_"/>
    <w:basedOn w:val="DefaultParagraphFont"/>
    <w:link w:val="22"/>
    <w:qFormat/>
    <w:rsid w:val="00c91eb6"/>
    <w:rPr>
      <w:rFonts w:ascii="Times New Roman" w:hAnsi="Times New Roman" w:eastAsia="Times New Roman" w:cs="Times New Roman"/>
      <w:b w:val="false"/>
      <w:bCs w:val="false"/>
      <w:i w:val="false"/>
      <w:iCs w:val="false"/>
      <w:caps w:val="false"/>
      <w:smallCaps w:val="false"/>
      <w:strike w:val="false"/>
      <w:dstrike w:val="false"/>
      <w:sz w:val="20"/>
      <w:szCs w:val="20"/>
      <w:u w:val="none"/>
    </w:rPr>
  </w:style>
  <w:style w:type="character" w:styleId="Style10" w:customStyle="1">
    <w:name w:val="Другое_"/>
    <w:basedOn w:val="DefaultParagraphFont"/>
    <w:link w:val="Style19"/>
    <w:qFormat/>
    <w:rsid w:val="00c91eb6"/>
    <w:rPr>
      <w:rFonts w:ascii="Times New Roman" w:hAnsi="Times New Roman" w:eastAsia="Times New Roman" w:cs="Times New Roman"/>
      <w:b w:val="false"/>
      <w:bCs w:val="false"/>
      <w:i w:val="false"/>
      <w:iCs w:val="false"/>
      <w:caps w:val="false"/>
      <w:smallCaps w:val="false"/>
      <w:strike w:val="false"/>
      <w:dstrike w:val="false"/>
      <w:u w:val="none"/>
    </w:rPr>
  </w:style>
  <w:style w:type="character" w:styleId="Style11" w:customStyle="1">
    <w:name w:val="Основной текст с отступом Знак"/>
    <w:basedOn w:val="DefaultParagraphFont"/>
    <w:qFormat/>
    <w:rsid w:val="00e62fa9"/>
    <w:rPr>
      <w:rFonts w:ascii="Times New Roman" w:hAnsi="Times New Roman" w:eastAsia="Times New Roman" w:cs="Times New Roman"/>
      <w:sz w:val="20"/>
      <w:szCs w:val="20"/>
      <w:lang w:eastAsia="en-US" w:bidi="ar-SA"/>
    </w:rPr>
  </w:style>
  <w:style w:type="character" w:styleId="Style12" w:customStyle="1">
    <w:name w:val="Основной текст Знак"/>
    <w:uiPriority w:val="1"/>
    <w:qFormat/>
    <w:rsid w:val="00e62fa9"/>
    <w:rPr>
      <w:rFonts w:ascii="Kudrashov" w:hAnsi="Kudrashov"/>
      <w:color w:val="000000"/>
      <w:sz w:val="24"/>
      <w:lang w:val="ru-RU" w:eastAsia="en-US" w:bidi="ar-SA"/>
    </w:rPr>
  </w:style>
  <w:style w:type="character" w:styleId="11" w:customStyle="1">
    <w:name w:val="Заголовок 1 Знак"/>
    <w:basedOn w:val="DefaultParagraphFont"/>
    <w:qFormat/>
    <w:rsid w:val="007b7114"/>
    <w:rPr>
      <w:rFonts w:ascii="Times New Roman" w:hAnsi="Times New Roman" w:eastAsia="Times New Roman" w:cs="Times New Roman"/>
      <w:b/>
      <w:bCs/>
      <w:kern w:val="2"/>
      <w:sz w:val="48"/>
      <w:szCs w:val="48"/>
      <w:lang w:bidi="ar-SA"/>
    </w:rPr>
  </w:style>
  <w:style w:type="character" w:styleId="Style13" w:customStyle="1">
    <w:name w:val="Текст выноски Знак"/>
    <w:basedOn w:val="DefaultParagraphFont"/>
    <w:link w:val="BalloonText"/>
    <w:uiPriority w:val="99"/>
    <w:semiHidden/>
    <w:qFormat/>
    <w:rsid w:val="00253956"/>
    <w:rPr>
      <w:rFonts w:ascii="Segoe UI" w:hAnsi="Segoe UI" w:cs="Segoe UI"/>
      <w:color w:val="000000"/>
      <w:sz w:val="18"/>
      <w:szCs w:val="18"/>
    </w:rPr>
  </w:style>
  <w:style w:type="character" w:styleId="21" w:customStyle="1">
    <w:name w:val="Заголовок 2 Знак"/>
    <w:basedOn w:val="DefaultParagraphFont"/>
    <w:uiPriority w:val="9"/>
    <w:semiHidden/>
    <w:qFormat/>
    <w:rsid w:val="00eb0be8"/>
    <w:rPr>
      <w:rFonts w:ascii="Calibri Light" w:hAnsi="Calibri Light" w:eastAsia="" w:cs="" w:asciiTheme="majorHAnsi" w:cstheme="majorBidi" w:eastAsiaTheme="majorEastAsia" w:hAnsiTheme="majorHAnsi"/>
      <w:color w:themeColor="accent1" w:themeShade="bf" w:val="2E74B5"/>
      <w:sz w:val="26"/>
      <w:szCs w:val="26"/>
    </w:rPr>
  </w:style>
  <w:style w:type="character" w:styleId="Style14" w:customStyle="1">
    <w:name w:val="Без интервала Знак"/>
    <w:link w:val="NoSpacing"/>
    <w:uiPriority w:val="1"/>
    <w:qFormat/>
    <w:rsid w:val="009122f2"/>
    <w:rPr>
      <w:color w:val="000000"/>
    </w:rPr>
  </w:style>
  <w:style w:type="character" w:styleId="12" w:customStyle="1">
    <w:name w:val="Основной текст Знак1"/>
    <w:basedOn w:val="DefaultParagraphFont"/>
    <w:uiPriority w:val="99"/>
    <w:qFormat/>
    <w:rsid w:val="005a4760"/>
    <w:rPr>
      <w:color w:val="000000"/>
    </w:rPr>
  </w:style>
  <w:style w:type="character" w:styleId="Hyperlink">
    <w:name w:val="Hyperlink"/>
    <w:basedOn w:val="DefaultParagraphFont"/>
    <w:uiPriority w:val="99"/>
    <w:semiHidden/>
    <w:unhideWhenUsed/>
    <w:rsid w:val="00e57d46"/>
    <w:rPr>
      <w:color w:val="0000FF"/>
      <w:u w:val="single"/>
    </w:rPr>
  </w:style>
  <w:style w:type="character" w:styleId="FollowedHyperlink">
    <w:name w:val="FollowedHyperlink"/>
    <w:basedOn w:val="DefaultParagraphFont"/>
    <w:uiPriority w:val="99"/>
    <w:semiHidden/>
    <w:unhideWhenUsed/>
    <w:rsid w:val="00e57d46"/>
    <w:rPr>
      <w:color w:val="800080"/>
      <w:u w:val="single"/>
    </w:rPr>
  </w:style>
  <w:style w:type="character" w:styleId="t12nw7s2pdp" w:customStyle="1">
    <w:name w:val="t12nw7s2_pdp"/>
    <w:basedOn w:val="DefaultParagraphFont"/>
    <w:qFormat/>
    <w:rsid w:val="00817e2a"/>
    <w:rPr/>
  </w:style>
  <w:style w:type="character" w:styleId="wmi-callto" w:customStyle="1">
    <w:name w:val="wmi-callto"/>
    <w:basedOn w:val="DefaultParagraphFont"/>
    <w:qFormat/>
    <w:rsid w:val="0031334a"/>
    <w:rPr/>
  </w:style>
  <w:style w:type="character" w:styleId="Style15" w:customStyle="1">
    <w:name w:val="Абзац списка Знак"/>
    <w:link w:val="ListParagraph"/>
    <w:uiPriority w:val="34"/>
    <w:qFormat/>
    <w:rsid w:val="0021745e"/>
    <w:rPr>
      <w:color w:val="000000"/>
    </w:rPr>
  </w:style>
  <w:style w:type="character" w:styleId="4" w:customStyle="1">
    <w:name w:val="Заголовок 4 Знак"/>
    <w:basedOn w:val="DefaultParagraphFont"/>
    <w:uiPriority w:val="9"/>
    <w:semiHidden/>
    <w:qFormat/>
    <w:rsid w:val="009a346b"/>
    <w:rPr>
      <w:rFonts w:ascii="Calibri Light" w:hAnsi="Calibri Light" w:eastAsia="" w:cs="" w:asciiTheme="majorHAnsi" w:cstheme="majorBidi" w:eastAsiaTheme="majorEastAsia" w:hAnsiTheme="majorHAnsi"/>
      <w:i/>
      <w:iCs/>
      <w:color w:themeColor="accent1" w:themeShade="bf" w:val="2E74B5"/>
    </w:rPr>
  </w:style>
  <w:style w:type="character" w:styleId="3" w:customStyle="1">
    <w:name w:val="Заголовок 3 Знак"/>
    <w:basedOn w:val="DefaultParagraphFont"/>
    <w:qFormat/>
    <w:rsid w:val="002c58e7"/>
    <w:rPr>
      <w:rFonts w:ascii="Times New Roman" w:hAnsi="Times New Roman" w:eastAsia="Times New Roman" w:cs="Times New Roman"/>
      <w:b/>
      <w:sz w:val="28"/>
      <w:szCs w:val="20"/>
      <w:lang w:eastAsia="zh-CN" w:bidi="ar-SA"/>
    </w:rPr>
  </w:style>
  <w:style w:type="character" w:styleId="5" w:customStyle="1">
    <w:name w:val="Заголовок 5 Знак"/>
    <w:basedOn w:val="DefaultParagraphFont"/>
    <w:qFormat/>
    <w:rsid w:val="002c58e7"/>
    <w:rPr>
      <w:rFonts w:ascii="Times New Roman" w:hAnsi="Times New Roman" w:eastAsia="Times New Roman" w:cs="Times New Roman"/>
      <w:b/>
      <w:sz w:val="28"/>
      <w:szCs w:val="20"/>
      <w:lang w:eastAsia="zh-CN" w:bidi="ar-SA"/>
    </w:rPr>
  </w:style>
  <w:style w:type="character" w:styleId="6" w:customStyle="1">
    <w:name w:val="Заголовок 6 Знак"/>
    <w:basedOn w:val="DefaultParagraphFont"/>
    <w:qFormat/>
    <w:rsid w:val="002c58e7"/>
    <w:rPr>
      <w:rFonts w:ascii="Times New Roman" w:hAnsi="Times New Roman" w:eastAsia="Times New Roman" w:cs="Times New Roman"/>
      <w:bCs/>
      <w:sz w:val="28"/>
      <w:szCs w:val="20"/>
      <w:lang w:eastAsia="zh-CN" w:bidi="ar-SA"/>
    </w:rPr>
  </w:style>
  <w:style w:type="character" w:styleId="user">
    <w:name w:val="Символ сноски (user)"/>
    <w:qFormat/>
    <w:rPr/>
  </w:style>
  <w:style w:type="character" w:styleId="Strong">
    <w:name w:val="Strong"/>
    <w:qFormat/>
    <w:rPr>
      <w:b/>
      <w:bCs/>
    </w:rPr>
  </w:style>
  <w:style w:type="character" w:styleId="Style16">
    <w:name w:val="Символ нумерации"/>
    <w:qFormat/>
    <w:rPr/>
  </w:style>
  <w:style w:type="paragraph" w:styleId="Style17">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link w:val="12"/>
    <w:uiPriority w:val="99"/>
    <w:unhideWhenUsed/>
    <w:rsid w:val="005a4760"/>
    <w:pPr>
      <w:spacing w:before="0" w:after="12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paragraph" w:styleId="user1">
    <w:name w:val="Заголовок (user)"/>
    <w:basedOn w:val="Normal"/>
    <w:next w:val="BodyText"/>
    <w:qFormat/>
    <w:pPr>
      <w:keepNext w:val="true"/>
      <w:spacing w:before="240" w:after="120"/>
    </w:pPr>
    <w:rPr>
      <w:rFonts w:ascii="PT Astra Serif" w:hAnsi="PT Astra Serif" w:eastAsia="Tahoma" w:cs="Noto Sans Devanagari"/>
      <w:sz w:val="28"/>
      <w:szCs w:val="28"/>
    </w:rPr>
  </w:style>
  <w:style w:type="paragraph" w:styleId="user2">
    <w:name w:val="Указатель (user)"/>
    <w:basedOn w:val="Normal"/>
    <w:qFormat/>
    <w:pPr>
      <w:suppressLineNumbers/>
    </w:pPr>
    <w:rPr>
      <w:rFonts w:ascii="PT Astra Serif" w:hAnsi="PT Astra Serif" w:cs="Noto Sans Devanagari"/>
    </w:rPr>
  </w:style>
  <w:style w:type="paragraph" w:styleId="FootnoteText" w:customStyle="1">
    <w:name w:val="footnote text"/>
    <w:basedOn w:val="Normal"/>
    <w:link w:val="Style8"/>
    <w:qFormat/>
    <w:rsid w:val="00c91eb6"/>
    <w:pPr/>
    <w:rPr/>
  </w:style>
  <w:style w:type="paragraph" w:styleId="13" w:customStyle="1">
    <w:name w:val="Основной текст1"/>
    <w:basedOn w:val="Normal"/>
    <w:link w:val="Style9"/>
    <w:qFormat/>
    <w:rsid w:val="00c91eb6"/>
    <w:pPr>
      <w:shd w:val="clear" w:color="auto" w:fill="FFFFFF"/>
      <w:ind w:firstLine="400"/>
    </w:pPr>
    <w:rPr>
      <w:rFonts w:ascii="Times New Roman" w:hAnsi="Times New Roman" w:eastAsia="Times New Roman" w:cs="Times New Roman"/>
    </w:rPr>
  </w:style>
  <w:style w:type="paragraph" w:styleId="14" w:customStyle="1">
    <w:name w:val="Заголовок №1"/>
    <w:basedOn w:val="Normal"/>
    <w:link w:val="1"/>
    <w:qFormat/>
    <w:rsid w:val="00c91eb6"/>
    <w:pPr>
      <w:shd w:val="clear" w:color="auto" w:fill="FFFFFF"/>
      <w:spacing w:before="0" w:after="260"/>
      <w:jc w:val="center"/>
      <w:outlineLvl w:val="0"/>
    </w:pPr>
    <w:rPr>
      <w:rFonts w:ascii="Times New Roman" w:hAnsi="Times New Roman" w:eastAsia="Times New Roman" w:cs="Times New Roman"/>
      <w:b/>
      <w:bCs/>
    </w:rPr>
  </w:style>
  <w:style w:type="paragraph" w:styleId="22" w:customStyle="1">
    <w:name w:val="Колонтитул (2)"/>
    <w:basedOn w:val="Normal"/>
    <w:link w:val="2"/>
    <w:qFormat/>
    <w:rsid w:val="00c91eb6"/>
    <w:pPr>
      <w:shd w:val="clear" w:color="auto" w:fill="FFFFFF"/>
    </w:pPr>
    <w:rPr>
      <w:rFonts w:ascii="Times New Roman" w:hAnsi="Times New Roman" w:eastAsia="Times New Roman" w:cs="Times New Roman"/>
      <w:sz w:val="20"/>
      <w:szCs w:val="20"/>
    </w:rPr>
  </w:style>
  <w:style w:type="paragraph" w:styleId="Style19" w:customStyle="1">
    <w:name w:val="Другое"/>
    <w:basedOn w:val="Normal"/>
    <w:link w:val="Style10"/>
    <w:qFormat/>
    <w:rsid w:val="00c91eb6"/>
    <w:pPr>
      <w:shd w:val="clear" w:color="auto" w:fill="FFFFFF"/>
      <w:ind w:firstLine="400"/>
    </w:pPr>
    <w:rPr>
      <w:rFonts w:ascii="Times New Roman" w:hAnsi="Times New Roman" w:eastAsia="Times New Roman" w:cs="Times New Roman"/>
    </w:rPr>
  </w:style>
  <w:style w:type="paragraph" w:styleId="BodyTextIndent">
    <w:name w:val="Body Text Indent"/>
    <w:basedOn w:val="Normal"/>
    <w:link w:val="Style11"/>
    <w:rsid w:val="00e62fa9"/>
    <w:pPr>
      <w:widowControl/>
      <w:ind w:firstLine="567"/>
      <w:jc w:val="center"/>
    </w:pPr>
    <w:rPr>
      <w:rFonts w:ascii="Times New Roman" w:hAnsi="Times New Roman" w:eastAsia="Times New Roman" w:cs="Times New Roman"/>
      <w:color w:val="auto"/>
      <w:sz w:val="20"/>
      <w:szCs w:val="20"/>
      <w:lang w:eastAsia="en-US" w:bidi="ar-SA"/>
    </w:rPr>
  </w:style>
  <w:style w:type="paragraph" w:styleId="15" w:customStyle="1">
    <w:name w:val="Без интервала1"/>
    <w:qFormat/>
    <w:rsid w:val="00ba751a"/>
    <w:pPr>
      <w:widowControl/>
      <w:suppressAutoHyphens w:val="true"/>
      <w:bidi w:val="0"/>
      <w:spacing w:before="0" w:after="0"/>
      <w:contextualSpacing/>
      <w:jc w:val="left"/>
    </w:pPr>
    <w:rPr>
      <w:rFonts w:ascii="Calibri" w:hAnsi="Calibri" w:eastAsia="Times New Roman" w:cs="Times New Roman"/>
      <w:color w:val="auto"/>
      <w:kern w:val="0"/>
      <w:sz w:val="22"/>
      <w:szCs w:val="22"/>
      <w:lang w:val="ru-RU" w:eastAsia="ru-RU" w:bidi="ar-SA"/>
    </w:rPr>
  </w:style>
  <w:style w:type="paragraph" w:styleId="NoSpacing">
    <w:name w:val="No Spacing"/>
    <w:link w:val="Style14"/>
    <w:qFormat/>
    <w:rsid w:val="007b7114"/>
    <w:pPr>
      <w:widowControl w:val="false"/>
      <w:suppressAutoHyphens w:val="true"/>
      <w:bidi w:val="0"/>
      <w:spacing w:before="0" w:after="0"/>
      <w:jc w:val="left"/>
    </w:pPr>
    <w:rPr>
      <w:rFonts w:ascii="Courier New" w:hAnsi="Courier New" w:eastAsia="Courier New" w:cs="Courier New"/>
      <w:color w:val="000000"/>
      <w:kern w:val="0"/>
      <w:sz w:val="24"/>
      <w:szCs w:val="24"/>
      <w:lang w:val="ru-RU" w:eastAsia="ru-RU" w:bidi="ru-RU"/>
    </w:rPr>
  </w:style>
  <w:style w:type="paragraph" w:styleId="BalloonText">
    <w:name w:val="Balloon Text"/>
    <w:basedOn w:val="Normal"/>
    <w:link w:val="Style13"/>
    <w:uiPriority w:val="99"/>
    <w:semiHidden/>
    <w:unhideWhenUsed/>
    <w:qFormat/>
    <w:rsid w:val="00253956"/>
    <w:pPr/>
    <w:rPr>
      <w:rFonts w:ascii="Segoe UI" w:hAnsi="Segoe UI" w:cs="Segoe UI"/>
      <w:sz w:val="18"/>
      <w:szCs w:val="18"/>
    </w:rPr>
  </w:style>
  <w:style w:type="paragraph" w:styleId="16" w:customStyle="1">
    <w:name w:val="Знак Знак Знак Знак Знак Знак Знак1 Знак Знак"/>
    <w:basedOn w:val="Normal"/>
    <w:next w:val="Heading2"/>
    <w:autoRedefine/>
    <w:qFormat/>
    <w:rsid w:val="00eb0be8"/>
    <w:pPr>
      <w:widowControl/>
      <w:spacing w:lineRule="exact" w:line="240" w:before="0" w:after="160"/>
    </w:pPr>
    <w:rPr>
      <w:rFonts w:ascii="Times New Roman" w:hAnsi="Times New Roman" w:eastAsia="Times New Roman" w:cs="Times New Roman"/>
      <w:color w:val="auto"/>
      <w:szCs w:val="20"/>
      <w:lang w:val="en-US" w:eastAsia="en-US" w:bidi="ar-SA"/>
    </w:rPr>
  </w:style>
  <w:style w:type="paragraph" w:styleId="23" w:customStyle="1">
    <w:name w:val="Без интервала2"/>
    <w:qFormat/>
    <w:rsid w:val="009122f2"/>
    <w:pPr>
      <w:widowControl/>
      <w:suppressAutoHyphens w:val="true"/>
      <w:bidi w:val="0"/>
      <w:spacing w:before="0" w:after="0"/>
      <w:jc w:val="left"/>
    </w:pPr>
    <w:rPr>
      <w:rFonts w:ascii="Calibri" w:hAnsi="Calibri" w:eastAsia="Times New Roman" w:cs="Times New Roman"/>
      <w:color w:val="auto"/>
      <w:kern w:val="0"/>
      <w:sz w:val="22"/>
      <w:szCs w:val="22"/>
      <w:lang w:val="ru-RU" w:eastAsia="en-US" w:bidi="ar-SA"/>
    </w:rPr>
  </w:style>
  <w:style w:type="paragraph" w:styleId="msonormal" w:customStyle="1">
    <w:name w:val="msonormal"/>
    <w:basedOn w:val="Normal"/>
    <w:qFormat/>
    <w:rsid w:val="00e57d46"/>
    <w:pPr>
      <w:widowControl/>
      <w:spacing w:beforeAutospacing="1" w:afterAutospacing="1"/>
    </w:pPr>
    <w:rPr>
      <w:rFonts w:ascii="Times New Roman" w:hAnsi="Times New Roman" w:eastAsia="Times New Roman" w:cs="Times New Roman"/>
      <w:color w:val="auto"/>
      <w:lang w:bidi="ar-SA"/>
    </w:rPr>
  </w:style>
  <w:style w:type="paragraph" w:styleId="xl65" w:customStyle="1">
    <w:name w:val="xl65"/>
    <w:basedOn w:val="Normal"/>
    <w:qFormat/>
    <w:rsid w:val="00e57d46"/>
    <w:pPr>
      <w:widowControl/>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lang w:bidi="ar-SA"/>
    </w:rPr>
  </w:style>
  <w:style w:type="paragraph" w:styleId="xl66" w:customStyle="1">
    <w:name w:val="xl66"/>
    <w:basedOn w:val="Normal"/>
    <w:qFormat/>
    <w:rsid w:val="00e57d46"/>
    <w:pPr>
      <w:widowControl/>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lang w:bidi="ar-SA"/>
    </w:rPr>
  </w:style>
  <w:style w:type="paragraph" w:styleId="xl67" w:customStyle="1">
    <w:name w:val="xl67"/>
    <w:basedOn w:val="Normal"/>
    <w:qFormat/>
    <w:rsid w:val="00e57d46"/>
    <w:pPr>
      <w:widowControl/>
      <w:pBdr>
        <w:top w:val="single" w:sz="4" w:space="0" w:color="000000"/>
        <w:left w:val="single" w:sz="4" w:space="0" w:color="000000"/>
        <w:bottom w:val="single" w:sz="4" w:space="0" w:color="000000"/>
        <w:right w:val="single" w:sz="4" w:space="0" w:color="000000"/>
      </w:pBdr>
      <w:spacing w:beforeAutospacing="1" w:afterAutospacing="1"/>
    </w:pPr>
    <w:rPr>
      <w:rFonts w:ascii="Times New Roman" w:hAnsi="Times New Roman" w:eastAsia="Times New Roman" w:cs="Times New Roman"/>
      <w:color w:val="auto"/>
      <w:lang w:bidi="ar-SA"/>
    </w:rPr>
  </w:style>
  <w:style w:type="paragraph" w:styleId="xl68" w:customStyle="1">
    <w:name w:val="xl68"/>
    <w:basedOn w:val="Normal"/>
    <w:qFormat/>
    <w:rsid w:val="00e57d46"/>
    <w:pPr>
      <w:widowControl/>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New Roman" w:hAnsi="Times New Roman" w:eastAsia="Times New Roman" w:cs="Times New Roman"/>
      <w:color w:val="auto"/>
      <w:lang w:bidi="ar-SA"/>
    </w:rPr>
  </w:style>
  <w:style w:type="paragraph" w:styleId="xl69" w:customStyle="1">
    <w:name w:val="xl69"/>
    <w:basedOn w:val="Normal"/>
    <w:qFormat/>
    <w:rsid w:val="00e57d46"/>
    <w:pPr>
      <w:widowControl/>
      <w:pBdr>
        <w:top w:val="single" w:sz="4" w:space="0" w:color="000000"/>
        <w:left w:val="single" w:sz="4" w:space="0" w:color="000000"/>
        <w:bottom w:val="single" w:sz="4" w:space="0" w:color="000000"/>
        <w:right w:val="single" w:sz="4" w:space="0" w:color="000000"/>
      </w:pBdr>
      <w:spacing w:beforeAutospacing="1" w:afterAutospacing="1"/>
    </w:pPr>
    <w:rPr>
      <w:rFonts w:ascii="Times New Roman" w:hAnsi="Times New Roman" w:eastAsia="Times New Roman" w:cs="Times New Roman"/>
      <w:color w:val="auto"/>
      <w:lang w:bidi="ar-SA"/>
    </w:rPr>
  </w:style>
  <w:style w:type="paragraph" w:styleId="xl70" w:customStyle="1">
    <w:name w:val="xl70"/>
    <w:basedOn w:val="Normal"/>
    <w:qFormat/>
    <w:rsid w:val="00e57d46"/>
    <w:pPr>
      <w:widowControl/>
      <w:pBdr>
        <w:top w:val="single" w:sz="4" w:space="0" w:color="000000"/>
        <w:left w:val="single" w:sz="4" w:space="0" w:color="000000"/>
        <w:right w:val="single" w:sz="4" w:space="0" w:color="000000"/>
      </w:pBdr>
      <w:spacing w:beforeAutospacing="1" w:afterAutospacing="1"/>
      <w:jc w:val="center"/>
      <w:textAlignment w:val="top"/>
    </w:pPr>
    <w:rPr>
      <w:rFonts w:ascii="Times New Roman" w:hAnsi="Times New Roman" w:eastAsia="Times New Roman" w:cs="Times New Roman"/>
      <w:color w:val="auto"/>
      <w:lang w:bidi="ar-SA"/>
    </w:rPr>
  </w:style>
  <w:style w:type="paragraph" w:styleId="xl71" w:customStyle="1">
    <w:name w:val="xl71"/>
    <w:basedOn w:val="Normal"/>
    <w:qFormat/>
    <w:rsid w:val="00e57d46"/>
    <w:pPr>
      <w:widowControl/>
      <w:pBdr>
        <w:left w:val="single" w:sz="4" w:space="0" w:color="000000"/>
        <w:right w:val="single" w:sz="4" w:space="0" w:color="000000"/>
      </w:pBdr>
      <w:spacing w:beforeAutospacing="1" w:afterAutospacing="1"/>
      <w:jc w:val="center"/>
      <w:textAlignment w:val="top"/>
    </w:pPr>
    <w:rPr>
      <w:rFonts w:ascii="Times New Roman" w:hAnsi="Times New Roman" w:eastAsia="Times New Roman" w:cs="Times New Roman"/>
      <w:color w:val="auto"/>
      <w:lang w:bidi="ar-SA"/>
    </w:rPr>
  </w:style>
  <w:style w:type="paragraph" w:styleId="xl72" w:customStyle="1">
    <w:name w:val="xl72"/>
    <w:basedOn w:val="Normal"/>
    <w:qFormat/>
    <w:rsid w:val="00e57d46"/>
    <w:pPr>
      <w:widowControl/>
      <w:pBdr>
        <w:left w:val="single" w:sz="4" w:space="0" w:color="000000"/>
        <w:bottom w:val="single" w:sz="4" w:space="0" w:color="000000"/>
        <w:right w:val="single" w:sz="4" w:space="0" w:color="000000"/>
      </w:pBdr>
      <w:spacing w:beforeAutospacing="1" w:afterAutospacing="1"/>
      <w:jc w:val="center"/>
      <w:textAlignment w:val="top"/>
    </w:pPr>
    <w:rPr>
      <w:rFonts w:ascii="Times New Roman" w:hAnsi="Times New Roman" w:eastAsia="Times New Roman" w:cs="Times New Roman"/>
      <w:color w:val="auto"/>
      <w:lang w:bidi="ar-SA"/>
    </w:rPr>
  </w:style>
  <w:style w:type="paragraph" w:styleId="xl73" w:customStyle="1">
    <w:name w:val="xl73"/>
    <w:basedOn w:val="Normal"/>
    <w:qFormat/>
    <w:rsid w:val="00e57d46"/>
    <w:pPr>
      <w:widowControl/>
      <w:pBdr>
        <w:top w:val="single" w:sz="4" w:space="0" w:color="000000"/>
        <w:left w:val="single" w:sz="4" w:space="0" w:color="000000"/>
        <w:right w:val="single" w:sz="4" w:space="0" w:color="000000"/>
      </w:pBdr>
      <w:spacing w:beforeAutospacing="1" w:afterAutospacing="1"/>
      <w:jc w:val="center"/>
      <w:textAlignment w:val="top"/>
    </w:pPr>
    <w:rPr>
      <w:rFonts w:ascii="Times New Roman" w:hAnsi="Times New Roman" w:eastAsia="Times New Roman" w:cs="Times New Roman"/>
      <w:color w:val="auto"/>
      <w:lang w:bidi="ar-SA"/>
    </w:rPr>
  </w:style>
  <w:style w:type="paragraph" w:styleId="xl74" w:customStyle="1">
    <w:name w:val="xl74"/>
    <w:basedOn w:val="Normal"/>
    <w:qFormat/>
    <w:rsid w:val="00e57d46"/>
    <w:pPr>
      <w:widowControl/>
      <w:pBdr>
        <w:left w:val="single" w:sz="4" w:space="0" w:color="000000"/>
        <w:right w:val="single" w:sz="4" w:space="0" w:color="000000"/>
      </w:pBdr>
      <w:spacing w:beforeAutospacing="1" w:afterAutospacing="1"/>
      <w:jc w:val="center"/>
      <w:textAlignment w:val="top"/>
    </w:pPr>
    <w:rPr>
      <w:rFonts w:ascii="Times New Roman" w:hAnsi="Times New Roman" w:eastAsia="Times New Roman" w:cs="Times New Roman"/>
      <w:color w:val="auto"/>
      <w:lang w:bidi="ar-SA"/>
    </w:rPr>
  </w:style>
  <w:style w:type="paragraph" w:styleId="xl75" w:customStyle="1">
    <w:name w:val="xl75"/>
    <w:basedOn w:val="Normal"/>
    <w:qFormat/>
    <w:rsid w:val="00e57d46"/>
    <w:pPr>
      <w:widowControl/>
      <w:pBdr>
        <w:left w:val="single" w:sz="4" w:space="0" w:color="000000"/>
        <w:bottom w:val="single" w:sz="4" w:space="0" w:color="000000"/>
        <w:right w:val="single" w:sz="4" w:space="0" w:color="000000"/>
      </w:pBdr>
      <w:spacing w:beforeAutospacing="1" w:afterAutospacing="1"/>
      <w:jc w:val="center"/>
      <w:textAlignment w:val="top"/>
    </w:pPr>
    <w:rPr>
      <w:rFonts w:ascii="Times New Roman" w:hAnsi="Times New Roman" w:eastAsia="Times New Roman" w:cs="Times New Roman"/>
      <w:color w:val="auto"/>
      <w:lang w:bidi="ar-SA"/>
    </w:rPr>
  </w:style>
  <w:style w:type="paragraph" w:styleId="ListParagraph">
    <w:name w:val="List Paragraph"/>
    <w:basedOn w:val="Normal"/>
    <w:link w:val="Style15"/>
    <w:uiPriority w:val="34"/>
    <w:qFormat/>
    <w:rsid w:val="00c703f0"/>
    <w:pPr>
      <w:spacing w:before="0" w:after="0"/>
      <w:ind w:left="720"/>
      <w:contextualSpacing/>
    </w:pPr>
    <w:rPr/>
  </w:style>
  <w:style w:type="paragraph" w:styleId="NormalWeb">
    <w:name w:val="Normal (Web)"/>
    <w:basedOn w:val="Normal"/>
    <w:uiPriority w:val="99"/>
    <w:semiHidden/>
    <w:unhideWhenUsed/>
    <w:qFormat/>
    <w:rsid w:val="0031334a"/>
    <w:pPr>
      <w:widowControl/>
      <w:spacing w:beforeAutospacing="1" w:afterAutospacing="1"/>
    </w:pPr>
    <w:rPr>
      <w:rFonts w:ascii="Times New Roman" w:hAnsi="Times New Roman" w:eastAsia="Times New Roman" w:cs="Times New Roman"/>
      <w:color w:val="auto"/>
      <w:lang w:bidi="ar-SA"/>
    </w:rPr>
  </w:style>
  <w:style w:type="paragraph" w:styleId="Standard" w:customStyle="1">
    <w:name w:val="Standard"/>
    <w:qFormat/>
    <w:rsid w:val="0021745e"/>
    <w:pPr>
      <w:widowControl w:val="false"/>
      <w:suppressAutoHyphens w:val="true"/>
      <w:bidi w:val="0"/>
      <w:spacing w:before="0" w:after="0"/>
      <w:jc w:val="left"/>
    </w:pPr>
    <w:rPr>
      <w:rFonts w:ascii="Times New Roman" w:hAnsi="Times New Roman" w:eastAsia="Andale Sans UI" w:cs="Tahoma"/>
      <w:color w:val="auto"/>
      <w:kern w:val="0"/>
      <w:sz w:val="24"/>
      <w:szCs w:val="24"/>
      <w:lang w:val="de-DE" w:eastAsia="ja-JP" w:bidi="fa-IR"/>
    </w:rPr>
  </w:style>
  <w:style w:type="paragraph" w:styleId="user3">
    <w:name w:val="Содержимое врезки (user)"/>
    <w:basedOn w:val="Normal"/>
    <w:qFormat/>
    <w:pPr/>
    <w:rPr/>
  </w:style>
  <w:style w:type="paragraph" w:styleId="user4">
    <w:name w:val="Колонтитулы (user)"/>
    <w:basedOn w:val="Normal"/>
    <w:qFormat/>
    <w:pPr/>
    <w:rPr/>
  </w:style>
  <w:style w:type="paragraph" w:styleId="Style20">
    <w:name w:val="Колонтитулы"/>
    <w:basedOn w:val="Normal"/>
    <w:qFormat/>
    <w:pPr/>
    <w:rPr/>
  </w:style>
  <w:style w:type="paragraph" w:styleId="Footer">
    <w:name w:val="footer"/>
    <w:basedOn w:val="user4"/>
    <w:pPr/>
    <w:rPr/>
  </w:style>
  <w:style w:type="paragraph" w:styleId="Style21">
    <w:name w:val="Содержимое врезки"/>
    <w:basedOn w:val="Normal"/>
    <w:qFormat/>
    <w:pPr/>
    <w:rPr/>
  </w:style>
  <w:style w:type="paragraph" w:styleId="user5">
    <w:name w:val="Содержимое таблицы (user)"/>
    <w:basedOn w:val="Normal"/>
    <w:qFormat/>
    <w:pPr>
      <w:widowControl w:val="false"/>
      <w:suppressLineNumbers/>
    </w:pPr>
    <w:rPr/>
  </w:style>
  <w:style w:type="paragraph" w:styleId="user6">
    <w:name w:val="Заголовок таблицы (user)"/>
    <w:basedOn w:val="user5"/>
    <w:qFormat/>
    <w:pPr>
      <w:suppressLineNumbers/>
      <w:jc w:val="center"/>
    </w:pPr>
    <w:rPr>
      <w:b/>
      <w:bCs/>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suppressLineNumbers/>
      <w:jc w:val="center"/>
    </w:pPr>
    <w:rPr>
      <w:b/>
      <w:bCs/>
    </w:rPr>
  </w:style>
  <w:style w:type="paragraph" w:styleId="Normal1">
    <w:name w:val="Normal1"/>
    <w:qFormat/>
    <w:pPr>
      <w:widowControl/>
      <w:suppressAutoHyphens w:val="true"/>
      <w:bidi w:val="0"/>
      <w:spacing w:before="0" w:after="0"/>
      <w:jc w:val="left"/>
    </w:pPr>
    <w:rPr>
      <w:rFonts w:ascii="Arial" w:hAnsi="Arial" w:eastAsia="Times New Roman" w:cs="Arial"/>
      <w:color w:val="auto"/>
      <w:kern w:val="0"/>
      <w:sz w:val="18"/>
      <w:szCs w:val="20"/>
      <w:lang w:val="ru-RU" w:eastAsia="zh-CN" w:bidi="ar-SA"/>
    </w:rPr>
  </w:style>
  <w:style w:type="numbering" w:styleId="user7"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8">
    <w:name w:val="Table Grid"/>
    <w:basedOn w:val="a1"/>
    <w:uiPriority w:val="39"/>
    <w:rsid w:val="009f6d6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zakupkimsemo@yandex.ru"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image" Target="media/image1.png"/><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06653-3A0D-4DD0-BF4D-97A932696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2792</TotalTime>
  <Application>LibreOffice/26.2.3.2$Linux_X86_64 LibreOffice_project/620$Build-2</Application>
  <AppVersion>15.0000</AppVersion>
  <Pages>14</Pages>
  <Words>3744</Words>
  <Characters>26444</Characters>
  <CharactersWithSpaces>29927</CharactersWithSpaces>
  <Paragraphs>264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2023-05-18T12:48:00Z</dcterms:created>
  <dc:creator>Багирова Тамилла Карамовна</dc:creator>
  <dc:description/>
  <dc:language>ru-RU</dc:language>
  <cp:lastModifiedBy/>
  <cp:lastPrinted>2026-07-09T16:01:22Z</cp:lastPrinted>
  <dcterms:modified xsi:type="dcterms:W3CDTF">2026-10-15T16:02:12Z</dcterms:modified>
  <cp:revision>898</cp:revision>
  <dc:subject/>
  <dc:title/>
</cp:coreProperties>
</file>

<file path=docProps/custom.xml><?xml version="1.0" encoding="utf-8"?>
<Properties xmlns="http://schemas.openxmlformats.org/officeDocument/2006/custom-properties" xmlns:vt="http://schemas.openxmlformats.org/officeDocument/2006/docPropsVTypes"/>
</file>