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_rels/document.xml.rels" ContentType="application/vnd.openxmlformats-package.relationships+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6.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bookmarkStart w:id="0" w:name="_Hlk194048188"/>
      <w:r>
        <w:rPr>
          <w:b/>
          <w:bCs/>
        </w:rPr>
        <w:t>Контракт</w:t>
      </w:r>
      <w:bookmarkEnd w:id="0"/>
      <w:r>
        <w:rPr>
          <w:b/>
          <w:bCs/>
        </w:rPr>
        <w:t xml:space="preserve"> №______</w:t>
      </w:r>
    </w:p>
    <w:p>
      <w:pPr>
        <w:pStyle w:val="Normal"/>
        <w:jc w:val="center"/>
        <w:rPr>
          <w:b/>
        </w:rPr>
      </w:pPr>
      <w:r>
        <w:rPr>
          <w:b/>
        </w:rPr>
        <w:t>на поставку товаров для государственных нужд</w:t>
      </w:r>
    </w:p>
    <w:p>
      <w:pPr>
        <w:pStyle w:val="Normal"/>
        <w:jc w:val="center"/>
        <w:rPr>
          <w:b/>
          <w:highlight w:val="yellow"/>
        </w:rPr>
      </w:pPr>
      <w:r>
        <w:rPr>
          <w:b/>
          <w:highlight w:val="yellow"/>
        </w:rPr>
      </w:r>
    </w:p>
    <w:p>
      <w:pPr>
        <w:pStyle w:val="Normal"/>
        <w:widowControl w:val="false"/>
        <w:suppressAutoHyphens w:val="true"/>
        <w:jc w:val="both"/>
        <w:rPr>
          <w:lang w:eastAsia="zh-CN"/>
        </w:rPr>
      </w:pPr>
      <w:r>
        <w:rPr/>
        <w:t>Кемеровская область-Кузбасс, г. Кемерово</w:t>
      </w:r>
      <w:r>
        <w:rPr>
          <w:b/>
          <w:bCs/>
          <w:color w:val="000000"/>
        </w:rPr>
        <w:t xml:space="preserve">                                                                       </w:t>
      </w:r>
      <w:bookmarkStart w:id="1" w:name="_Hlk159928058"/>
      <w:r>
        <w:rPr>
          <w:b/>
          <w:bCs/>
          <w:color w:val="000000"/>
        </w:rPr>
        <w:t xml:space="preserve">               </w:t>
      </w:r>
      <w:r>
        <w:rPr/>
        <w:t>«      » _____________ 2026г.</w:t>
      </w:r>
      <w:bookmarkEnd w:id="1"/>
    </w:p>
    <w:p>
      <w:pPr>
        <w:pStyle w:val="Normal"/>
        <w:spacing w:before="0" w:after="60"/>
        <w:jc w:val="both"/>
        <w:rPr/>
      </w:pPr>
      <w:r>
        <w:rPr/>
      </w:r>
    </w:p>
    <w:p>
      <w:pPr>
        <w:pStyle w:val="Normal"/>
        <w:jc w:val="both"/>
        <w:rPr/>
      </w:pPr>
      <w:bookmarkStart w:id="2" w:name="_Hlk177565890"/>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bookmarkEnd w:id="2"/>
      <w:r>
        <w:rPr>
          <w:b/>
          <w:bCs/>
        </w:rPr>
        <w:t>,</w:t>
      </w:r>
      <w:r>
        <w:rPr/>
        <w:t xml:space="preserve"> в лице начальника отдела материально-технического снабжения Кузнецовой Александры Евгеньевны, действующей на основании доверенности 08.06.2026, именуемое в дальнейшем «Заказчик», с одной стороны, и  ____________________,  в лице _____________, действующего на основании ________, именуемый в дальнейшем «Поставщик», с другой стороны, в соответствии с п. 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pPr>
        <w:pStyle w:val="Normal"/>
        <w:jc w:val="both"/>
        <w:rPr/>
      </w:pPr>
      <w:r>
        <w:rPr/>
      </w:r>
    </w:p>
    <w:p>
      <w:pPr>
        <w:pStyle w:val="Normal"/>
        <w:spacing w:before="0" w:after="60"/>
        <w:jc w:val="center"/>
        <w:rPr>
          <w:b/>
          <w:bCs/>
        </w:rPr>
      </w:pPr>
      <w:r>
        <w:rPr>
          <w:b/>
        </w:rPr>
        <w:t xml:space="preserve">Контракт 1. Предмет </w:t>
      </w:r>
      <w:r>
        <w:rPr>
          <w:b/>
          <w:bCs/>
        </w:rPr>
        <w:t>Контракта</w:t>
      </w:r>
    </w:p>
    <w:p>
      <w:pPr>
        <w:pStyle w:val="Normal"/>
        <w:numPr>
          <w:ilvl w:val="0"/>
          <w:numId w:val="0"/>
        </w:numPr>
        <w:ind w:hanging="0" w:left="0"/>
        <w:jc w:val="both"/>
        <w:outlineLvl w:val="0"/>
        <w:rPr>
          <w:b/>
          <w:bCs/>
        </w:rPr>
      </w:pPr>
      <w:r>
        <w:rPr/>
        <w:t xml:space="preserve">1.1. Поставщик по настоящему </w:t>
      </w:r>
      <w:r>
        <w:rPr>
          <w:bCs/>
        </w:rPr>
        <w:t>Контракту</w:t>
      </w:r>
      <w:r>
        <w:rPr/>
        <w:t xml:space="preserve"> обязуется поставить товар</w:t>
      </w:r>
      <w:r>
        <w:rPr>
          <w:rFonts w:eastAsia="Times New Roman" w:cs="Times New Roman"/>
          <w:color w:val="auto"/>
          <w:kern w:val="0"/>
          <w:sz w:val="20"/>
          <w:szCs w:val="20"/>
          <w:lang w:val="ru-RU" w:eastAsia="ru-RU" w:bidi="ar-SA"/>
        </w:rPr>
        <w:t xml:space="preserve">: </w:t>
      </w:r>
      <w:r>
        <w:rPr>
          <w:rFonts w:eastAsia="Times New Roman" w:cs="Times New Roman"/>
          <w:color w:val="auto"/>
          <w:kern w:val="0"/>
          <w:sz w:val="20"/>
          <w:szCs w:val="20"/>
          <w:lang w:val="ru-RU" w:eastAsia="ru-RU" w:bidi="ar-SA"/>
        </w:rPr>
        <w:t>э</w:t>
      </w:r>
      <w:r>
        <w:rPr>
          <w:rFonts w:eastAsia="Times New Roman" w:cs="Times New Roman" w:ascii="Times New Roman" w:hAnsi="Times New Roman"/>
          <w:b/>
          <w:bCs/>
          <w:color w:val="auto"/>
          <w:kern w:val="0"/>
          <w:sz w:val="20"/>
          <w:szCs w:val="20"/>
          <w:shd w:fill="auto" w:val="clear"/>
          <w:lang w:val="ru-RU" w:eastAsia="ru-RU" w:bidi="ar-SA"/>
        </w:rPr>
        <w:t>лектрокардиостимулятор имплантируемый двухкамерный Kora 250 DR</w:t>
      </w:r>
      <w:r>
        <w:rPr>
          <w:rFonts w:eastAsia="Times New Roman" w:cs="Times New Roman"/>
          <w:color w:val="auto"/>
          <w:kern w:val="0"/>
          <w:sz w:val="20"/>
          <w:szCs w:val="20"/>
          <w:lang w:val="ru-RU" w:eastAsia="ru-RU" w:bidi="ar-SA"/>
        </w:rPr>
        <w:t xml:space="preserve"> </w:t>
      </w:r>
      <w:r>
        <w:rPr/>
        <w:t xml:space="preserve">и передать его Заказчику, а Заказчик по-настоящему </w:t>
      </w:r>
      <w:r>
        <w:rPr>
          <w:bCs/>
        </w:rPr>
        <w:t>Контракт у</w:t>
      </w:r>
      <w:r>
        <w:rPr/>
        <w:t xml:space="preserve"> обязуется принять и оплатить поставленный Поставщиком Товар, в соответствии с условиями, установленными настоящим Контрактом. Наименование и количество Товара устанавливается в спецификации (Приложение №1 к настоящему </w:t>
      </w:r>
      <w:r>
        <w:rPr>
          <w:bCs/>
        </w:rPr>
        <w:t>Контракту</w:t>
      </w:r>
      <w:r>
        <w:rPr/>
        <w:t>), которая является его неотъемлемой частью.</w:t>
      </w:r>
    </w:p>
    <w:p>
      <w:pPr>
        <w:pStyle w:val="Normal"/>
        <w:jc w:val="both"/>
        <w:rPr>
          <w:color w:val="000000"/>
        </w:rPr>
      </w:pPr>
      <w:r>
        <w:rPr>
          <w:color w:val="000000"/>
        </w:rPr>
        <w:t xml:space="preserve">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 </w:t>
      </w:r>
    </w:p>
    <w:p>
      <w:pPr>
        <w:pStyle w:val="BodyTextIndent"/>
        <w:jc w:val="center"/>
        <w:rPr>
          <w:b/>
          <w:lang w:val="ru-RU"/>
        </w:rPr>
      </w:pPr>
      <w:r>
        <w:rPr>
          <w:b/>
          <w:lang w:val="ru-RU"/>
        </w:rPr>
      </w:r>
    </w:p>
    <w:p>
      <w:pPr>
        <w:pStyle w:val="BodyTextIndent"/>
        <w:ind w:hanging="0"/>
        <w:jc w:val="center"/>
        <w:rPr>
          <w:b/>
          <w:lang w:val="ru-RU"/>
        </w:rPr>
      </w:pPr>
      <w:r>
        <w:rPr>
          <w:b/>
          <w:lang w:val="ru-RU"/>
        </w:rPr>
        <w:t>2. Цена Контракта и порядок расчетов</w:t>
      </w:r>
    </w:p>
    <w:p>
      <w:pPr>
        <w:pStyle w:val="CommentText"/>
        <w:rPr/>
      </w:pPr>
      <w:r>
        <w:rPr/>
        <w:t xml:space="preserve">2.1. Цена Контракта составляет </w:t>
      </w:r>
      <w:r>
        <w:rPr>
          <w:b/>
          <w:bCs/>
        </w:rPr>
        <w:t>________</w:t>
      </w:r>
      <w:r>
        <w:rPr/>
        <w:t xml:space="preserve"> рублей (__________ руб. ___ копеек).  НДС _________ руб. </w:t>
      </w:r>
      <w:r>
        <w:rPr>
          <w:bCs/>
        </w:rPr>
        <w:t xml:space="preserve"> </w:t>
      </w:r>
      <w:r>
        <w:rPr/>
        <w:t xml:space="preserve">Цена Контракта включает в себя стоимость Товара, а также расходы на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 </w:t>
      </w:r>
    </w:p>
    <w:p>
      <w:pPr>
        <w:pStyle w:val="CommentText"/>
        <w:rPr/>
      </w:pPr>
      <w:r>
        <w:rPr/>
        <w:t>2.2. В случае изменения законодательства Российской Федерации в отношении условий налогообложения Поставщика цена Контракта. указанная в п. 2.1 не подлежит изменению и включает в себя НДС. Поставщик не вправе предъявлять к оплате суммы сверх установленной в п. 2.1 Контракта.</w:t>
      </w:r>
    </w:p>
    <w:p>
      <w:pPr>
        <w:pStyle w:val="Normal"/>
        <w:widowControl w:val="false"/>
        <w:jc w:val="both"/>
        <w:rPr/>
      </w:pPr>
      <w:r>
        <w:rPr/>
        <w:t>2.3. Цена Контракта является твердой и определяется на весь срок исполнения Контракта.  В случае изменения законодательства Российской Федерации в отношении условий налогообложения Поставщика цена Контракта не подлежит изменяю и включает в себя НДС. Поставщик не вправе предъявлять к оплате сумма сверх установленной в п. 2.1 Контракта.</w:t>
      </w:r>
    </w:p>
    <w:p>
      <w:pPr>
        <w:pStyle w:val="BodyTextIndent"/>
        <w:tabs>
          <w:tab w:val="clear" w:pos="708"/>
          <w:tab w:val="left" w:pos="540" w:leader="none"/>
        </w:tabs>
        <w:ind w:hanging="0"/>
        <w:rPr>
          <w:lang w:val="ru-RU"/>
        </w:rPr>
      </w:pPr>
      <w:r>
        <w:rPr>
          <w:lang w:val="ru-RU"/>
        </w:rPr>
        <w:t xml:space="preserve">2.4. </w:t>
      </w:r>
      <w:r>
        <w:rPr>
          <w:rFonts w:eastAsia="Times New Roman"/>
          <w:color w:themeColor="dark1" w:val="000000"/>
          <w:lang w:val="ru-RU"/>
        </w:rPr>
        <w:t>Расчет по настоящему Контракту производится Заказчиком в течение 10 рабочих дней с момента приемки товара по качеству на основании утвержденного Заказчиком  Акта приемки (ф. 0510452), счет-фактуры (УПД) или товарной накладной</w:t>
      </w:r>
      <w:r>
        <w:rPr>
          <w:rFonts w:eastAsia="Times New Roman"/>
          <w:color w:themeColor="dark1" w:val="000000"/>
          <w:sz w:val="24"/>
          <w:lang w:val="ru-RU"/>
        </w:rPr>
        <w:t xml:space="preserve">. </w:t>
      </w:r>
      <w:r>
        <w:rPr>
          <w:rFonts w:eastAsia="Times New Roman"/>
          <w:color w:themeColor="dark1" w:val="000000"/>
          <w:sz w:val="20"/>
          <w:szCs w:val="20"/>
          <w:lang w:val="ru-RU"/>
        </w:rPr>
        <w:t>За товар поступивший в декабре месяце расчет производится не позднее 26 числа.</w:t>
      </w:r>
    </w:p>
    <w:p>
      <w:pPr>
        <w:pStyle w:val="BodyTextIndent"/>
        <w:tabs>
          <w:tab w:val="clear" w:pos="708"/>
          <w:tab w:val="left" w:pos="540" w:leader="none"/>
        </w:tabs>
        <w:ind w:hanging="0"/>
        <w:rPr>
          <w:lang w:val="ru-RU"/>
        </w:rPr>
      </w:pPr>
      <w:r>
        <w:rPr>
          <w:lang w:val="ru-RU"/>
        </w:rPr>
        <w:t xml:space="preserve">2.5. </w:t>
      </w:r>
      <w:bookmarkStart w:id="3" w:name="_Hlk178155259"/>
      <w:r>
        <w:rPr>
          <w:lang w:val="ru-RU"/>
        </w:rPr>
        <w:t>Оплата по Контракту осуществляется путем безналичного расчета. Датой оплаты считается дата списания денежных средств со счета Заказчика.</w:t>
      </w:r>
    </w:p>
    <w:p>
      <w:pPr>
        <w:pStyle w:val="BodyTextIndent"/>
        <w:tabs>
          <w:tab w:val="clear" w:pos="708"/>
          <w:tab w:val="left" w:pos="540" w:leader="none"/>
        </w:tabs>
        <w:ind w:hanging="0"/>
        <w:rPr>
          <w:lang w:val="ru-RU"/>
        </w:rPr>
      </w:pPr>
      <w:r>
        <w:rPr>
          <w:lang w:val="ru-RU"/>
        </w:rPr>
        <w:t xml:space="preserve"> </w:t>
      </w:r>
      <w:r>
        <w:rPr>
          <w:lang w:val="ru-RU"/>
        </w:rPr>
        <w:t>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End w:id="3"/>
    </w:p>
    <w:p>
      <w:pPr>
        <w:pStyle w:val="Normal"/>
        <w:jc w:val="both"/>
        <w:rPr>
          <w:rFonts w:eastAsia="Calibri"/>
        </w:rPr>
      </w:pPr>
      <w:r>
        <w:rPr/>
        <w:t>2.6. Источник финансирования:</w:t>
      </w:r>
      <w:bookmarkStart w:id="4" w:name="_Hlk174882174"/>
      <w:r>
        <w:rPr/>
        <w:t xml:space="preserve"> </w:t>
      </w:r>
      <w:bookmarkEnd w:id="4"/>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Контракту 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Контролировать ход поставки Товара, соблюдение срока поставки, проверять соответствие Товара условиям Контракта, Спецификации (Приложение № 1 к Контракту).</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 xml:space="preserve">3.1.6. Отказаться от приемки Товара, не соответствующего условиям Контракта,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3.1.8.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Заказчик по Контракту обязан:</w:t>
      </w:r>
    </w:p>
    <w:p>
      <w:pPr>
        <w:pStyle w:val="BodyTextIndent"/>
        <w:tabs>
          <w:tab w:val="clear" w:pos="708"/>
          <w:tab w:val="left" w:pos="0" w:leader="none"/>
        </w:tabs>
        <w:ind w:hanging="0"/>
        <w:rPr>
          <w:lang w:val="ru-RU"/>
        </w:rPr>
      </w:pPr>
      <w:r>
        <w:rPr>
          <w:lang w:val="ru-RU"/>
        </w:rPr>
        <w:t>3.2.1.</w:t>
      </w:r>
      <w:r>
        <w:rPr/>
        <w:t> </w:t>
      </w:r>
      <w:r>
        <w:rPr>
          <w:lang w:val="ru-RU"/>
        </w:rPr>
        <w:t>Произвести оплату в соответствии с условиями Контракта.</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bookmarkStart w:id="5" w:name="_Hlk178155480"/>
      <w:r>
        <w:rPr>
          <w:lang w:val="ru-RU"/>
        </w:rPr>
        <w:t>3.2.3. При отсутствии замечаний, оформить, подписать и передать Поставщику экземпляр Акта приемки по форме ОКУД 0510452 (Приказ Минфина от 15.04.2021 г. №61н) (далее -ф. 0510452) в порядке и сроки, предусмотренные Контрактом.  3.2.4 Требовать уплаты неустойки (штрафа, пени) в соответствии с разделом 8 Контракта.</w:t>
      </w:r>
      <w:bookmarkEnd w:id="5"/>
    </w:p>
    <w:p>
      <w:pPr>
        <w:pStyle w:val="BodyTextIndent"/>
        <w:tabs>
          <w:tab w:val="clear" w:pos="708"/>
          <w:tab w:val="left" w:pos="0" w:leader="none"/>
        </w:tabs>
        <w:ind w:hanging="0"/>
        <w:rPr>
          <w:b/>
          <w:lang w:val="ru-RU"/>
        </w:rPr>
      </w:pPr>
      <w:r>
        <w:rPr>
          <w:b/>
          <w:lang w:val="ru-RU"/>
        </w:rPr>
        <w:t>3.3.</w:t>
      </w:r>
      <w:r>
        <w:rPr>
          <w:b/>
        </w:rPr>
        <w:t> </w:t>
      </w:r>
      <w:r>
        <w:rPr>
          <w:b/>
          <w:lang w:val="ru-RU"/>
        </w:rPr>
        <w:t>Поставщик по Контракту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Поставщик по Контракту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3.4.2. Представить Заказчику, в установленный Контрактом срок, надлежаще оформленные документы, предусмотренные Контрактом.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3.4.3. Устранить за свой счет все выявленные недостатки, в том числе скрытые, поставленного Товара в сроки, предусмотренные Контрактом (п.5.5).</w:t>
      </w:r>
    </w:p>
    <w:p>
      <w:pPr>
        <w:pStyle w:val="BodyTextIndent"/>
        <w:tabs>
          <w:tab w:val="clear" w:pos="708"/>
          <w:tab w:val="left" w:pos="0" w:leader="none"/>
        </w:tabs>
        <w:ind w:hanging="0"/>
        <w:rPr>
          <w:lang w:val="ru-RU"/>
        </w:rPr>
      </w:pPr>
      <w:r>
        <w:rPr>
          <w:lang w:val="ru-RU"/>
        </w:rPr>
        <w:t>3.4.4 После оплаты Заказчиком всего поставленного Товара по Контракту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r>
    </w:p>
    <w:p>
      <w:pPr>
        <w:pStyle w:val="Normal"/>
        <w:shd w:val="clear" w:color="auto" w:fill="FFFFFF"/>
        <w:tabs>
          <w:tab w:val="clear" w:pos="708"/>
          <w:tab w:val="left" w:pos="0" w:leader="none"/>
          <w:tab w:val="left" w:pos="900" w:leader="none"/>
        </w:tabs>
        <w:jc w:val="center"/>
        <w:rPr>
          <w:b/>
        </w:rPr>
      </w:pPr>
      <w:r>
        <w:rPr>
          <w:b/>
        </w:rPr>
        <w:t>4. Сроки и условия поставки Товара</w:t>
      </w:r>
    </w:p>
    <w:p>
      <w:pPr>
        <w:pStyle w:val="Normal"/>
        <w:shd w:val="clear" w:color="auto" w:fill="FFFFFF"/>
        <w:tabs>
          <w:tab w:val="clear" w:pos="708"/>
          <w:tab w:val="left" w:pos="0" w:leader="none"/>
          <w:tab w:val="left" w:pos="900" w:leader="none"/>
        </w:tabs>
        <w:jc w:val="both"/>
        <w:rPr/>
      </w:pPr>
      <w:r>
        <w:rPr/>
        <w:t>4.1. Поставка товара осуществляется в период с даты, следующей за датой заключения контракта</w:t>
      </w:r>
      <w:r>
        <w:rPr>
          <w:shd w:fill="auto" w:val="clear"/>
        </w:rPr>
        <w:t xml:space="preserve"> в</w:t>
      </w:r>
      <w:r>
        <w:rPr>
          <w:shd w:fill="auto" w:val="clear"/>
        </w:rPr>
        <w:t xml:space="preserve"> </w:t>
      </w:r>
      <w:r>
        <w:rPr>
          <w:shd w:fill="auto" w:val="clear"/>
        </w:rPr>
        <w:t>течение 1</w:t>
      </w:r>
      <w:r>
        <w:rPr>
          <w:shd w:fill="auto" w:val="clear"/>
        </w:rPr>
        <w:t>0</w:t>
      </w:r>
      <w:r>
        <w:rPr>
          <w:shd w:fill="auto" w:val="clear"/>
        </w:rPr>
        <w:t xml:space="preserve"> рабочих дней ,единовременно.  Поставщик обязан уведомить Заказчика  о дате  поставки товара не менее чем за 3 (т</w:t>
      </w:r>
      <w:r>
        <w:rPr>
          <w:shd w:fill="auto" w:val="clear"/>
        </w:rPr>
        <w:t xml:space="preserve">ри) рабочих дня до предполагаемой даты поставки.  </w:t>
      </w:r>
    </w:p>
    <w:p>
      <w:pPr>
        <w:pStyle w:val="Normal"/>
        <w:shd w:val="clear" w:color="auto" w:fill="FFFFFF"/>
        <w:tabs>
          <w:tab w:val="clear" w:pos="708"/>
          <w:tab w:val="left" w:pos="0" w:leader="none"/>
          <w:tab w:val="left" w:pos="900" w:leader="none"/>
        </w:tabs>
        <w:jc w:val="both"/>
        <w:rPr/>
      </w:pPr>
      <w:r>
        <w:rPr/>
        <w:t>4.2. Поставка Товара осуществляется за счет Поставщика на франко-склад Заказчика по адресу: 650002, г. Кемерово, бульвар имени академика Л.С. Барбараша, стр. 6</w:t>
      </w:r>
      <w:r>
        <w:rPr>
          <w:bCs/>
        </w:rPr>
        <w:t xml:space="preserve"> в рабочие дни с 8-00 до 15-00.</w:t>
      </w:r>
    </w:p>
    <w:p>
      <w:pPr>
        <w:pStyle w:val="Normal"/>
        <w:shd w:val="clear" w:color="auto" w:fill="FFFFFF"/>
        <w:tabs>
          <w:tab w:val="clear" w:pos="708"/>
          <w:tab w:val="left" w:pos="0" w:leader="none"/>
          <w:tab w:val="left" w:pos="900" w:leader="none"/>
        </w:tabs>
        <w:jc w:val="both"/>
        <w:rPr>
          <w:color w:themeColor="dark1" w:val="000000"/>
        </w:rPr>
      </w:pPr>
      <w:r>
        <w:rPr/>
        <w:t xml:space="preserve">4.3. </w:t>
      </w:r>
      <w:r>
        <w:rPr>
          <w:color w:themeColor="dark1" w:val="000000"/>
        </w:rPr>
        <w:t>Датой поставки Товара считается дата подписания Заказчиком счет-фактуры (УПД) или товарной накладной.</w:t>
      </w:r>
    </w:p>
    <w:p>
      <w:pPr>
        <w:pStyle w:val="Normal"/>
        <w:jc w:val="both"/>
        <w:rPr>
          <w:color w:themeColor="dark1" w:val="000000"/>
        </w:rPr>
      </w:pPr>
      <w:r>
        <w:rPr>
          <w:color w:themeColor="dark1" w:val="000000"/>
        </w:rPr>
        <w:t>4.4. Вместе с Товаром Поставщик передает Заказчику оригиналы следующих документов:</w:t>
      </w:r>
    </w:p>
    <w:p>
      <w:pPr>
        <w:pStyle w:val="Normal"/>
        <w:shd w:val="clear" w:color="auto" w:fill="FFFFFF"/>
        <w:tabs>
          <w:tab w:val="clear" w:pos="708"/>
          <w:tab w:val="left" w:pos="0" w:leader="none"/>
          <w:tab w:val="left" w:pos="900" w:leader="none"/>
        </w:tabs>
        <w:jc w:val="both"/>
        <w:rPr/>
      </w:pPr>
      <w:r>
        <w:rPr>
          <w:color w:themeColor="dark1" w:val="000000"/>
        </w:rPr>
        <w:t> </w:t>
      </w:r>
      <w:r>
        <w:rPr>
          <w:color w:themeColor="dark1" w:val="000000"/>
        </w:rPr>
        <w:t>- Счет-фактура (УПД) – 2 экз. или Товарную накладную – 2 экз. (по 1 экз. Заказчику и Поставщику).</w:t>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BodyTextIndent"/>
        <w:ind w:hanging="0"/>
        <w:rPr>
          <w:rFonts w:eastAsia="Times New Roman"/>
          <w:lang w:val="ru-RU"/>
        </w:rPr>
      </w:pPr>
      <w:r>
        <w:rPr>
          <w:rFonts w:eastAsia="Times New Roman"/>
          <w:lang w:val="ru-RU"/>
        </w:rPr>
        <w:t>5.1.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BodyTextIndent"/>
        <w:ind w:hanging="0"/>
        <w:rPr>
          <w:rFonts w:eastAsia="Times New Roman"/>
          <w:lang w:val="ru-RU"/>
        </w:rPr>
      </w:pPr>
      <w:r>
        <w:rPr>
          <w:rFonts w:eastAsia="Times New Roman"/>
          <w:lang w:val="ru-RU"/>
        </w:rPr>
        <w:t xml:space="preserve">5.2. В течение 3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по приемке в месте поставки Товара, указанном в п. 4.2 настоящего Контракта. </w:t>
      </w:r>
    </w:p>
    <w:p>
      <w:pPr>
        <w:pStyle w:val="BodyTextIndent"/>
        <w:ind w:hanging="0"/>
        <w:rPr>
          <w:rFonts w:eastAsia="Times New Roman"/>
          <w:lang w:val="ru-RU"/>
        </w:rPr>
      </w:pPr>
      <w:r>
        <w:rPr>
          <w:rFonts w:eastAsia="Times New Roman"/>
          <w:lang w:val="ru-RU"/>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BodyTextIndent"/>
        <w:ind w:hanging="0"/>
        <w:rPr>
          <w:rFonts w:eastAsia="Times New Roman"/>
          <w:lang w:val="ru-RU"/>
        </w:rPr>
      </w:pPr>
      <w:r>
        <w:rPr>
          <w:rFonts w:eastAsia="Times New Roman"/>
          <w:lang w:val="ru-RU"/>
        </w:rPr>
        <w:t xml:space="preserve">5.3. По результатам приемки Комиссия по приемке, при отсутствии замечаний к Товару и расхождений, составляет и подписывает Акт приемки ф.0510452.  </w:t>
      </w:r>
    </w:p>
    <w:p>
      <w:pPr>
        <w:pStyle w:val="BodyTextIndent"/>
        <w:ind w:hanging="0"/>
        <w:rPr>
          <w:rFonts w:eastAsia="Times New Roman"/>
          <w:lang w:val="ru-RU"/>
        </w:rPr>
      </w:pPr>
      <w:r>
        <w:rPr>
          <w:rFonts w:eastAsia="Times New Roman"/>
          <w:lang w:val="ru-RU"/>
        </w:rPr>
        <w:t xml:space="preserve">5.3.1.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BodyTextIndent"/>
        <w:ind w:hanging="0"/>
        <w:rPr>
          <w:rFonts w:eastAsia="Times New Roman"/>
          <w:lang w:val="ru-RU"/>
        </w:rPr>
      </w:pPr>
      <w:r>
        <w:rPr>
          <w:rFonts w:eastAsia="Times New Roman"/>
          <w:lang w:val="ru-RU"/>
        </w:rPr>
        <w:t xml:space="preserve">5.3.2. 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по адресу электронной почты, указанной в разделе 14 настоящего контракта, а при его отсутствии почтовым отправлением. </w:t>
      </w:r>
    </w:p>
    <w:p>
      <w:pPr>
        <w:pStyle w:val="BodyTextIndent"/>
        <w:ind w:hanging="0"/>
        <w:rPr>
          <w:rFonts w:eastAsia="Times New Roman"/>
          <w:lang w:val="ru-RU"/>
        </w:rPr>
      </w:pPr>
      <w:r>
        <w:rPr>
          <w:rFonts w:eastAsia="Times New Roman"/>
          <w:lang w:val="ru-RU"/>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BodyTextIndent"/>
        <w:ind w:hanging="0"/>
        <w:rPr>
          <w:rFonts w:eastAsia="Times New Roman"/>
          <w:lang w:val="ru-RU"/>
        </w:rPr>
      </w:pPr>
      <w:r>
        <w:rPr>
          <w:rFonts w:eastAsia="Times New Roman"/>
          <w:lang w:val="ru-RU"/>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30 дней с момента получения письменной претензии. </w:t>
      </w:r>
    </w:p>
    <w:p>
      <w:pPr>
        <w:pStyle w:val="BodyTextIndent"/>
        <w:ind w:hanging="0"/>
        <w:rPr>
          <w:rFonts w:eastAsia="Times New Roman"/>
          <w:lang w:val="ru-RU"/>
        </w:rPr>
      </w:pPr>
      <w:r>
        <w:rPr>
          <w:rFonts w:eastAsia="Times New Roman"/>
          <w:lang w:val="ru-RU"/>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BodyTextIndent"/>
        <w:ind w:hanging="0"/>
        <w:rPr>
          <w:b/>
          <w:lang w:val="ru-RU"/>
        </w:rPr>
      </w:pPr>
      <w:bookmarkStart w:id="6" w:name="_Hlk177569964"/>
      <w:r>
        <w:rPr>
          <w:rFonts w:eastAsia="Times New Roman"/>
          <w:lang w:val="ru-RU"/>
        </w:rPr>
        <w:t>5.7. Обязательства Поставщика по поставке Товара считаются выполненными Поставщиком после утверждения Заказчиком Акта приемки ф. 0510452.</w:t>
      </w:r>
      <w:bookmarkEnd w:id="6"/>
    </w:p>
    <w:p>
      <w:pPr>
        <w:pStyle w:val="BodyTextIndent"/>
        <w:ind w:hanging="0"/>
        <w:jc w:val="center"/>
        <w:rPr>
          <w:b/>
          <w:lang w:val="ru-RU"/>
        </w:rPr>
      </w:pPr>
      <w:r>
        <w:rPr>
          <w:b/>
          <w:lang w:val="ru-RU"/>
        </w:rPr>
        <w:t>6. Гарантия качества</w:t>
      </w:r>
    </w:p>
    <w:p>
      <w:pPr>
        <w:pStyle w:val="Normal"/>
        <w:rPr/>
      </w:pPr>
      <w:r>
        <w:rPr/>
        <w:t>6.1. Качество поставляемого товара должно соответствовать требованиям законодательства Российской Федерации, техническим характеристикам, указанным в Приложении №1 к Контракту.</w:t>
      </w:r>
    </w:p>
    <w:p>
      <w:pPr>
        <w:pStyle w:val="Normal"/>
        <w:rPr/>
      </w:pPr>
      <w:r>
        <w:rPr/>
        <w:t xml:space="preserve">6.2. Товар должен быть новым, ранее не использованным. </w:t>
      </w:r>
    </w:p>
    <w:p>
      <w:pPr>
        <w:pStyle w:val="Normal"/>
        <w:rPr/>
      </w:pPr>
      <w:r>
        <w:rPr/>
        <w:t xml:space="preserve">6.3. </w:t>
      </w:r>
      <w:r>
        <w:rPr/>
        <w:t>Гарантийный срок</w:t>
      </w:r>
      <w:r>
        <w:rPr>
          <w:shd w:fill="auto" w:val="clear"/>
        </w:rPr>
        <w:t xml:space="preserve"> товара должен составлять не менее 12 мес. со дня поставки на склад Заказчика.</w:t>
      </w:r>
    </w:p>
    <w:p>
      <w:pPr>
        <w:pStyle w:val="Normal"/>
        <w:rPr/>
      </w:pPr>
      <w:r>
        <w:rPr/>
        <w:t>6.4. Поставщик должен обеспечить транспортную упаковку (тару)Товара,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 Каждую единицу транспортной упаковки (тары) Товара должны сопровождать два экземпляра упаковочного листа с указанием следующей информации:</w:t>
      </w:r>
    </w:p>
    <w:p>
      <w:pPr>
        <w:pStyle w:val="Normal"/>
        <w:rPr/>
      </w:pPr>
      <w:r>
        <w:rPr/>
        <w:t>-наименование Товара;</w:t>
      </w:r>
    </w:p>
    <w:p>
      <w:pPr>
        <w:pStyle w:val="Normal"/>
        <w:rPr/>
      </w:pPr>
      <w:r>
        <w:rPr/>
        <w:t>- реквизиты Контракта;</w:t>
      </w:r>
    </w:p>
    <w:p>
      <w:pPr>
        <w:pStyle w:val="Normal"/>
        <w:rPr/>
      </w:pPr>
      <w:r>
        <w:rPr/>
        <w:t>-заказчик;</w:t>
      </w:r>
    </w:p>
    <w:p>
      <w:pPr>
        <w:pStyle w:val="Normal"/>
        <w:rPr/>
      </w:pPr>
      <w:r>
        <w:rPr/>
        <w:t>-поставщик;</w:t>
      </w:r>
    </w:p>
    <w:p>
      <w:pPr>
        <w:pStyle w:val="Normal"/>
        <w:rPr/>
      </w:pPr>
      <w:r>
        <w:rPr/>
        <w:t>-адрес доставки;</w:t>
      </w:r>
    </w:p>
    <w:p>
      <w:pPr>
        <w:pStyle w:val="Normal"/>
        <w:rPr/>
      </w:pPr>
      <w:r>
        <w:rPr/>
        <w:t>-ящик/контейнер №, всего ящиков/контейнеров</w:t>
      </w:r>
    </w:p>
    <w:p>
      <w:pPr>
        <w:pStyle w:val="Normal"/>
        <w:rPr/>
      </w:pPr>
      <w:r>
        <w:rPr/>
        <w:t>6.5.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6.4 Контракта (далее-Упаковочный лист).</w:t>
      </w:r>
    </w:p>
    <w:p>
      <w:pPr>
        <w:pStyle w:val="Normal"/>
        <w:rPr/>
      </w:pPr>
      <w:r>
        <w:rPr/>
        <w:t>Один Упаковочный лист должен находится внутри транспортной упаковки (тары) Товара, другой- крепится с внешней стороны транспортной упаковки (тары) Товара в водонепроницаемом конверте.</w:t>
      </w:r>
    </w:p>
    <w:p>
      <w:pPr>
        <w:pStyle w:val="Normal"/>
        <w:rPr/>
      </w:pPr>
      <w:r>
        <w:rPr/>
        <w:t>6.6.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если эти условия определены нормативной документацией на Товар и инструкцией по ее применению.</w:t>
      </w:r>
    </w:p>
    <w:p>
      <w:pPr>
        <w:pStyle w:val="Normal"/>
        <w:rPr>
          <w:b/>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lang w:val="ru-RU"/>
        </w:rPr>
      </w:pPr>
      <w:r>
        <w:rPr>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b/>
          <w:lang w:val="ru-RU"/>
        </w:rPr>
      </w:pPr>
      <w:r>
        <w:rPr>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b/>
          <w:lang w:val="ru-RU"/>
        </w:rPr>
        <w:t xml:space="preserve"> </w:t>
      </w:r>
    </w:p>
    <w:p>
      <w:pPr>
        <w:pStyle w:val="Normal"/>
        <w:jc w:val="both"/>
        <w:rPr/>
      </w:pPr>
      <w:r>
        <w:rPr/>
      </w:r>
    </w:p>
    <w:p>
      <w:pPr>
        <w:pStyle w:val="Normal"/>
        <w:rPr>
          <w:b/>
        </w:rPr>
      </w:pPr>
      <w:r>
        <w:rPr>
          <w:b/>
        </w:rPr>
        <w:t xml:space="preserve">                                                                           </w:t>
      </w:r>
      <w:r>
        <w:rPr>
          <w:b/>
        </w:rPr>
        <w:t xml:space="preserve">8. Ответственность сторон                                                                                                                                                                           </w:t>
      </w:r>
      <w:r>
        <w:rPr/>
        <w:t xml:space="preserve">8.1. </w:t>
      </w:r>
      <w:bookmarkStart w:id="7" w:name="_Hlk177570087"/>
      <w:r>
        <w:rPr/>
        <w:t>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 Под ненадлежащим исполнение условий настоящего Контракта Стороны договорились считать неисполнение  обязанностей:</w:t>
      </w:r>
    </w:p>
    <w:p>
      <w:pPr>
        <w:pStyle w:val="Normal"/>
        <w:rPr/>
      </w:pPr>
      <w:r>
        <w:rPr/>
        <w:t>-указанных в  подпунктах п.3.2  со Стороны Заказчика;</w:t>
      </w:r>
    </w:p>
    <w:p>
      <w:pPr>
        <w:pStyle w:val="Normal"/>
        <w:rPr/>
      </w:pPr>
      <w:r>
        <w:rPr/>
        <w:t>-указанных в подпунктах  п. 3.4 со Стороны Поставщика.</w:t>
      </w:r>
      <w:bookmarkEnd w:id="7"/>
    </w:p>
    <w:p>
      <w:pPr>
        <w:pStyle w:val="Normal"/>
        <w:jc w:val="both"/>
        <w:rPr/>
      </w:pPr>
      <w:r>
        <w:rPr/>
        <w:t>8.2. В случае просрочки исполнения Заказчиком обязательств, предусмотренных настоящим Контрактом,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 xml:space="preserve">8.3. В случае просрочки исполнения Поставщиком своих обязательств, предусмотренных настоящим Контрактом,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 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8.4. За неисполнение или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1000 рублей 00 копеек (одна тысяча рублей 00 копеек).</w:t>
      </w:r>
    </w:p>
    <w:p>
      <w:pPr>
        <w:pStyle w:val="Normal"/>
        <w:jc w:val="both"/>
        <w:rPr/>
      </w:pPr>
      <w:r>
        <w:rPr/>
        <w:t xml:space="preserve">8.5.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shd w:fill="auto" w:val="clear"/>
        </w:rPr>
        <w:t>_____________</w:t>
      </w:r>
      <w:r>
        <w:rPr>
          <w:shd w:fill="auto" w:val="clear"/>
        </w:rPr>
        <w:t xml:space="preserve"> руб. и составл</w:t>
      </w:r>
      <w:r>
        <w:rPr/>
        <w:t>яет 10% от цены настоящего Контракта.</w:t>
      </w:r>
    </w:p>
    <w:p>
      <w:pPr>
        <w:pStyle w:val="Normal"/>
        <w:jc w:val="both"/>
        <w:rPr/>
      </w:pPr>
      <w:r>
        <w:rPr/>
        <w:t>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Normal"/>
        <w:jc w:val="both"/>
        <w:rPr/>
      </w:pPr>
      <w:r>
        <w:rPr/>
        <w:t>8.7. Применение штрафных санкций не освобождает Стороны от выполнения обязательств по настоящему Контракту.</w:t>
      </w:r>
    </w:p>
    <w:p>
      <w:pPr>
        <w:pStyle w:val="Normal"/>
        <w:ind w:left="360"/>
        <w:jc w:val="both"/>
        <w:rPr/>
      </w:pPr>
      <w:r>
        <w:rPr/>
      </w:r>
    </w:p>
    <w:p>
      <w:pPr>
        <w:pStyle w:val="BodyTextIndent"/>
        <w:ind w:hanging="0"/>
        <w:jc w:val="center"/>
        <w:rPr>
          <w:b/>
          <w:lang w:val="ru-RU"/>
        </w:rPr>
      </w:pPr>
      <w:r>
        <w:rPr>
          <w:b/>
          <w:lang w:val="ru-RU"/>
        </w:rPr>
        <w:t>9. Срок действия, изменение и прекращение Контракта</w:t>
      </w:r>
    </w:p>
    <w:p>
      <w:pPr>
        <w:pStyle w:val="ConsPlusNormal1"/>
        <w:widowControl/>
        <w:ind w:hanging="0"/>
        <w:jc w:val="both"/>
        <w:rPr>
          <w:rFonts w:ascii="Times New Roman" w:hAnsi="Times New Roman"/>
          <w:sz w:val="20"/>
          <w:szCs w:val="20"/>
        </w:rPr>
      </w:pPr>
      <w:r>
        <w:rPr>
          <w:rFonts w:ascii="Times New Roman" w:hAnsi="Times New Roman"/>
          <w:sz w:val="20"/>
          <w:szCs w:val="20"/>
        </w:rPr>
        <w:t xml:space="preserve">9.1. </w:t>
      </w:r>
      <w:bookmarkStart w:id="8" w:name="_Hlk177570138"/>
      <w:r>
        <w:rPr>
          <w:rFonts w:ascii="Times New Roman" w:hAnsi="Times New Roman"/>
          <w:sz w:val="20"/>
          <w:szCs w:val="20"/>
        </w:rPr>
        <w:t>Настоящий Контракт вступает в силу с момента заключения и дейс</w:t>
      </w:r>
      <w:r>
        <w:rPr>
          <w:rFonts w:ascii="Times New Roman" w:hAnsi="Times New Roman"/>
          <w:sz w:val="20"/>
          <w:szCs w:val="20"/>
          <w:shd w:fill="auto" w:val="clear"/>
        </w:rPr>
        <w:t>твуе</w:t>
      </w:r>
      <w:r>
        <w:rPr>
          <w:rFonts w:ascii="Times New Roman" w:hAnsi="Times New Roman"/>
          <w:sz w:val="20"/>
          <w:szCs w:val="20"/>
          <w:shd w:fill="auto" w:val="clear"/>
        </w:rPr>
        <w:t>т до 1</w:t>
      </w:r>
      <w:r>
        <w:rPr>
          <w:rFonts w:ascii="Times New Roman" w:hAnsi="Times New Roman"/>
          <w:sz w:val="20"/>
          <w:szCs w:val="20"/>
          <w:shd w:fill="auto" w:val="clear"/>
        </w:rPr>
        <w:t>1</w:t>
      </w:r>
      <w:r>
        <w:rPr>
          <w:rFonts w:ascii="Times New Roman" w:hAnsi="Times New Roman"/>
          <w:sz w:val="20"/>
          <w:szCs w:val="20"/>
          <w:shd w:fill="auto" w:val="clear"/>
        </w:rPr>
        <w:t>.1</w:t>
      </w:r>
      <w:r>
        <w:rPr>
          <w:rFonts w:ascii="Times New Roman" w:hAnsi="Times New Roman"/>
          <w:sz w:val="20"/>
          <w:szCs w:val="20"/>
          <w:shd w:fill="auto" w:val="clear"/>
        </w:rPr>
        <w:t>2</w:t>
      </w:r>
      <w:r>
        <w:rPr>
          <w:rFonts w:ascii="Times New Roman" w:hAnsi="Times New Roman"/>
          <w:sz w:val="20"/>
          <w:szCs w:val="20"/>
          <w:shd w:fill="auto" w:val="clear"/>
        </w:rPr>
        <w:t>.2026 г., а в</w:t>
      </w:r>
      <w:r>
        <w:rPr>
          <w:rFonts w:ascii="Times New Roman" w:hAnsi="Times New Roman"/>
          <w:sz w:val="20"/>
          <w:szCs w:val="20"/>
          <w:shd w:fill="auto" w:val="clear"/>
        </w:rPr>
        <w:t xml:space="preserve"> части опла</w:t>
      </w:r>
      <w:r>
        <w:rPr>
          <w:rFonts w:ascii="Times New Roman" w:hAnsi="Times New Roman"/>
          <w:sz w:val="20"/>
          <w:szCs w:val="20"/>
        </w:rPr>
        <w:t>ты – до исполнения обязательств.</w:t>
      </w:r>
      <w:bookmarkEnd w:id="8"/>
    </w:p>
    <w:p>
      <w:pPr>
        <w:pStyle w:val="ConsPlusNormal1"/>
        <w:ind w:hanging="0"/>
        <w:jc w:val="both"/>
        <w:rPr>
          <w:rFonts w:ascii="Times New Roman" w:hAnsi="Times New Roman"/>
          <w:sz w:val="20"/>
          <w:szCs w:val="20"/>
        </w:rPr>
      </w:pPr>
      <w:r>
        <w:rPr>
          <w:rFonts w:ascii="Times New Roman" w:hAnsi="Times New Roman"/>
          <w:sz w:val="20"/>
          <w:szCs w:val="20"/>
        </w:rPr>
        <w:t>9.2. Расторжение Контракта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Контракта – в соответствии с действующим законодательством.</w:t>
      </w:r>
    </w:p>
    <w:p>
      <w:pPr>
        <w:pStyle w:val="ConsPlusNormal1"/>
        <w:widowControl/>
        <w:ind w:hanging="0"/>
        <w:jc w:val="both"/>
        <w:rPr>
          <w:rFonts w:ascii="Times New Roman" w:hAnsi="Times New Roman"/>
          <w:sz w:val="20"/>
          <w:szCs w:val="20"/>
        </w:rPr>
      </w:pPr>
      <w:r>
        <w:rPr>
          <w:rFonts w:ascii="Times New Roman" w:hAnsi="Times New Roman"/>
          <w:sz w:val="20"/>
          <w:szCs w:val="20"/>
        </w:rPr>
        <w:t>9.3. Заказчик вправе принять решение об одностороннем отказе от исполнения Контракта в соответствии с действующим законодательством. В случае задержки поставки товара на 15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sz w:val="20"/>
          <w:szCs w:val="20"/>
        </w:rPr>
      </w:pPr>
      <w:r>
        <w:rPr>
          <w:rFonts w:ascii="Times New Roman" w:hAnsi="Times New Roman"/>
          <w:sz w:val="20"/>
          <w:szCs w:val="20"/>
        </w:rPr>
        <w:t>9.4. Дополнительные соглашения к настоящему Контракту,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sz w:val="20"/>
          <w:szCs w:val="20"/>
        </w:rPr>
      </w:pPr>
      <w:r>
        <w:rPr>
          <w:rFonts w:ascii="Times New Roman" w:hAnsi="Times New Roman"/>
          <w:sz w:val="20"/>
          <w:szCs w:val="20"/>
        </w:rPr>
      </w:r>
    </w:p>
    <w:p>
      <w:pPr>
        <w:pStyle w:val="Normal"/>
        <w:shd w:val="clear" w:color="auto" w:fill="FFFFFF"/>
        <w:jc w:val="center"/>
        <w:rPr>
          <w:b/>
        </w:rPr>
      </w:pPr>
      <w:r>
        <w:rPr>
          <w:b/>
        </w:rPr>
        <w:t>10. Переход права собственности и риск случайной гибели Товара</w:t>
      </w:r>
    </w:p>
    <w:p>
      <w:pPr>
        <w:pStyle w:val="Normal"/>
        <w:shd w:val="clear" w:color="auto" w:fill="FFFFFF"/>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val="clear" w:color="auto" w:fill="FFFFFF"/>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подписания Заказчиком Акта приемки  ф. 0510452.</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b/>
        </w:rPr>
      </w:pPr>
      <w:r>
        <w:rPr>
          <w:b/>
        </w:rPr>
        <w:t>11. Противодействие коррупции</w:t>
      </w:r>
    </w:p>
    <w:p>
      <w:pPr>
        <w:pStyle w:val="Normal"/>
        <w:shd w:val="clear" w:color="auto" w:fill="FFFFFF"/>
        <w:tabs>
          <w:tab w:val="clear" w:pos="708"/>
          <w:tab w:val="left" w:pos="540" w:leader="none"/>
          <w:tab w:val="left" w:pos="1248" w:leader="none"/>
        </w:tabs>
        <w:jc w:val="both"/>
        <w:rPr/>
      </w:pPr>
      <w:r>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val="clear" w:color="auto" w:fill="FFFFFF"/>
        <w:tabs>
          <w:tab w:val="clear" w:pos="708"/>
          <w:tab w:val="left" w:pos="540" w:leader="none"/>
          <w:tab w:val="left" w:pos="1248" w:leader="none"/>
        </w:tabs>
        <w:jc w:val="both"/>
        <w:rPr/>
      </w:pPr>
      <w:r>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val="clear" w:color="auto" w:fill="FFFFFF"/>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11.4. В случае нарушения одной Стороной обязательств воздерживаться от запрещенных в п. 11.1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val="clear" w:color="auto" w:fill="FFFFFF"/>
        <w:tabs>
          <w:tab w:val="clear" w:pos="708"/>
          <w:tab w:val="left" w:pos="540" w:leader="none"/>
          <w:tab w:val="left" w:pos="1248" w:leader="none"/>
        </w:tabs>
        <w:jc w:val="center"/>
        <w:rPr/>
      </w:pPr>
      <w:r>
        <w:rPr/>
      </w:r>
    </w:p>
    <w:p>
      <w:pPr>
        <w:pStyle w:val="Normal"/>
        <w:shd w:val="clear" w:color="auto" w:fill="FFFFFF"/>
        <w:tabs>
          <w:tab w:val="clear" w:pos="708"/>
          <w:tab w:val="left" w:pos="540" w:leader="none"/>
          <w:tab w:val="left" w:pos="1248" w:leader="none"/>
        </w:tabs>
        <w:jc w:val="center"/>
        <w:rPr>
          <w:b/>
        </w:rPr>
      </w:pPr>
      <w:r>
        <w:rPr>
          <w:b/>
        </w:rPr>
        <w:t>12. Форс-мажор</w:t>
      </w:r>
    </w:p>
    <w:p>
      <w:pPr>
        <w:pStyle w:val="Normal"/>
        <w:jc w:val="both"/>
        <w:rPr/>
      </w:pPr>
      <w:r>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форс-мажорных обстоятельств.</w:t>
      </w:r>
    </w:p>
    <w:p>
      <w:pPr>
        <w:pStyle w:val="Normal"/>
        <w:jc w:val="both"/>
        <w:rPr/>
      </w:pPr>
      <w:r>
        <w:rPr/>
        <w:t>12.2. Под форс-мажорными обстоятельствами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Контракту, в том числе если указанные обстоятельства будут выявлены после приемки Товара Заказчиком.</w:t>
      </w:r>
    </w:p>
    <w:p>
      <w:pPr>
        <w:pStyle w:val="Normal"/>
        <w:jc w:val="both"/>
        <w:rPr/>
      </w:pPr>
      <w:r>
        <w:rPr/>
        <w:t>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Контракту,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12.5.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Normal"/>
        <w:shd w:val="clear" w:color="auto" w:fill="FFFFFF"/>
        <w:tabs>
          <w:tab w:val="clear" w:pos="708"/>
          <w:tab w:val="left" w:pos="540" w:leader="none"/>
          <w:tab w:val="left" w:pos="1248" w:leader="none"/>
        </w:tabs>
        <w:jc w:val="both"/>
        <w:rPr/>
      </w:pPr>
      <w:r>
        <w:rPr/>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right="-142"/>
        <w:rPr/>
      </w:pPr>
      <w:r>
        <w:rPr/>
        <w:t>13.1. Все споры и разногласия, которые могут возникнуть по настоящему Контракту,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right="-142"/>
        <w:rPr/>
      </w:pPr>
      <w:r>
        <w:rPr/>
        <w:t>13.2.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(Контракта,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right="-142"/>
        <w:rPr/>
      </w:pPr>
      <w:r>
        <w:rPr/>
        <w:t>13.3.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Контракту.</w:t>
      </w:r>
    </w:p>
    <w:p>
      <w:pPr>
        <w:pStyle w:val="Normal"/>
        <w:tabs>
          <w:tab w:val="clear" w:pos="708"/>
          <w:tab w:val="left" w:pos="540" w:leader="none"/>
        </w:tabs>
        <w:ind w:right="-142"/>
        <w:rPr/>
      </w:pPr>
      <w:r>
        <w:rPr/>
        <w:t>Любые приложения, изменения и дополнения к настоящему Контракту действительны и являются неотъемлемой частью настоящего Контракта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right="-142"/>
        <w:rPr/>
      </w:pPr>
      <w:r>
        <w:rPr/>
        <w:t>Стороны прямо договорились,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w:t>
      </w:r>
    </w:p>
    <w:p>
      <w:pPr>
        <w:pStyle w:val="Normal"/>
        <w:tabs>
          <w:tab w:val="clear" w:pos="708"/>
          <w:tab w:val="left" w:pos="540" w:leader="none"/>
        </w:tabs>
        <w:ind w:right="-142"/>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right="-142"/>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right="-142"/>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right="-142"/>
        <w:rPr/>
      </w:pPr>
      <w:r>
        <w:rPr/>
        <w:t>13.7. Использование ЭП, владельцем которой является уполномоченное лицо стороны Контракта, с нарушением конфиденциальности соответствующего ключа не освобождает сторону Контракта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right="-142"/>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right="-142"/>
        <w:rPr/>
      </w:pPr>
      <w:r>
        <w:rPr/>
        <w:t>13.9. Настоящий Контракт составлен в двух экземплярах для каждой из Сторон, имеющих одинаковую юридическую силу.</w:t>
      </w:r>
    </w:p>
    <w:p>
      <w:pPr>
        <w:pStyle w:val="Normal"/>
        <w:keepNext w:val="true"/>
        <w:spacing w:before="60" w:after="0"/>
        <w:jc w:val="center"/>
        <w:rPr>
          <w:b/>
        </w:rPr>
      </w:pPr>
      <w:r>
        <w:rPr>
          <w:b/>
        </w:rPr>
      </w:r>
    </w:p>
    <w:p>
      <w:pPr>
        <w:pStyle w:val="Normal"/>
        <w:keepNext w:val="true"/>
        <w:spacing w:before="60" w:after="0"/>
        <w:jc w:val="center"/>
        <w:rPr>
          <w:b/>
        </w:rPr>
      </w:pPr>
      <w:r>
        <w:rPr>
          <w:b/>
        </w:rPr>
        <w:t>14. Адреса, реквизиты и подписи Сторон</w:t>
      </w:r>
    </w:p>
    <w:tbl>
      <w:tblPr>
        <w:tblW w:w="10456"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5634"/>
        <w:gridCol w:w="4822"/>
      </w:tblGrid>
      <w:tr>
        <w:trPr>
          <w:trHeight w:val="7632" w:hRule="atLeast"/>
        </w:trPr>
        <w:tc>
          <w:tcPr>
            <w:tcW w:w="5634" w:type="dxa"/>
            <w:tcBorders/>
          </w:tcPr>
          <w:p>
            <w:pPr>
              <w:pStyle w:val="Normal"/>
              <w:numPr>
                <w:ilvl w:val="0"/>
                <w:numId w:val="0"/>
              </w:numPr>
              <w:ind w:hanging="0" w:left="0"/>
              <w:jc w:val="both"/>
              <w:outlineLvl w:val="5"/>
              <w:rPr>
                <w:b/>
                <w:iCs/>
              </w:rPr>
            </w:pPr>
            <w:r>
              <w:rPr>
                <w:b/>
                <w:iCs/>
              </w:rPr>
            </w:r>
          </w:p>
          <w:p>
            <w:pPr>
              <w:pStyle w:val="Normal"/>
              <w:numPr>
                <w:ilvl w:val="0"/>
                <w:numId w:val="0"/>
              </w:numPr>
              <w:ind w:hanging="0" w:left="0"/>
              <w:jc w:val="both"/>
              <w:outlineLvl w:val="5"/>
              <w:rPr>
                <w:b w:val="false"/>
                <w:bCs w:val="false"/>
              </w:rPr>
            </w:pPr>
            <w:r>
              <w:rPr>
                <w:b w:val="false"/>
                <w:bCs w:val="false"/>
                <w:iCs/>
              </w:rPr>
              <w:t>Заказчик:</w:t>
            </w:r>
          </w:p>
          <w:p>
            <w:pPr>
              <w:pStyle w:val="Normal"/>
              <w:rPr>
                <w:b/>
                <w:bCs/>
              </w:rPr>
            </w:pPr>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rPr>
                <w:b/>
                <w:bCs/>
              </w:rPr>
            </w:pPr>
            <w:r>
              <w:rPr>
                <w:b/>
                <w:bCs/>
              </w:rPr>
            </w:r>
          </w:p>
          <w:p>
            <w:pPr>
              <w:pStyle w:val="Normal"/>
              <w:rPr>
                <w:b w:val="false"/>
                <w:bCs w:val="false"/>
              </w:rPr>
            </w:pPr>
            <w:r>
              <w:rPr>
                <w:b w:val="false"/>
                <w:bCs w:val="false"/>
              </w:rPr>
              <w:t>Юридический и фактический адрес:</w:t>
            </w:r>
          </w:p>
          <w:p>
            <w:pPr>
              <w:pStyle w:val="Normal"/>
              <w:rPr>
                <w:b w:val="false"/>
                <w:bCs w:val="false"/>
              </w:rPr>
            </w:pPr>
            <w:r>
              <w:rPr>
                <w:b w:val="false"/>
                <w:bCs w:val="false"/>
              </w:rPr>
              <w:t>650002, г. Кемерово, бульвар имени академика Л.С. Барбараша, стр. 6</w:t>
            </w:r>
          </w:p>
          <w:p>
            <w:pPr>
              <w:pStyle w:val="Normal"/>
              <w:rPr>
                <w:b w:val="false"/>
                <w:bCs w:val="false"/>
              </w:rPr>
            </w:pPr>
            <w:r>
              <w:rPr>
                <w:b w:val="false"/>
                <w:bCs w:val="false"/>
              </w:rPr>
              <w:t>Тел.: +7 (3842) 64-33-08</w:t>
            </w:r>
          </w:p>
          <w:p>
            <w:pPr>
              <w:pStyle w:val="Normal"/>
              <w:widowControl/>
              <w:overflowPunct w:val="false"/>
              <w:spacing w:before="0" w:after="0"/>
              <w:jc w:val="left"/>
              <w:textAlignment w:val="auto"/>
              <w:rPr>
                <w:b w:val="false"/>
                <w:bCs w:val="false"/>
                <w:szCs w:val="24"/>
              </w:rPr>
            </w:pPr>
            <w:r>
              <w:rPr>
                <w:b w:val="false"/>
                <w:bCs w:val="false"/>
                <w:szCs w:val="24"/>
              </w:rPr>
            </w:r>
          </w:p>
          <w:p>
            <w:pPr>
              <w:pStyle w:val="Normal"/>
              <w:widowControl/>
              <w:overflowPunct w:val="false"/>
              <w:spacing w:before="0" w:after="0"/>
              <w:jc w:val="left"/>
              <w:textAlignment w:val="auto"/>
              <w:rPr>
                <w:b w:val="false"/>
                <w:bCs w:val="false"/>
              </w:rPr>
            </w:pPr>
            <w:r>
              <w:rPr>
                <w:b w:val="false"/>
                <w:bCs w:val="false"/>
                <w:szCs w:val="24"/>
              </w:rPr>
              <w:t>УФК по Новосибирской области (НИИ КПССЗ л/с 20396Х66880)</w:t>
            </w:r>
          </w:p>
          <w:p>
            <w:pPr>
              <w:pStyle w:val="Normal"/>
              <w:widowControl/>
              <w:overflowPunct w:val="false"/>
              <w:spacing w:before="0" w:after="0"/>
              <w:jc w:val="left"/>
              <w:textAlignment w:val="auto"/>
              <w:rPr>
                <w:b w:val="false"/>
                <w:bCs w:val="false"/>
              </w:rPr>
            </w:pPr>
            <w:r>
              <w:rPr>
                <w:b w:val="false"/>
                <w:bCs w:val="false"/>
                <w:szCs w:val="24"/>
              </w:rPr>
              <w:t>УФК по Новосибирской области (НИИ КПССЗ л/с 22396Х66880)</w:t>
            </w:r>
          </w:p>
          <w:p>
            <w:pPr>
              <w:pStyle w:val="Normal"/>
              <w:widowControl/>
              <w:overflowPunct w:val="false"/>
              <w:spacing w:before="0" w:after="0"/>
              <w:jc w:val="left"/>
              <w:textAlignment w:val="auto"/>
              <w:rPr>
                <w:b w:val="false"/>
                <w:bCs w:val="false"/>
              </w:rPr>
            </w:pPr>
            <w:r>
              <w:rPr>
                <w:b w:val="false"/>
                <w:bCs w:val="false"/>
                <w:szCs w:val="24"/>
              </w:rPr>
              <w:t>УФК по Новосибирской области (НИИ КПССЗ л/с 21396Х66880)</w:t>
            </w:r>
          </w:p>
          <w:p>
            <w:pPr>
              <w:pStyle w:val="Normal"/>
              <w:widowControl/>
              <w:overflowPunct w:val="false"/>
              <w:spacing w:before="0" w:after="0"/>
              <w:jc w:val="left"/>
              <w:textAlignment w:val="auto"/>
              <w:rPr>
                <w:b w:val="false"/>
                <w:bCs w:val="false"/>
              </w:rPr>
            </w:pPr>
            <w:r>
              <w:rPr>
                <w:b w:val="false"/>
                <w:bCs w:val="false"/>
                <w:szCs w:val="24"/>
              </w:rPr>
              <w:t>ИНН 4205012290  КПП 420501001</w:t>
            </w:r>
          </w:p>
          <w:p>
            <w:pPr>
              <w:pStyle w:val="Normal"/>
              <w:widowControl/>
              <w:overflowPunct w:val="false"/>
              <w:spacing w:before="0" w:after="0"/>
              <w:jc w:val="left"/>
              <w:textAlignment w:val="auto"/>
              <w:rPr>
                <w:b w:val="false"/>
                <w:bCs w:val="false"/>
              </w:rPr>
            </w:pPr>
            <w:r>
              <w:rPr>
                <w:b w:val="false"/>
                <w:bCs w:val="false"/>
                <w:szCs w:val="24"/>
              </w:rPr>
              <w:t>р/с 03214643000000015106</w:t>
            </w:r>
          </w:p>
          <w:p>
            <w:pPr>
              <w:pStyle w:val="Normal"/>
              <w:widowControl/>
              <w:overflowPunct w:val="false"/>
              <w:spacing w:before="0" w:after="0"/>
              <w:jc w:val="left"/>
              <w:textAlignment w:val="auto"/>
              <w:rPr>
                <w:b w:val="false"/>
                <w:bCs w:val="false"/>
              </w:rPr>
            </w:pPr>
            <w:r>
              <w:rPr>
                <w:rFonts w:eastAsia="Times New Roman" w:cs="Times New Roman"/>
                <w:b w:val="false"/>
                <w:bCs w:val="false"/>
                <w:color w:val="auto"/>
                <w:sz w:val="24"/>
                <w:szCs w:val="24"/>
                <w:lang w:val="ru-RU" w:eastAsia="zh-CN" w:bidi="ar-SA"/>
              </w:rPr>
              <w:t>ОКЦ № 1 СибГУ Банка России</w:t>
            </w:r>
            <w:r>
              <w:rPr>
                <w:b w:val="false"/>
                <w:bCs w:val="false"/>
                <w:szCs w:val="24"/>
              </w:rPr>
              <w:t>//УФК по Новосибирской области, г. Новосибирск</w:t>
            </w:r>
          </w:p>
          <w:p>
            <w:pPr>
              <w:pStyle w:val="Normal"/>
              <w:widowControl/>
              <w:overflowPunct w:val="false"/>
              <w:spacing w:before="0" w:after="0"/>
              <w:jc w:val="left"/>
              <w:textAlignment w:val="auto"/>
              <w:rPr>
                <w:b w:val="false"/>
                <w:bCs w:val="false"/>
              </w:rPr>
            </w:pPr>
            <w:r>
              <w:rPr>
                <w:b w:val="false"/>
                <w:bCs w:val="false"/>
                <w:szCs w:val="24"/>
              </w:rPr>
              <w:t>БИК 015004950</w:t>
            </w:r>
          </w:p>
          <w:p>
            <w:pPr>
              <w:pStyle w:val="Normal"/>
              <w:widowControl/>
              <w:overflowPunct w:val="false"/>
              <w:spacing w:before="0" w:after="0"/>
              <w:jc w:val="left"/>
              <w:textAlignment w:val="auto"/>
              <w:rPr>
                <w:b w:val="false"/>
                <w:bCs w:val="false"/>
              </w:rPr>
            </w:pPr>
            <w:r>
              <w:rPr>
                <w:b w:val="false"/>
                <w:bCs w:val="false"/>
                <w:szCs w:val="24"/>
              </w:rPr>
              <w:t>к/с 40102810445370000043</w:t>
            </w:r>
          </w:p>
          <w:p>
            <w:pPr>
              <w:pStyle w:val="Normal"/>
              <w:widowControl/>
              <w:overflowPunct w:val="false"/>
              <w:spacing w:before="0" w:after="0"/>
              <w:jc w:val="left"/>
              <w:textAlignment w:val="auto"/>
              <w:rPr>
                <w:b w:val="false"/>
                <w:bCs w:val="false"/>
              </w:rPr>
            </w:pPr>
            <w:r>
              <w:rPr>
                <w:b w:val="false"/>
                <w:bCs w:val="false"/>
                <w:szCs w:val="24"/>
                <w:u w:val="single"/>
              </w:rPr>
              <w:t>КБК 00000000000000000</w:t>
            </w:r>
            <w:r>
              <w:rPr>
                <w:b w:val="false"/>
                <w:bCs w:val="false"/>
                <w:szCs w:val="24"/>
                <w:u w:val="single"/>
                <w:lang w:val="en-US"/>
              </w:rPr>
              <w:t>130</w:t>
            </w:r>
          </w:p>
          <w:p>
            <w:pPr>
              <w:pStyle w:val="Normal"/>
              <w:widowControl/>
              <w:overflowPunct w:val="false"/>
              <w:spacing w:before="0" w:after="0"/>
              <w:jc w:val="left"/>
              <w:textAlignment w:val="auto"/>
              <w:rPr>
                <w:b w:val="false"/>
                <w:bCs w:val="false"/>
              </w:rPr>
            </w:pPr>
            <w:r>
              <w:rPr>
                <w:b w:val="false"/>
                <w:bCs w:val="false"/>
                <w:szCs w:val="24"/>
              </w:rPr>
              <w:t>ОГРН 1034205024479</w:t>
            </w:r>
          </w:p>
          <w:p>
            <w:pPr>
              <w:pStyle w:val="Normal"/>
              <w:widowControl/>
              <w:overflowPunct w:val="false"/>
              <w:spacing w:before="0" w:after="0"/>
              <w:jc w:val="left"/>
              <w:textAlignment w:val="auto"/>
              <w:rPr>
                <w:b w:val="false"/>
                <w:bCs w:val="false"/>
              </w:rPr>
            </w:pPr>
            <w:r>
              <w:rPr>
                <w:b w:val="false"/>
                <w:bCs w:val="false"/>
                <w:szCs w:val="24"/>
              </w:rPr>
              <w:t>ОКПО 55608705</w:t>
            </w:r>
          </w:p>
          <w:p>
            <w:pPr>
              <w:pStyle w:val="Normal"/>
              <w:widowControl/>
              <w:overflowPunct w:val="false"/>
              <w:spacing w:before="0" w:after="0"/>
              <w:jc w:val="left"/>
              <w:textAlignment w:val="auto"/>
              <w:rPr>
                <w:b w:val="false"/>
                <w:bCs w:val="false"/>
              </w:rPr>
            </w:pPr>
            <w:r>
              <w:rPr>
                <w:b w:val="false"/>
                <w:bCs w:val="false"/>
                <w:szCs w:val="24"/>
              </w:rPr>
              <w:t>ОКАТО 32401000000</w:t>
            </w:r>
          </w:p>
          <w:p>
            <w:pPr>
              <w:pStyle w:val="Normal"/>
              <w:widowControl/>
              <w:overflowPunct w:val="false"/>
              <w:spacing w:before="0" w:after="0"/>
              <w:jc w:val="left"/>
              <w:textAlignment w:val="auto"/>
              <w:rPr>
                <w:b w:val="false"/>
                <w:bCs w:val="false"/>
              </w:rPr>
            </w:pPr>
            <w:r>
              <w:rPr>
                <w:b w:val="false"/>
                <w:bCs w:val="false"/>
                <w:szCs w:val="24"/>
              </w:rPr>
              <w:t>ОКТМО 32701000</w:t>
            </w:r>
          </w:p>
          <w:p>
            <w:pPr>
              <w:pStyle w:val="Normal"/>
              <w:widowControl/>
              <w:overflowPunct w:val="false"/>
              <w:spacing w:before="0" w:after="0"/>
              <w:jc w:val="left"/>
              <w:textAlignment w:val="auto"/>
              <w:rPr>
                <w:b w:val="false"/>
                <w:bCs w:val="false"/>
              </w:rPr>
            </w:pPr>
            <w:r>
              <w:rPr>
                <w:b w:val="false"/>
                <w:bCs w:val="false"/>
                <w:szCs w:val="24"/>
              </w:rPr>
              <w:t>ОКОГУ 1330612</w:t>
            </w:r>
          </w:p>
          <w:p>
            <w:pPr>
              <w:pStyle w:val="Normal"/>
              <w:widowControl/>
              <w:overflowPunct w:val="false"/>
              <w:spacing w:before="0" w:after="0"/>
              <w:jc w:val="left"/>
              <w:textAlignment w:val="auto"/>
              <w:rPr>
                <w:b w:val="false"/>
                <w:bCs w:val="false"/>
              </w:rPr>
            </w:pPr>
            <w:r>
              <w:rPr>
                <w:b w:val="false"/>
                <w:bCs w:val="false"/>
                <w:szCs w:val="24"/>
              </w:rPr>
              <w:t>ОКФС 12</w:t>
            </w:r>
          </w:p>
          <w:p>
            <w:pPr>
              <w:pStyle w:val="Normal"/>
              <w:widowControl/>
              <w:overflowPunct w:val="false"/>
              <w:spacing w:before="0" w:after="0"/>
              <w:jc w:val="left"/>
              <w:textAlignment w:val="auto"/>
              <w:rPr>
                <w:b w:val="false"/>
                <w:bCs w:val="false"/>
              </w:rPr>
            </w:pPr>
            <w:r>
              <w:rPr>
                <w:b w:val="false"/>
                <w:bCs w:val="false"/>
                <w:szCs w:val="24"/>
              </w:rPr>
              <w:t>ОКОПФ 75103</w:t>
            </w:r>
          </w:p>
          <w:p>
            <w:pPr>
              <w:pStyle w:val="Normal"/>
              <w:widowControl/>
              <w:overflowPunct w:val="false"/>
              <w:spacing w:before="0" w:after="0"/>
              <w:jc w:val="left"/>
              <w:textAlignment w:val="auto"/>
              <w:rPr>
                <w:b w:val="false"/>
                <w:bCs w:val="false"/>
              </w:rPr>
            </w:pPr>
            <w:r>
              <w:rPr>
                <w:b w:val="false"/>
                <w:bCs w:val="false"/>
                <w:szCs w:val="24"/>
              </w:rPr>
              <w:t>ОКВЭД 72.19</w:t>
            </w:r>
          </w:p>
          <w:p>
            <w:pPr>
              <w:pStyle w:val="Normal"/>
              <w:jc w:val="both"/>
              <w:rPr>
                <w:b w:val="false"/>
                <w:bCs w:val="false"/>
              </w:rPr>
            </w:pPr>
            <w:r>
              <w:rPr>
                <w:b w:val="false"/>
                <w:bCs w:val="false"/>
              </w:rPr>
            </w:r>
          </w:p>
          <w:p>
            <w:pPr>
              <w:pStyle w:val="Normal"/>
              <w:jc w:val="both"/>
              <w:rPr>
                <w:b w:val="false"/>
                <w:bCs w:val="false"/>
              </w:rPr>
            </w:pPr>
            <w:r>
              <w:rPr>
                <w:b w:val="false"/>
                <w:bCs w:val="false"/>
              </w:rPr>
            </w:r>
          </w:p>
          <w:p>
            <w:pPr>
              <w:pStyle w:val="Normal"/>
              <w:tabs>
                <w:tab w:val="clear" w:pos="708"/>
                <w:tab w:val="left" w:pos="7680" w:leader="none"/>
              </w:tabs>
              <w:rPr>
                <w:b w:val="false"/>
                <w:bCs w:val="false"/>
              </w:rPr>
            </w:pPr>
            <w:r>
              <w:rPr>
                <w:b w:val="false"/>
                <w:bCs w:val="false"/>
                <w:color w:val="000000"/>
              </w:rPr>
              <w:t>Начальник отдела материально-</w:t>
            </w:r>
          </w:p>
          <w:p>
            <w:pPr>
              <w:pStyle w:val="Normal"/>
              <w:tabs>
                <w:tab w:val="clear" w:pos="708"/>
                <w:tab w:val="left" w:pos="7680" w:leader="none"/>
              </w:tabs>
              <w:rPr>
                <w:b w:val="false"/>
                <w:bCs w:val="false"/>
              </w:rPr>
            </w:pPr>
            <w:r>
              <w:rPr>
                <w:b w:val="false"/>
                <w:bCs w:val="false"/>
                <w:color w:val="000000"/>
              </w:rPr>
              <w:t>технического снабжения</w:t>
            </w:r>
          </w:p>
          <w:p>
            <w:pPr>
              <w:pStyle w:val="Normal"/>
              <w:rPr>
                <w:b w:val="false"/>
                <w:bCs w:val="false"/>
              </w:rPr>
            </w:pPr>
            <w:r>
              <w:rPr>
                <w:b w:val="false"/>
                <w:bCs w:val="false"/>
              </w:rPr>
            </w:r>
          </w:p>
          <w:p>
            <w:pPr>
              <w:pStyle w:val="Normal"/>
              <w:rPr>
                <w:b w:val="false"/>
                <w:bCs w:val="false"/>
              </w:rPr>
            </w:pPr>
            <w:r>
              <w:rPr>
                <w:b w:val="false"/>
                <w:bCs w:val="false"/>
              </w:rPr>
            </w:r>
          </w:p>
          <w:p>
            <w:pPr>
              <w:pStyle w:val="Normal"/>
              <w:rPr>
                <w:b w:val="false"/>
                <w:bCs w:val="false"/>
              </w:rPr>
            </w:pPr>
            <w:r>
              <w:rPr>
                <w:rFonts w:cs="Times New Roman"/>
                <w:b w:val="false"/>
                <w:bCs w:val="false"/>
                <w:sz w:val="20"/>
                <w:szCs w:val="20"/>
              </w:rPr>
              <w:t>___________________ А.Е. Кузнецова</w:t>
            </w:r>
          </w:p>
        </w:tc>
        <w:tc>
          <w:tcPr>
            <w:tcW w:w="4822" w:type="dxa"/>
            <w:tcBorders/>
          </w:tcPr>
          <w:p>
            <w:pPr>
              <w:pStyle w:val="Normal"/>
              <w:jc w:val="both"/>
              <w:rPr/>
            </w:pPr>
            <w:r>
              <w:rPr/>
            </w:r>
          </w:p>
          <w:p>
            <w:pPr>
              <w:pStyle w:val="Normal"/>
              <w:jc w:val="both"/>
              <w:rPr>
                <w:color w:val="auto"/>
                <w:highlight w:val="none"/>
                <w:shd w:fill="auto" w:val="clear"/>
              </w:rPr>
            </w:pPr>
            <w:r>
              <w:rPr>
                <w:b/>
                <w:bCs/>
                <w:color w:val="auto"/>
                <w:shd w:fill="auto" w:val="clear"/>
              </w:rPr>
              <w:t>Поставщик:</w:t>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pPr>
            <w:r>
              <w:rPr/>
            </w:r>
          </w:p>
          <w:p>
            <w:pPr>
              <w:pStyle w:val="Normal"/>
              <w:rPr/>
            </w:pPr>
            <w:r>
              <w:rPr/>
            </w:r>
          </w:p>
          <w:p>
            <w:pPr>
              <w:pStyle w:val="Normal"/>
              <w:rPr/>
            </w:pPr>
            <w:r>
              <w:rPr/>
            </w:r>
          </w:p>
          <w:p>
            <w:pPr>
              <w:pStyle w:val="Normal"/>
              <w:rPr/>
            </w:pPr>
            <w:r>
              <w:rPr/>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even" r:id="rId2"/>
          <w:footerReference w:type="default" r:id="rId3"/>
          <w:footerReference w:type="first" r:id="rId4"/>
          <w:type w:val="nextPage"/>
          <w:pgSz w:w="11906" w:h="16838"/>
          <w:pgMar w:left="851" w:right="567" w:gutter="0" w:header="0" w:top="709" w:footer="0" w:bottom="1134"/>
          <w:pgNumType w:fmt="decimal"/>
          <w:formProt w:val="false"/>
          <w:textDirection w:val="lrTb"/>
          <w:docGrid w:type="default" w:linePitch="360" w:charSpace="8192"/>
        </w:sectPr>
      </w:pPr>
    </w:p>
    <w:p>
      <w:pPr>
        <w:pStyle w:val="Normal"/>
        <w:spacing w:before="0" w:after="60"/>
        <w:jc w:val="right"/>
        <w:rPr>
          <w:rFonts w:ascii="Times New Roman" w:hAnsi="Times New Roman"/>
          <w:sz w:val="20"/>
          <w:szCs w:val="20"/>
        </w:rPr>
      </w:pPr>
      <w:r>
        <w:rPr>
          <w:sz w:val="20"/>
          <w:szCs w:val="20"/>
        </w:rPr>
        <w:t xml:space="preserve">Приложение №1 </w:t>
      </w:r>
    </w:p>
    <w:p>
      <w:pPr>
        <w:pStyle w:val="Normal"/>
        <w:spacing w:before="0" w:after="60"/>
        <w:jc w:val="right"/>
        <w:rPr>
          <w:rFonts w:ascii="Times New Roman" w:hAnsi="Times New Roman"/>
          <w:sz w:val="20"/>
          <w:szCs w:val="20"/>
        </w:rPr>
      </w:pPr>
      <w:r>
        <w:rPr>
          <w:sz w:val="20"/>
          <w:szCs w:val="20"/>
        </w:rPr>
        <w:t xml:space="preserve">                                                                                                                         </w:t>
      </w:r>
      <w:bookmarkStart w:id="9" w:name="_Hlk180496427"/>
      <w:r>
        <w:rPr>
          <w:sz w:val="20"/>
          <w:szCs w:val="20"/>
        </w:rPr>
        <w:t xml:space="preserve">к Контракту </w:t>
      </w:r>
      <w:r>
        <w:rPr>
          <w:b/>
          <w:bCs/>
          <w:sz w:val="20"/>
          <w:szCs w:val="20"/>
        </w:rPr>
        <w:t>№_______</w:t>
      </w:r>
    </w:p>
    <w:p>
      <w:pPr>
        <w:pStyle w:val="Normal"/>
        <w:spacing w:before="0" w:after="60"/>
        <w:jc w:val="right"/>
        <w:rPr>
          <w:rFonts w:ascii="Times New Roman" w:hAnsi="Times New Roman"/>
          <w:sz w:val="20"/>
          <w:szCs w:val="20"/>
        </w:rPr>
      </w:pPr>
      <w:r>
        <w:rPr>
          <w:sz w:val="20"/>
          <w:szCs w:val="20"/>
        </w:rPr>
        <w:t xml:space="preserve">                                                                                                                                </w:t>
      </w:r>
      <w:r>
        <w:rPr>
          <w:rFonts w:eastAsia="Calibri"/>
          <w:sz w:val="20"/>
          <w:szCs w:val="20"/>
          <w:lang w:eastAsia="en-US"/>
        </w:rPr>
        <w:t>«      »               2026г.</w:t>
      </w:r>
      <w:bookmarkEnd w:id="9"/>
    </w:p>
    <w:p>
      <w:pPr>
        <w:pStyle w:val="Normal"/>
        <w:spacing w:before="0" w:after="60"/>
        <w:jc w:val="center"/>
        <w:rPr>
          <w:rFonts w:ascii="Times New Roman" w:hAnsi="Times New Roman"/>
          <w:sz w:val="20"/>
          <w:szCs w:val="20"/>
        </w:rPr>
      </w:pPr>
      <w:r>
        <w:rPr>
          <w:b/>
          <w:bCs/>
          <w:sz w:val="20"/>
          <w:szCs w:val="20"/>
        </w:rPr>
        <w:t>Спецификация</w:t>
      </w:r>
    </w:p>
    <w:p>
      <w:pPr>
        <w:pStyle w:val="Normal"/>
        <w:spacing w:before="0" w:after="60"/>
        <w:jc w:val="center"/>
        <w:rPr>
          <w:rFonts w:ascii="Times New Roman" w:hAnsi="Times New Roman"/>
          <w:b/>
          <w:bCs/>
          <w:sz w:val="20"/>
          <w:szCs w:val="20"/>
        </w:rPr>
      </w:pPr>
      <w:r>
        <w:rPr>
          <w:b/>
          <w:bCs/>
          <w:sz w:val="20"/>
          <w:szCs w:val="20"/>
        </w:rPr>
      </w:r>
    </w:p>
    <w:tbl>
      <w:tblPr>
        <w:tblW w:w="15714" w:type="dxa"/>
        <w:jc w:val="left"/>
        <w:tblInd w:w="113" w:type="dxa"/>
        <w:tblLayout w:type="fixed"/>
        <w:tblCellMar>
          <w:top w:w="0" w:type="dxa"/>
          <w:left w:w="108" w:type="dxa"/>
          <w:bottom w:w="0" w:type="dxa"/>
          <w:right w:w="108" w:type="dxa"/>
        </w:tblCellMar>
        <w:tblLook w:val="01e0" w:noHBand="0" w:noVBand="0" w:firstColumn="1" w:lastRow="1" w:lastColumn="1" w:firstRow="1"/>
      </w:tblPr>
      <w:tblGrid>
        <w:gridCol w:w="625"/>
        <w:gridCol w:w="5550"/>
        <w:gridCol w:w="1495"/>
        <w:gridCol w:w="515"/>
        <w:gridCol w:w="888"/>
        <w:gridCol w:w="1865"/>
        <w:gridCol w:w="1136"/>
        <w:gridCol w:w="1207"/>
        <w:gridCol w:w="1161"/>
        <w:gridCol w:w="1272"/>
      </w:tblGrid>
      <w:tr>
        <w:trPr>
          <w:trHeight w:val="574" w:hRule="atLeast"/>
        </w:trPr>
        <w:tc>
          <w:tcPr>
            <w:tcW w:w="6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w:t>
            </w:r>
          </w:p>
          <w:p>
            <w:pPr>
              <w:pStyle w:val="Normal"/>
              <w:widowControl w:val="false"/>
              <w:jc w:val="center"/>
              <w:rPr>
                <w:rFonts w:ascii="Times New Roman" w:hAnsi="Times New Roman"/>
                <w:sz w:val="20"/>
                <w:szCs w:val="20"/>
              </w:rPr>
            </w:pPr>
            <w:r>
              <w:rPr>
                <w:sz w:val="20"/>
                <w:szCs w:val="20"/>
                <w:shd w:fill="auto" w:val="clear"/>
              </w:rPr>
              <w:t>п/п</w:t>
            </w:r>
          </w:p>
        </w:tc>
        <w:tc>
          <w:tcPr>
            <w:tcW w:w="55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Наименование, минимальные технические (качественные) характеристики  товара</w:t>
            </w:r>
          </w:p>
        </w:tc>
        <w:tc>
          <w:tcPr>
            <w:tcW w:w="1495"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sz w:val="20"/>
                <w:szCs w:val="20"/>
              </w:rPr>
            </w:pPr>
            <w:r>
              <w:rPr>
                <w:sz w:val="20"/>
                <w:szCs w:val="20"/>
              </w:rPr>
              <w:t>ОКПД 2</w:t>
            </w:r>
          </w:p>
        </w:tc>
        <w:tc>
          <w:tcPr>
            <w:tcW w:w="1403" w:type="dxa"/>
            <w:gridSpan w:val="2"/>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sz w:val="20"/>
                <w:szCs w:val="20"/>
              </w:rPr>
            </w:pPr>
            <w:r>
              <w:rPr>
                <w:sz w:val="20"/>
                <w:szCs w:val="20"/>
              </w:rPr>
              <w:t>Страна происхождения товара</w:t>
            </w:r>
          </w:p>
        </w:tc>
        <w:tc>
          <w:tcPr>
            <w:tcW w:w="1865"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sz w:val="20"/>
                <w:szCs w:val="20"/>
              </w:rPr>
            </w:pPr>
            <w:r>
              <w:rPr>
                <w:sz w:val="20"/>
                <w:szCs w:val="20"/>
              </w:rPr>
              <w:t>Номер и дата регистрационного удостоверения</w:t>
            </w:r>
          </w:p>
        </w:tc>
        <w:tc>
          <w:tcPr>
            <w:tcW w:w="11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0"/>
                <w:szCs w:val="20"/>
              </w:rPr>
            </w:pPr>
            <w:r>
              <w:rPr>
                <w:sz w:val="20"/>
                <w:szCs w:val="20"/>
                <w:shd w:fill="auto" w:val="clear"/>
              </w:rPr>
              <w:t>Кол-во</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Ед. изм.</w:t>
            </w:r>
          </w:p>
        </w:tc>
        <w:tc>
          <w:tcPr>
            <w:tcW w:w="11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jc w:val="center"/>
              <w:rPr>
                <w:rFonts w:ascii="Times New Roman" w:hAnsi="Times New Roman"/>
                <w:sz w:val="20"/>
                <w:szCs w:val="20"/>
              </w:rPr>
            </w:pPr>
            <w:r>
              <w:rPr>
                <w:color w:val="000000"/>
                <w:spacing w:val="-11"/>
                <w:sz w:val="20"/>
                <w:szCs w:val="20"/>
                <w:shd w:fill="auto" w:val="clear"/>
              </w:rPr>
              <w:t>Стоимость единицы с НДС , рублей</w:t>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jc w:val="center"/>
              <w:rPr>
                <w:rFonts w:ascii="Times New Roman" w:hAnsi="Times New Roman"/>
                <w:sz w:val="20"/>
                <w:szCs w:val="20"/>
              </w:rPr>
            </w:pPr>
            <w:r>
              <w:rPr>
                <w:color w:val="000000"/>
                <w:spacing w:val="-11"/>
                <w:sz w:val="20"/>
                <w:szCs w:val="20"/>
                <w:shd w:fill="auto" w:val="clear"/>
              </w:rPr>
              <w:t>Общая стоимость с НДС, рублей</w:t>
            </w:r>
          </w:p>
        </w:tc>
      </w:tr>
      <w:tr>
        <w:trPr>
          <w:trHeight w:val="406" w:hRule="atLeast"/>
        </w:trPr>
        <w:tc>
          <w:tcPr>
            <w:tcW w:w="625" w:type="dxa"/>
            <w:tcBorders>
              <w:top w:val="single" w:sz="4" w:space="0" w:color="000000"/>
              <w:left w:val="single" w:sz="10"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1</w:t>
            </w:r>
          </w:p>
        </w:tc>
        <w:tc>
          <w:tcPr>
            <w:tcW w:w="5550" w:type="dxa"/>
            <w:tcBorders>
              <w:top w:val="single" w:sz="4" w:space="0" w:color="000001"/>
              <w:left w:val="single" w:sz="4" w:space="0" w:color="000001"/>
              <w:bottom w:val="single" w:sz="4" w:space="0" w:color="000000"/>
              <w:right w:val="single" w:sz="4" w:space="0" w:color="000000"/>
            </w:tcBorders>
          </w:tcPr>
          <w:p>
            <w:pPr>
              <w:pStyle w:val="Normal"/>
              <w:widowControl w:val="false"/>
              <w:rPr>
                <w:b/>
                <w:bCs/>
                <w:shd w:fill="auto" w:val="clear"/>
              </w:rPr>
            </w:pPr>
            <w:r>
              <w:rPr>
                <w:b/>
                <w:bCs/>
                <w:shd w:fill="auto" w:val="clear"/>
              </w:rPr>
              <w:t xml:space="preserve">Электрокардиостимулятор имплантируемый двухкамерный Kora 250 DR </w:t>
            </w:r>
          </w:p>
          <w:p>
            <w:pPr>
              <w:pStyle w:val="Normal"/>
              <w:widowControl w:val="false"/>
              <w:rPr>
                <w:b/>
                <w:bCs/>
                <w:shd w:fill="auto" w:val="clear"/>
              </w:rPr>
            </w:pPr>
            <w:r>
              <w:rPr>
                <w:b/>
                <w:bCs/>
                <w:shd w:fill="auto" w:val="clear"/>
              </w:rPr>
            </w:r>
          </w:p>
          <w:p>
            <w:pPr>
              <w:pStyle w:val="Normal"/>
              <w:widowControl w:val="false"/>
              <w:jc w:val="left"/>
              <w:rPr>
                <w:shd w:fill="auto" w:val="clear"/>
              </w:rPr>
            </w:pPr>
            <w:r>
              <w:rPr>
                <w:shd w:fill="auto" w:val="clear"/>
              </w:rPr>
              <w:t>Масса</w:t>
              <w:tab/>
              <w:t>20 г</w:t>
            </w:r>
          </w:p>
          <w:p>
            <w:pPr>
              <w:pStyle w:val="Normal"/>
              <w:widowControl w:val="false"/>
              <w:jc w:val="left"/>
              <w:rPr>
                <w:shd w:fill="auto" w:val="clear"/>
              </w:rPr>
            </w:pPr>
            <w:r>
              <w:rPr>
                <w:shd w:fill="auto" w:val="clear"/>
              </w:rPr>
              <w:t>Высота электрокардиостимулятора</w:t>
              <w:tab/>
              <w:t>41,5 мм</w:t>
            </w:r>
          </w:p>
          <w:p>
            <w:pPr>
              <w:pStyle w:val="Normal"/>
              <w:widowControl w:val="false"/>
              <w:jc w:val="left"/>
              <w:rPr>
                <w:shd w:fill="auto" w:val="clear"/>
              </w:rPr>
            </w:pPr>
            <w:r>
              <w:rPr>
                <w:shd w:fill="auto" w:val="clear"/>
              </w:rPr>
              <w:t>Ширина электрокардиостимулятора</w:t>
              <w:tab/>
              <w:t>41,2 мм</w:t>
            </w:r>
          </w:p>
          <w:p>
            <w:pPr>
              <w:pStyle w:val="Normal"/>
              <w:widowControl w:val="false"/>
              <w:jc w:val="left"/>
              <w:rPr>
                <w:shd w:fill="auto" w:val="clear"/>
              </w:rPr>
            </w:pPr>
            <w:r>
              <w:rPr>
                <w:shd w:fill="auto" w:val="clear"/>
              </w:rPr>
              <w:t>Глубина электрокардиостимулятора</w:t>
              <w:tab/>
              <w:t>6,1 мм</w:t>
            </w:r>
          </w:p>
          <w:p>
            <w:pPr>
              <w:pStyle w:val="Normal"/>
              <w:widowControl w:val="false"/>
              <w:jc w:val="left"/>
              <w:rPr>
                <w:shd w:fill="auto" w:val="clear"/>
              </w:rPr>
            </w:pPr>
            <w:r>
              <w:rPr>
                <w:shd w:fill="auto" w:val="clear"/>
              </w:rPr>
              <w:t>Объем</w:t>
              <w:tab/>
              <w:t>8 см³</w:t>
            </w:r>
          </w:p>
          <w:p>
            <w:pPr>
              <w:pStyle w:val="Normal"/>
              <w:widowControl w:val="false"/>
              <w:jc w:val="left"/>
              <w:rPr>
                <w:shd w:fill="auto" w:val="clear"/>
              </w:rPr>
            </w:pPr>
            <w:r>
              <w:rPr>
                <w:shd w:fill="auto" w:val="clear"/>
              </w:rPr>
              <w:t>Тип коннекторной части для подсоединения электродов</w:t>
              <w:tab/>
              <w:t>IS-1</w:t>
              <w:tab/>
            </w:r>
          </w:p>
          <w:p>
            <w:pPr>
              <w:pStyle w:val="Normal"/>
              <w:widowControl w:val="false"/>
              <w:jc w:val="left"/>
              <w:rPr>
                <w:shd w:fill="auto" w:val="clear"/>
              </w:rPr>
            </w:pPr>
            <w:r>
              <w:rPr>
                <w:shd w:fill="auto" w:val="clear"/>
              </w:rPr>
              <w:t>Поддерживаемые режимы стимуляции</w:t>
              <w:tab/>
              <w:t>DDDR; DDD; DDIR; DDI; AAIR; AAI; VVIR; VVI; DOO; AOO; VOO</w:t>
              <w:tab/>
            </w:r>
          </w:p>
          <w:p>
            <w:pPr>
              <w:pStyle w:val="Normal"/>
              <w:widowControl w:val="false"/>
              <w:jc w:val="left"/>
              <w:rPr>
                <w:shd w:fill="auto" w:val="clear"/>
              </w:rPr>
            </w:pPr>
            <w:r>
              <w:rPr>
                <w:shd w:fill="auto" w:val="clear"/>
              </w:rPr>
              <w:t>Минимальное значение регулировки базовой (основной) частоты стимуляции</w:t>
              <w:tab/>
              <w:t>30 ударов в минуту</w:t>
            </w:r>
          </w:p>
          <w:p>
            <w:pPr>
              <w:pStyle w:val="Normal"/>
              <w:widowControl w:val="false"/>
              <w:jc w:val="left"/>
              <w:rPr>
                <w:shd w:fill="auto" w:val="clear"/>
              </w:rPr>
            </w:pPr>
            <w:r>
              <w:rPr>
                <w:shd w:fill="auto" w:val="clear"/>
              </w:rPr>
              <w:t>Максимальное значение регулировки базовой (основной) частоты стимуляции</w:t>
              <w:tab/>
              <w:t>95 ударов в минуту</w:t>
            </w:r>
          </w:p>
          <w:p>
            <w:pPr>
              <w:pStyle w:val="Normal"/>
              <w:widowControl w:val="false"/>
              <w:jc w:val="left"/>
              <w:rPr>
                <w:shd w:fill="auto" w:val="clear"/>
              </w:rPr>
            </w:pPr>
            <w:r>
              <w:rPr>
                <w:shd w:fill="auto" w:val="clear"/>
              </w:rPr>
              <w:t>Минимальное значение регулировки максимальной сенсорной частоты</w:t>
              <w:tab/>
              <w:t>100 ударов в минуту</w:t>
            </w:r>
          </w:p>
          <w:p>
            <w:pPr>
              <w:pStyle w:val="Normal"/>
              <w:widowControl w:val="false"/>
              <w:jc w:val="left"/>
              <w:rPr>
                <w:shd w:fill="auto" w:val="clear"/>
              </w:rPr>
            </w:pPr>
            <w:r>
              <w:rPr>
                <w:shd w:fill="auto" w:val="clear"/>
              </w:rPr>
              <w:t>Максимальное значение регулировки максимальной сенсорной частоты</w:t>
              <w:tab/>
              <w:t>185 ударов в минуту</w:t>
            </w:r>
          </w:p>
          <w:p>
            <w:pPr>
              <w:pStyle w:val="Normal"/>
              <w:widowControl w:val="false"/>
              <w:jc w:val="left"/>
              <w:rPr>
                <w:shd w:fill="auto" w:val="clear"/>
              </w:rPr>
            </w:pPr>
            <w:r>
              <w:rPr>
                <w:shd w:fill="auto" w:val="clear"/>
              </w:rPr>
              <w:t>Минимальное значение регулировки максимальной частоты отслеживания</w:t>
              <w:tab/>
              <w:t>100 ударов в минуту</w:t>
            </w:r>
          </w:p>
          <w:p>
            <w:pPr>
              <w:pStyle w:val="Normal"/>
              <w:widowControl w:val="false"/>
              <w:jc w:val="left"/>
              <w:rPr>
                <w:shd w:fill="auto" w:val="clear"/>
              </w:rPr>
            </w:pPr>
            <w:r>
              <w:rPr>
                <w:shd w:fill="auto" w:val="clear"/>
              </w:rPr>
              <w:t>Максимальное значение регулировки максимальной частоты отслеживания</w:t>
              <w:tab/>
              <w:t>185 ударов в минуту</w:t>
            </w:r>
          </w:p>
          <w:p>
            <w:pPr>
              <w:pStyle w:val="Normal"/>
              <w:widowControl w:val="false"/>
              <w:jc w:val="left"/>
              <w:rPr>
                <w:shd w:fill="auto" w:val="clear"/>
              </w:rPr>
            </w:pPr>
            <w:r>
              <w:rPr>
                <w:shd w:fill="auto" w:val="clear"/>
              </w:rPr>
              <w:t>Минимальное значение амплитуд стимулирующих импульсов (П/ПЖ)</w:t>
              <w:tab/>
              <w:t xml:space="preserve"> 1,5В</w:t>
            </w:r>
          </w:p>
          <w:p>
            <w:pPr>
              <w:pStyle w:val="Normal"/>
              <w:widowControl w:val="false"/>
              <w:jc w:val="left"/>
              <w:rPr>
                <w:shd w:fill="auto" w:val="clear"/>
              </w:rPr>
            </w:pPr>
            <w:r>
              <w:rPr>
                <w:shd w:fill="auto" w:val="clear"/>
              </w:rPr>
              <w:t>Максимальное значение амплитуд стимулирующих импульсов (П/ПЖ)</w:t>
              <w:tab/>
              <w:t xml:space="preserve"> 7,5 В</w:t>
            </w:r>
          </w:p>
          <w:p>
            <w:pPr>
              <w:pStyle w:val="Normal"/>
              <w:widowControl w:val="false"/>
              <w:jc w:val="left"/>
              <w:rPr>
                <w:shd w:fill="auto" w:val="clear"/>
              </w:rPr>
            </w:pPr>
            <w:r>
              <w:rPr>
                <w:shd w:fill="auto" w:val="clear"/>
              </w:rPr>
              <w:t>Минимальное значение регулировки длительности (ширины), стимулирующего импульса</w:t>
              <w:tab/>
              <w:t>0,1 мс</w:t>
            </w:r>
          </w:p>
          <w:p>
            <w:pPr>
              <w:pStyle w:val="Normal"/>
              <w:widowControl w:val="false"/>
              <w:jc w:val="left"/>
              <w:rPr>
                <w:shd w:fill="auto" w:val="clear"/>
              </w:rPr>
            </w:pPr>
            <w:r>
              <w:rPr>
                <w:shd w:fill="auto" w:val="clear"/>
              </w:rPr>
              <w:t>Максимальное значение регулировки длительности (ширины), стимулирующего импульса</w:t>
              <w:tab/>
              <w:t xml:space="preserve"> 1 мс</w:t>
            </w:r>
          </w:p>
          <w:p>
            <w:pPr>
              <w:pStyle w:val="Normal"/>
              <w:widowControl w:val="false"/>
              <w:jc w:val="left"/>
              <w:rPr>
                <w:shd w:fill="auto" w:val="clear"/>
              </w:rPr>
            </w:pPr>
            <w:r>
              <w:rPr>
                <w:shd w:fill="auto" w:val="clear"/>
              </w:rPr>
              <w:t>Минимальное значение регулировки чувствительности к предсердным сигналам</w:t>
              <w:tab/>
              <w:t>0,1 мВ</w:t>
            </w:r>
          </w:p>
          <w:p>
            <w:pPr>
              <w:pStyle w:val="Normal"/>
              <w:widowControl w:val="false"/>
              <w:jc w:val="left"/>
              <w:rPr>
                <w:shd w:fill="auto" w:val="clear"/>
              </w:rPr>
            </w:pPr>
            <w:r>
              <w:rPr>
                <w:shd w:fill="auto" w:val="clear"/>
              </w:rPr>
              <w:t>Функция частотной адаптации</w:t>
              <w:tab/>
              <w:t>Наличие</w:t>
              <w:tab/>
            </w:r>
          </w:p>
          <w:p>
            <w:pPr>
              <w:pStyle w:val="Normal"/>
              <w:widowControl w:val="false"/>
              <w:jc w:val="left"/>
              <w:rPr>
                <w:shd w:fill="auto" w:val="clear"/>
              </w:rPr>
            </w:pPr>
            <w:r>
              <w:rPr>
                <w:shd w:fill="auto" w:val="clear"/>
              </w:rPr>
              <w:t>Минимальное значение АВ задержки</w:t>
              <w:tab/>
              <w:t>30 мс</w:t>
            </w:r>
          </w:p>
          <w:p>
            <w:pPr>
              <w:pStyle w:val="Normal"/>
              <w:widowControl w:val="false"/>
              <w:jc w:val="left"/>
              <w:rPr>
                <w:shd w:fill="auto" w:val="clear"/>
              </w:rPr>
            </w:pPr>
            <w:r>
              <w:rPr>
                <w:shd w:fill="auto" w:val="clear"/>
              </w:rPr>
              <w:t>Максимальное значение АВ задержки</w:t>
              <w:tab/>
              <w:t>250 мс</w:t>
            </w:r>
          </w:p>
          <w:p>
            <w:pPr>
              <w:pStyle w:val="Normal"/>
              <w:widowControl w:val="false"/>
              <w:jc w:val="left"/>
              <w:rPr>
                <w:shd w:fill="auto" w:val="clear"/>
              </w:rPr>
            </w:pPr>
            <w:r>
              <w:rPr>
                <w:shd w:fill="auto" w:val="clear"/>
              </w:rPr>
              <w:t xml:space="preserve">Минимальное значение предсердной чувствительности, </w:t>
              <w:tab/>
              <w:t>0,1 мВ</w:t>
            </w:r>
          </w:p>
          <w:p>
            <w:pPr>
              <w:pStyle w:val="Normal"/>
              <w:widowControl w:val="false"/>
              <w:jc w:val="left"/>
              <w:rPr>
                <w:shd w:fill="auto" w:val="clear"/>
              </w:rPr>
            </w:pPr>
            <w:r>
              <w:rPr>
                <w:shd w:fill="auto" w:val="clear"/>
              </w:rPr>
              <w:t>Максимальное значение предсердной чувствительности</w:t>
              <w:tab/>
              <w:t>6 мВ</w:t>
            </w:r>
          </w:p>
          <w:p>
            <w:pPr>
              <w:pStyle w:val="Normal"/>
              <w:widowControl w:val="false"/>
              <w:jc w:val="left"/>
              <w:rPr>
                <w:shd w:fill="auto" w:val="clear"/>
              </w:rPr>
            </w:pPr>
            <w:r>
              <w:rPr>
                <w:shd w:fill="auto" w:val="clear"/>
              </w:rPr>
              <w:t>Минимальное значение желудочковой чувствительности</w:t>
              <w:tab/>
              <w:t xml:space="preserve"> 1 мВ</w:t>
            </w:r>
          </w:p>
          <w:p>
            <w:pPr>
              <w:pStyle w:val="Normal"/>
              <w:widowControl w:val="false"/>
              <w:jc w:val="left"/>
              <w:rPr>
                <w:shd w:fill="auto" w:val="clear"/>
              </w:rPr>
            </w:pPr>
            <w:r>
              <w:rPr>
                <w:shd w:fill="auto" w:val="clear"/>
              </w:rPr>
              <w:t>Максимальное значение желудочковой чувствительности</w:t>
              <w:tab/>
              <w:t>15 мВ</w:t>
            </w:r>
          </w:p>
          <w:p>
            <w:pPr>
              <w:pStyle w:val="Normal"/>
              <w:widowControl w:val="false"/>
              <w:jc w:val="left"/>
              <w:rPr>
                <w:shd w:fill="auto" w:val="clear"/>
              </w:rPr>
            </w:pPr>
            <w:r>
              <w:rPr>
                <w:shd w:fill="auto" w:val="clear"/>
              </w:rPr>
              <w:t>Количество сенсоров</w:t>
              <w:tab/>
              <w:t xml:space="preserve"> 2 шт</w:t>
            </w:r>
          </w:p>
          <w:p>
            <w:pPr>
              <w:pStyle w:val="Normal"/>
              <w:widowControl w:val="false"/>
              <w:jc w:val="left"/>
              <w:rPr>
                <w:shd w:fill="auto" w:val="clear"/>
              </w:rPr>
            </w:pPr>
            <w:r>
              <w:rPr>
                <w:shd w:fill="auto" w:val="clear"/>
              </w:rPr>
              <w:t>Тип сенсора</w:t>
              <w:tab/>
              <w:t xml:space="preserve">Акселерометр; Физиологический импедансный </w:t>
              <w:tab/>
            </w:r>
          </w:p>
          <w:p>
            <w:pPr>
              <w:pStyle w:val="Normal"/>
              <w:widowControl w:val="false"/>
              <w:jc w:val="left"/>
              <w:rPr>
                <w:shd w:fill="auto" w:val="clear"/>
              </w:rPr>
            </w:pPr>
            <w:r>
              <w:rPr>
                <w:shd w:fill="auto" w:val="clear"/>
              </w:rPr>
              <w:t xml:space="preserve">Выбор сенсоров частотной адаптации </w:t>
              <w:tab/>
              <w:t>Наличие</w:t>
              <w:tab/>
            </w:r>
          </w:p>
          <w:p>
            <w:pPr>
              <w:pStyle w:val="Normal"/>
              <w:widowControl w:val="false"/>
              <w:jc w:val="left"/>
              <w:rPr>
                <w:shd w:fill="auto" w:val="clear"/>
              </w:rPr>
            </w:pPr>
            <w:r>
              <w:rPr>
                <w:shd w:fill="auto" w:val="clear"/>
              </w:rPr>
              <w:t xml:space="preserve">Работа обоих сенсоров одновременно </w:t>
              <w:tab/>
              <w:t>Наличие</w:t>
              <w:tab/>
            </w:r>
          </w:p>
          <w:p>
            <w:pPr>
              <w:pStyle w:val="Normal"/>
              <w:widowControl w:val="false"/>
              <w:jc w:val="left"/>
              <w:rPr>
                <w:shd w:fill="auto" w:val="clear"/>
              </w:rPr>
            </w:pPr>
            <w:r>
              <w:rPr>
                <w:shd w:fill="auto" w:val="clear"/>
              </w:rPr>
              <w:t>Измерение импеданса предсердного и желудочкового электродов</w:t>
              <w:tab/>
              <w:t>Автоматическое</w:t>
              <w:tab/>
            </w:r>
          </w:p>
          <w:p>
            <w:pPr>
              <w:pStyle w:val="Normal"/>
              <w:widowControl w:val="false"/>
              <w:jc w:val="left"/>
              <w:rPr>
                <w:shd w:fill="auto" w:val="clear"/>
              </w:rPr>
            </w:pPr>
            <w:r>
              <w:rPr>
                <w:shd w:fill="auto" w:val="clear"/>
              </w:rPr>
              <w:t>Управление амплитудой стимуляции желудочка</w:t>
              <w:tab/>
              <w:t>Автоматическое</w:t>
              <w:tab/>
            </w:r>
          </w:p>
          <w:p>
            <w:pPr>
              <w:pStyle w:val="Normal"/>
              <w:widowControl w:val="false"/>
              <w:jc w:val="left"/>
              <w:rPr>
                <w:shd w:fill="auto" w:val="clear"/>
              </w:rPr>
            </w:pPr>
            <w:r>
              <w:rPr>
                <w:shd w:fill="auto" w:val="clear"/>
              </w:rPr>
              <w:t>Активация всех функций диагностики сразу после детекции имплантации</w:t>
              <w:tab/>
              <w:t>Автоматическая</w:t>
              <w:tab/>
            </w:r>
          </w:p>
          <w:p>
            <w:pPr>
              <w:pStyle w:val="Normal"/>
              <w:widowControl w:val="false"/>
              <w:jc w:val="left"/>
              <w:rPr>
                <w:shd w:fill="auto" w:val="clear"/>
              </w:rPr>
            </w:pPr>
            <w:r>
              <w:rPr>
                <w:shd w:fill="auto" w:val="clear"/>
              </w:rPr>
              <w:t>МР-совместимость</w:t>
              <w:tab/>
              <w:t>Наличие</w:t>
              <w:tab/>
            </w:r>
          </w:p>
          <w:p>
            <w:pPr>
              <w:pStyle w:val="Normal"/>
              <w:widowControl w:val="false"/>
              <w:jc w:val="left"/>
              <w:rPr>
                <w:shd w:fill="auto" w:val="clear"/>
              </w:rPr>
            </w:pPr>
            <w:r>
              <w:rPr>
                <w:shd w:fill="auto" w:val="clear"/>
              </w:rPr>
              <w:t>Количество электродов активной фиксации</w:t>
              <w:tab/>
              <w:t>2 шт</w:t>
            </w:r>
          </w:p>
          <w:p>
            <w:pPr>
              <w:pStyle w:val="Normal"/>
              <w:widowControl w:val="false"/>
              <w:jc w:val="left"/>
              <w:rPr>
                <w:shd w:fill="auto" w:val="clear"/>
              </w:rPr>
            </w:pPr>
            <w:r>
              <w:rPr>
                <w:shd w:fill="auto" w:val="clear"/>
              </w:rPr>
              <w:t>Количество интродьюсеров разрывных</w:t>
              <w:tab/>
              <w:t>2 шт</w:t>
            </w:r>
          </w:p>
          <w:p>
            <w:pPr>
              <w:pStyle w:val="Style25"/>
              <w:rPr>
                <w:rFonts w:ascii="Times New Roman" w:hAnsi="Times New Roman" w:eastAsia="Times New Roman" w:cs="Times New Roman"/>
                <w:b/>
                <w:bCs/>
                <w:i w:val="false"/>
                <w:i w:val="false"/>
                <w:iCs/>
                <w:strike w:val="false"/>
                <w:dstrike w:val="false"/>
                <w:outline w:val="false"/>
                <w:shadow w:val="false"/>
                <w:sz w:val="16"/>
                <w:szCs w:val="16"/>
                <w:u w:val="none"/>
                <w:shd w:fill="auto" w:val="clear"/>
                <w:em w:val="none"/>
              </w:rPr>
            </w:pPr>
            <w:r>
              <w:rPr>
                <w:rFonts w:eastAsia="Times New Roman" w:cs="Times New Roman" w:ascii="Times New Roman" w:hAnsi="Times New Roman"/>
                <w:b/>
                <w:bCs/>
                <w:i w:val="false"/>
                <w:iCs/>
                <w:strike w:val="false"/>
                <w:dstrike w:val="false"/>
                <w:outline w:val="false"/>
                <w:shadow w:val="false"/>
                <w:sz w:val="16"/>
                <w:szCs w:val="16"/>
                <w:u w:val="none"/>
                <w:shd w:fill="auto" w:val="clear"/>
                <w:em w:val="none"/>
              </w:rPr>
            </w:r>
          </w:p>
        </w:tc>
        <w:tc>
          <w:tcPr>
            <w:tcW w:w="1495" w:type="dxa"/>
            <w:tcBorders>
              <w:top w:val="single" w:sz="4" w:space="0" w:color="000000"/>
              <w:left w:val="single" w:sz="4" w:space="0" w:color="000000"/>
              <w:bottom w:val="single" w:sz="4" w:space="0" w:color="000000"/>
            </w:tcBorders>
            <w:shd w:color="FFFFFF" w:fill="auto" w:val="clear"/>
            <w:vAlign w:val="center"/>
          </w:tcPr>
          <w:p>
            <w:pPr>
              <w:pStyle w:val="Normal"/>
              <w:spacing w:lineRule="auto" w:line="240" w:before="0" w:after="0"/>
              <w:rPr>
                <w:rFonts w:ascii="Times New Roman" w:hAnsi="Times New Roman" w:cs="Times New Roman"/>
                <w:sz w:val="16"/>
                <w:szCs w:val="16"/>
                <w:shd w:fill="FFFFFF" w:val="clear"/>
              </w:rPr>
            </w:pPr>
            <w:r>
              <w:rPr>
                <w:rFonts w:eastAsia="" w:cs="Times New Roman"/>
                <w:b w:val="false"/>
                <w:i w:val="false"/>
                <w:strike w:val="false"/>
                <w:dstrike w:val="false"/>
                <w:outline w:val="false"/>
                <w:shadow w:val="false"/>
                <w:color w:val="000000"/>
                <w:kern w:val="0"/>
                <w:sz w:val="20"/>
                <w:szCs w:val="20"/>
                <w:u w:val="none"/>
                <w:shd w:fill="FFFFFF" w:val="clear"/>
                <w:em w:val="none"/>
                <w:lang w:val="ru-RU" w:eastAsia="ru-RU" w:bidi="ar-SA"/>
              </w:rPr>
              <w:t>26.60.14.110</w:t>
            </w:r>
          </w:p>
        </w:tc>
        <w:tc>
          <w:tcPr>
            <w:tcW w:w="1403" w:type="dxa"/>
            <w:gridSpan w:val="2"/>
            <w:tcBorders>
              <w:top w:val="single" w:sz="4" w:space="0" w:color="000000"/>
              <w:left w:val="single" w:sz="4" w:space="0" w:color="000000"/>
              <w:bottom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r>
          </w:p>
        </w:tc>
        <w:tc>
          <w:tcPr>
            <w:tcW w:w="1865" w:type="dxa"/>
            <w:tcBorders>
              <w:top w:val="single" w:sz="4" w:space="0" w:color="000000"/>
              <w:left w:val="single" w:sz="4" w:space="0" w:color="000000"/>
              <w:bottom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r>
          </w:p>
        </w:tc>
        <w:tc>
          <w:tcPr>
            <w:tcW w:w="1136"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шт</w:t>
            </w:r>
          </w:p>
        </w:tc>
        <w:tc>
          <w:tcPr>
            <w:tcW w:w="1207" w:type="dxa"/>
            <w:tcBorders>
              <w:top w:val="single" w:sz="4" w:space="0" w:color="000001"/>
              <w:left w:val="single" w:sz="4" w:space="0" w:color="000001"/>
              <w:bottom w:val="single" w:sz="4" w:space="0" w:color="000000"/>
            </w:tcBorders>
            <w:vAlign w:val="center"/>
          </w:tcPr>
          <w:p>
            <w:pPr>
              <w:pStyle w:val="Normal"/>
              <w:jc w:val="center"/>
              <w:rPr>
                <w:rFonts w:ascii="Times New Roman" w:hAnsi="Times New Roman"/>
                <w:sz w:val="20"/>
                <w:szCs w:val="20"/>
              </w:rPr>
            </w:pPr>
            <w:r>
              <w:rPr>
                <w:sz w:val="20"/>
                <w:szCs w:val="20"/>
                <w:shd w:fill="auto" w:val="clear"/>
              </w:rPr>
              <w:t>3</w:t>
            </w:r>
          </w:p>
        </w:tc>
        <w:tc>
          <w:tcPr>
            <w:tcW w:w="1161"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highlight w:val="none"/>
                <w:shd w:fill="auto" w:val="clear"/>
              </w:rPr>
            </w:pPr>
            <w:r>
              <w:rPr>
                <w:sz w:val="20"/>
                <w:szCs w:val="20"/>
                <w:shd w:fill="auto" w:val="clear"/>
              </w:rPr>
            </w:r>
          </w:p>
        </w:tc>
        <w:tc>
          <w:tcPr>
            <w:tcW w:w="1272" w:type="dxa"/>
            <w:tcBorders>
              <w:top w:val="single" w:sz="4" w:space="0" w:color="000000"/>
              <w:left w:val="single" w:sz="4" w:space="0" w:color="000000"/>
              <w:bottom w:val="single" w:sz="4" w:space="0" w:color="000000"/>
              <w:right w:val="single" w:sz="10" w:space="0" w:color="000000"/>
            </w:tcBorders>
            <w:shd w:color="FFFFFF" w:fill="auto" w:val="clear"/>
            <w:vAlign w:val="center"/>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574" w:hRule="atLeast"/>
        </w:trPr>
        <w:tc>
          <w:tcPr>
            <w:tcW w:w="625"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0"/>
                <w:szCs w:val="20"/>
                <w:highlight w:val="none"/>
                <w:shd w:fill="auto" w:val="clear"/>
              </w:rPr>
            </w:pPr>
            <w:r>
              <w:rPr>
                <w:b/>
                <w:bCs/>
                <w:sz w:val="20"/>
                <w:szCs w:val="20"/>
                <w:shd w:fill="auto" w:val="clear"/>
              </w:rPr>
            </w:r>
          </w:p>
        </w:tc>
        <w:tc>
          <w:tcPr>
            <w:tcW w:w="13817" w:type="dxa"/>
            <w:gridSpan w:val="8"/>
            <w:tcBorders>
              <w:top w:val="single" w:sz="4" w:space="0" w:color="000000"/>
              <w:left w:val="single" w:sz="4" w:space="0" w:color="000000"/>
              <w:bottom w:val="single" w:sz="4" w:space="0" w:color="000000"/>
              <w:right w:val="single" w:sz="4" w:space="0" w:color="000000"/>
            </w:tcBorders>
          </w:tcPr>
          <w:p>
            <w:pPr>
              <w:pStyle w:val="Normal"/>
              <w:jc w:val="right"/>
              <w:rPr>
                <w:rFonts w:ascii="Times New Roman" w:hAnsi="Times New Roman"/>
                <w:sz w:val="20"/>
                <w:szCs w:val="20"/>
              </w:rPr>
            </w:pPr>
            <w:r>
              <w:rPr>
                <w:sz w:val="20"/>
                <w:szCs w:val="20"/>
              </w:rPr>
            </w:r>
          </w:p>
          <w:p>
            <w:pPr>
              <w:pStyle w:val="Normal"/>
              <w:jc w:val="center"/>
              <w:rPr>
                <w:rFonts w:ascii="Times New Roman" w:hAnsi="Times New Roman"/>
                <w:sz w:val="20"/>
                <w:szCs w:val="20"/>
              </w:rPr>
            </w:pPr>
            <w:r>
              <w:rPr>
                <w:b/>
                <w:bCs/>
                <w:sz w:val="20"/>
                <w:szCs w:val="20"/>
                <w:shd w:fill="auto" w:val="clear"/>
              </w:rPr>
              <w:t>ИТОГО:</w:t>
            </w:r>
          </w:p>
        </w:tc>
        <w:tc>
          <w:tcPr>
            <w:tcW w:w="127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1831" w:hRule="atLeast"/>
        </w:trPr>
        <w:tc>
          <w:tcPr>
            <w:tcW w:w="8185" w:type="dxa"/>
            <w:gridSpan w:val="4"/>
            <w:tcBorders/>
            <w:shd w:color="auto" w:fill="auto" w:val="clear"/>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11"/>
              <w:rPr>
                <w:rFonts w:ascii="Times New Roman" w:hAnsi="Times New Roman"/>
                <w:sz w:val="20"/>
                <w:szCs w:val="20"/>
              </w:rPr>
            </w:pPr>
            <w:r>
              <w:rPr>
                <w:rFonts w:cs="Times New Roman" w:ascii="Times New Roman" w:hAnsi="Times New Roman"/>
                <w:b/>
                <w:bCs/>
                <w:sz w:val="20"/>
                <w:szCs w:val="20"/>
                <w:shd w:fill="auto" w:val="clear"/>
              </w:rPr>
              <w:t>Заказчик</w:t>
            </w:r>
          </w:p>
          <w:p>
            <w:pPr>
              <w:pStyle w:val="11"/>
              <w:rPr>
                <w:rFonts w:ascii="Times New Roman" w:hAnsi="Times New Roman"/>
                <w:sz w:val="20"/>
                <w:szCs w:val="20"/>
              </w:rPr>
            </w:pPr>
            <w:r>
              <w:rPr>
                <w:rFonts w:ascii="Times New Roman" w:hAnsi="Times New Roman"/>
                <w:sz w:val="20"/>
                <w:szCs w:val="20"/>
              </w:rPr>
            </w:r>
          </w:p>
          <w:p>
            <w:pPr>
              <w:pStyle w:val="Normal"/>
              <w:tabs>
                <w:tab w:val="clear" w:pos="708"/>
                <w:tab w:val="left" w:pos="7680" w:leader="none"/>
              </w:tabs>
              <w:rPr>
                <w:b w:val="false"/>
                <w:bCs w:val="false"/>
                <w:color w:val="000000"/>
              </w:rPr>
            </w:pPr>
            <w:r>
              <w:rPr>
                <w:b w:val="false"/>
                <w:bCs w:val="false"/>
                <w:color w:val="000000"/>
              </w:rPr>
              <w:t>Начальник отдела материально-</w:t>
            </w:r>
          </w:p>
          <w:p>
            <w:pPr>
              <w:pStyle w:val="Normal"/>
              <w:tabs>
                <w:tab w:val="clear" w:pos="708"/>
                <w:tab w:val="left" w:pos="7680" w:leader="none"/>
              </w:tabs>
              <w:rPr>
                <w:b w:val="false"/>
                <w:bCs w:val="false"/>
                <w:color w:val="000000"/>
              </w:rPr>
            </w:pPr>
            <w:r>
              <w:rPr>
                <w:b w:val="false"/>
                <w:bCs w:val="false"/>
                <w:color w:val="000000"/>
              </w:rPr>
              <w:t>технического снабжения</w:t>
            </w:r>
          </w:p>
          <w:p>
            <w:pPr>
              <w:pStyle w:val="Normal"/>
              <w:rPr/>
            </w:pPr>
            <w:r>
              <w:rPr/>
            </w:r>
          </w:p>
          <w:p>
            <w:pPr>
              <w:pStyle w:val="Normal"/>
              <w:rPr/>
            </w:pPr>
            <w:r>
              <w:rPr/>
            </w:r>
          </w:p>
          <w:p>
            <w:pPr>
              <w:pStyle w:val="Normal"/>
              <w:rPr/>
            </w:pPr>
            <w:r>
              <w:rPr>
                <w:rFonts w:cs="Times New Roman"/>
                <w:sz w:val="20"/>
                <w:szCs w:val="20"/>
                <w:shd w:fill="auto" w:val="clear"/>
              </w:rPr>
              <w:t>___________________ А.Е. Кузнецова</w:t>
            </w:r>
          </w:p>
        </w:tc>
        <w:tc>
          <w:tcPr>
            <w:tcW w:w="7529" w:type="dxa"/>
            <w:gridSpan w:val="6"/>
            <w:tcBorders/>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sz w:val="20"/>
                <w:szCs w:val="20"/>
              </w:rPr>
            </w:pPr>
            <w:r>
              <w:rPr>
                <w:b/>
                <w:color w:val="000000"/>
                <w:sz w:val="20"/>
                <w:szCs w:val="20"/>
                <w:shd w:fill="auto" w:val="clear"/>
              </w:rPr>
              <w:t>Поставщик</w:t>
            </w:r>
          </w:p>
          <w:p>
            <w:pPr>
              <w:pStyle w:val="Normal"/>
              <w:tabs>
                <w:tab w:val="clear" w:pos="708"/>
                <w:tab w:val="left" w:pos="7680" w:leader="none"/>
              </w:tabs>
              <w:rPr>
                <w:rFonts w:ascii="Times New Roman" w:hAnsi="Times New Roman"/>
                <w:sz w:val="20"/>
                <w:szCs w:val="20"/>
              </w:rPr>
            </w:pPr>
            <w:r>
              <w:rPr>
                <w:bCs/>
                <w:color w:val="000000"/>
                <w:sz w:val="20"/>
                <w:szCs w:val="20"/>
                <w:shd w:fill="auto" w:val="clear"/>
              </w:rPr>
              <w:t>______________/</w:t>
            </w:r>
            <w:r>
              <w:rPr>
                <w:sz w:val="20"/>
                <w:szCs w:val="20"/>
                <w:shd w:fill="auto" w:val="clear"/>
              </w:rPr>
              <w:t xml:space="preserve"> </w:t>
            </w:r>
            <w:r>
              <w:rPr>
                <w:bCs/>
                <w:color w:val="000000"/>
                <w:sz w:val="20"/>
                <w:szCs w:val="20"/>
                <w:shd w:fill="auto" w:val="clear"/>
              </w:rPr>
              <w:t>______________</w:t>
            </w:r>
          </w:p>
          <w:p>
            <w:pPr>
              <w:pStyle w:val="Normal"/>
              <w:rPr>
                <w:rFonts w:ascii="Times New Roman" w:hAnsi="Times New Roman"/>
                <w:sz w:val="20"/>
                <w:szCs w:val="20"/>
              </w:rPr>
            </w:pPr>
            <w:r>
              <w:rPr>
                <w:sz w:val="20"/>
                <w:szCs w:val="20"/>
                <w:shd w:fill="auto" w:val="clear"/>
              </w:rPr>
              <w:t>м.п.</w:t>
            </w:r>
          </w:p>
        </w:tc>
      </w:tr>
    </w:tbl>
    <w:p>
      <w:pPr>
        <w:pStyle w:val="Normal"/>
        <w:spacing w:before="0" w:after="60"/>
        <w:rPr>
          <w:rFonts w:ascii="Times New Roman" w:hAnsi="Times New Roman"/>
          <w:b/>
          <w:bCs/>
          <w:sz w:val="20"/>
          <w:szCs w:val="20"/>
        </w:rPr>
      </w:pPr>
      <w:r>
        <w:rPr>
          <w:b/>
          <w:bCs/>
          <w:sz w:val="20"/>
          <w:szCs w:val="20"/>
        </w:rPr>
      </w:r>
    </w:p>
    <w:sectPr>
      <w:footerReference w:type="even" r:id="rId5"/>
      <w:footerReference w:type="default" r:id="rId6"/>
      <w:footerReference w:type="first" r:id="rId7"/>
      <w:type w:val="nextPage"/>
      <w:pgSz w:orient="landscape" w:w="16838" w:h="11906"/>
      <w:pgMar w:left="720" w:right="720" w:gutter="0" w:header="0" w:top="720" w:footer="709" w:bottom="766"/>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Tahoma">
    <w:charset w:val="01"/>
    <w:family w:val="swiss"/>
    <w:pitch w:val="default"/>
  </w:font>
  <w:font w:name="PT Astra Serif">
    <w:charset w:val="01"/>
    <w:family w:val="roman"/>
    <w:pitch w:val="default"/>
  </w:font>
  <w:font w:name="Trebuchet MS">
    <w:charset w:val="01"/>
    <w:family w:val="swiss"/>
    <w:pitch w:val="default"/>
  </w:font>
  <w:font w:name="Liberation Mono">
    <w:altName w:val="Courier New"/>
    <w:charset w:val="01"/>
    <w:family w:val="roman"/>
    <w:pitch w:val="default"/>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8</w:t>
    </w:r>
    <w:r>
      <w:rPr>
        <w:sz w:val="24"/>
        <w:szCs w:val="24"/>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8</w:t>
    </w:r>
    <w:r>
      <w:rPr>
        <w:sz w:val="24"/>
        <w:szCs w:val="24"/>
      </w:rPr>
      <w:fldChar w:fldCharType="end"/>
    </w:r>
  </w:p>
  <w:p>
    <w:pPr>
      <w:pStyle w:val="Footer"/>
      <w:rPr/>
    </w:pPr>
    <w:r>
      <w:rPr/>
    </w:r>
  </w:p>
</w:ftr>
</file>

<file path=word/settings.xml><?xml version="1.0" encoding="utf-8"?>
<w:settings xmlns:w="http://schemas.openxmlformats.org/wordprocessingml/2006/main">
  <w:zoom w:percent="12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Style9">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uiPriority w:val="99"/>
    <w:qFormat/>
    <w:rPr>
      <w:sz w:val="20"/>
    </w:rPr>
  </w:style>
  <w:style w:type="character" w:styleId="Style11">
    <w:name w:val="Символ концевой сноски"/>
    <w:qFormat/>
    <w:rPr>
      <w:vertAlign w:val="superscript"/>
    </w:rPr>
  </w:style>
  <w:style w:type="character" w:styleId="user1">
    <w:name w:val="Символ концевой сноски (user)"/>
    <w:qFormat/>
    <w:rPr>
      <w:vertAlign w:val="superscript"/>
    </w:rPr>
  </w:style>
  <w:style w:type="character" w:styleId="EndnoteReference">
    <w:name w:val="endnote reference"/>
    <w:rPr>
      <w:vertAlign w:val="superscript"/>
    </w:rPr>
  </w:style>
  <w:style w:type="character" w:styleId="Style12" w:customStyle="1">
    <w:name w:val="Основной текст с отступом Знак"/>
    <w:uiPriority w:val="99"/>
    <w:qFormat/>
    <w:rPr>
      <w:rFonts w:ascii="Times New Roman" w:hAnsi="Times New Roman" w:cs="Times New Roman"/>
      <w:sz w:val="20"/>
      <w:lang w:val="en-US" w:eastAsia="ru-RU"/>
    </w:rPr>
  </w:style>
  <w:style w:type="character" w:styleId="ConsPlusNormal" w:customStyle="1">
    <w:name w:val="ConsPlusNormal Знак"/>
    <w:link w:val="ConsPlusNormal1"/>
    <w:uiPriority w:val="99"/>
    <w:qFormat/>
    <w:rPr>
      <w:rFonts w:ascii="Arial" w:hAnsi="Arial"/>
      <w:sz w:val="22"/>
      <w:lang w:eastAsia="ru-RU"/>
    </w:rPr>
  </w:style>
  <w:style w:type="character" w:styleId="Emphasis">
    <w:name w:val="Emphasis"/>
    <w:uiPriority w:val="99"/>
    <w:qFormat/>
    <w:rPr>
      <w:rFonts w:cs="Times New Roman"/>
      <w:i/>
    </w:rPr>
  </w:style>
  <w:style w:type="character" w:styleId="Style13" w:customStyle="1">
    <w:name w:val="Верхний колонтитул Знак"/>
    <w:uiPriority w:val="99"/>
    <w:qFormat/>
    <w:rPr>
      <w:rFonts w:ascii="Times New Roman" w:hAnsi="Times New Roman" w:eastAsia="Times New Roman"/>
      <w:sz w:val="20"/>
      <w:szCs w:val="20"/>
    </w:rPr>
  </w:style>
  <w:style w:type="character" w:styleId="Style14" w:customStyle="1">
    <w:name w:val="Нижний колонтитул Знак"/>
    <w:uiPriority w:val="99"/>
    <w:qFormat/>
    <w:rPr>
      <w:rFonts w:ascii="Times New Roman" w:hAnsi="Times New Roman" w:eastAsia="Times New Roman"/>
      <w:sz w:val="20"/>
      <w:szCs w:val="20"/>
    </w:rPr>
  </w:style>
  <w:style w:type="character" w:styleId="gd" w:customStyle="1">
    <w:name w:val="gd"/>
    <w:basedOn w:val="DefaultParagraphFont"/>
    <w:qFormat/>
    <w:rPr/>
  </w:style>
  <w:style w:type="character" w:styleId="Comment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rFonts w:ascii="Times New Roman" w:hAnsi="Times New Roman" w:eastAsia="Times New Roman"/>
    </w:rPr>
  </w:style>
  <w:style w:type="character" w:styleId="Style16" w:customStyle="1">
    <w:name w:val="Тема примечания Знак"/>
    <w:basedOn w:val="Style15"/>
    <w:link w:val="annotationsubject"/>
    <w:uiPriority w:val="99"/>
    <w:semiHidden/>
    <w:qFormat/>
    <w:rPr>
      <w:rFonts w:ascii="Times New Roman" w:hAnsi="Times New Roman" w:eastAsia="Times New Roman"/>
      <w:b/>
      <w:bCs/>
    </w:rPr>
  </w:style>
  <w:style w:type="character" w:styleId="Style17" w:customStyle="1">
    <w:name w:val="Текст выноски Знак"/>
    <w:basedOn w:val="DefaultParagraphFont"/>
    <w:link w:val="BalloonText"/>
    <w:uiPriority w:val="99"/>
    <w:semiHidden/>
    <w:qFormat/>
    <w:rPr>
      <w:rFonts w:ascii="Tahoma" w:hAnsi="Tahoma" w:eastAsia="Times New Roman" w:cs="Tahoma"/>
      <w:sz w:val="16"/>
      <w:szCs w:val="16"/>
    </w:rPr>
  </w:style>
  <w:style w:type="character" w:styleId="Style18" w:customStyle="1">
    <w:name w:val="Без интервала Знак"/>
    <w:link w:val="NoSpacing"/>
    <w:uiPriority w:val="99"/>
    <w:qFormat/>
    <w:rPr>
      <w:sz w:val="24"/>
      <w:szCs w:val="24"/>
    </w:rPr>
  </w:style>
  <w:style w:type="character" w:styleId="Hyperlink">
    <w:name w:val="Hyperlink"/>
    <w:basedOn w:val="DefaultParagraphFont"/>
    <w:uiPriority w:val="99"/>
    <w:unhideWhenUsed/>
    <w:rPr>
      <w:color w:themeColor="hyperlink" w:val="0000FF"/>
      <w:u w:val="single"/>
    </w:rPr>
  </w:style>
  <w:style w:type="character" w:styleId="apple-converted-space" w:customStyle="1">
    <w:name w:val="apple-converted-space"/>
    <w:basedOn w:val="DefaultParagraphFont"/>
    <w:qFormat/>
    <w:rsid w:val="000858a0"/>
    <w:rPr/>
  </w:style>
  <w:style w:type="character" w:styleId="Strong">
    <w:name w:val="Strong"/>
    <w:uiPriority w:val="22"/>
    <w:qFormat/>
    <w:rsid w:val="000858a0"/>
    <w:rPr>
      <w:b/>
      <w:bCs/>
    </w:rPr>
  </w:style>
  <w:style w:type="character" w:styleId="Style19">
    <w:name w:val="Символ нумерации"/>
    <w:qFormat/>
    <w:rPr/>
  </w:style>
  <w:style w:type="paragraph" w:styleId="Style20">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next w:val="Normal"/>
    <w:uiPriority w:val="35"/>
    <w:semiHidden/>
    <w:unhideWhenUsed/>
    <w:qFormat/>
    <w:pPr>
      <w:spacing w:lineRule="auto" w:line="276"/>
    </w:pPr>
    <w:rPr>
      <w:b/>
      <w:bCs/>
      <w:color w:themeColor="accent1" w:val="4F81BD"/>
      <w:sz w:val="18"/>
      <w:szCs w:val="18"/>
    </w:rPr>
  </w:style>
  <w:style w:type="paragraph" w:styleId="Style21">
    <w:name w:val="Указатель"/>
    <w:basedOn w:val="Normal"/>
    <w:qFormat/>
    <w:pPr>
      <w:suppressLineNumbers/>
    </w:pPr>
    <w:rPr>
      <w:rFonts w:ascii="PT Astra Serif" w:hAnsi="PT Astra Serif" w:cs="FreeSans"/>
    </w:rPr>
  </w:style>
  <w:style w:type="paragraph" w:styleId="user2">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3">
    <w:name w:val="Указатель (user)"/>
    <w:basedOn w:val="Normal"/>
    <w:qFormat/>
    <w:pPr>
      <w:suppressLineNumbers/>
    </w:pPr>
    <w:rPr>
      <w:rFonts w:ascii="PT Astra Serif" w:hAnsi="PT Astra Serif" w:cs="FreeSans"/>
    </w:rPr>
  </w:style>
  <w:style w:type="paragraph" w:styleId="ListParagraph">
    <w:name w:val="List Paragraph"/>
    <w:basedOn w:val="Normal"/>
    <w:uiPriority w:val="34"/>
    <w:qFormat/>
    <w:pPr>
      <w:spacing w:before="0" w:after="0"/>
      <w:ind w:left="720"/>
      <w:contextualSpacing/>
    </w:pPr>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left="720" w:right="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name w:val="footnote text"/>
    <w:basedOn w:val="Normal"/>
    <w:link w:val="Style8"/>
    <w:uiPriority w:val="99"/>
    <w:semiHidden/>
    <w:unhideWhenUsed/>
    <w:pPr>
      <w:spacing w:before="0" w:after="40"/>
    </w:pPr>
    <w:rPr>
      <w:sz w:val="18"/>
    </w:rPr>
  </w:style>
  <w:style w:type="paragraph" w:styleId="EndnoteText">
    <w:name w:val="endnote text"/>
    <w:basedOn w:val="Normal"/>
    <w:link w:val="Style10"/>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left="283"/>
    </w:pPr>
    <w:rPr/>
  </w:style>
  <w:style w:type="paragraph" w:styleId="TOC3">
    <w:name w:val="toc 3"/>
    <w:basedOn w:val="Normal"/>
    <w:next w:val="Normal"/>
    <w:uiPriority w:val="39"/>
    <w:unhideWhenUsed/>
    <w:pPr>
      <w:spacing w:before="0" w:after="57"/>
      <w:ind w:left="567"/>
    </w:pPr>
    <w:rPr/>
  </w:style>
  <w:style w:type="paragraph" w:styleId="TOC4">
    <w:name w:val="toc 4"/>
    <w:basedOn w:val="Normal"/>
    <w:next w:val="Normal"/>
    <w:uiPriority w:val="39"/>
    <w:unhideWhenUsed/>
    <w:pPr>
      <w:spacing w:before="0" w:after="57"/>
      <w:ind w:left="850"/>
    </w:pPr>
    <w:rPr/>
  </w:style>
  <w:style w:type="paragraph" w:styleId="TOC5">
    <w:name w:val="toc 5"/>
    <w:basedOn w:val="Normal"/>
    <w:next w:val="Normal"/>
    <w:uiPriority w:val="39"/>
    <w:unhideWhenUsed/>
    <w:pPr>
      <w:spacing w:before="0" w:after="57"/>
      <w:ind w:left="1134"/>
    </w:pPr>
    <w:rPr/>
  </w:style>
  <w:style w:type="paragraph" w:styleId="TOC6">
    <w:name w:val="toc 6"/>
    <w:basedOn w:val="Normal"/>
    <w:next w:val="Normal"/>
    <w:uiPriority w:val="39"/>
    <w:unhideWhenUsed/>
    <w:pPr>
      <w:spacing w:before="0" w:after="57"/>
      <w:ind w:left="1417"/>
    </w:pPr>
    <w:rPr/>
  </w:style>
  <w:style w:type="paragraph" w:styleId="TOC7">
    <w:name w:val="toc 7"/>
    <w:basedOn w:val="Normal"/>
    <w:next w:val="Normal"/>
    <w:uiPriority w:val="39"/>
    <w:unhideWhenUsed/>
    <w:pPr>
      <w:spacing w:before="0" w:after="57"/>
      <w:ind w:left="1701"/>
    </w:pPr>
    <w:rPr/>
  </w:style>
  <w:style w:type="paragraph" w:styleId="TOC8">
    <w:name w:val="toc 8"/>
    <w:basedOn w:val="Normal"/>
    <w:next w:val="Normal"/>
    <w:uiPriority w:val="39"/>
    <w:unhideWhenUsed/>
    <w:pPr>
      <w:spacing w:before="0" w:after="57"/>
      <w:ind w:left="1984"/>
    </w:pPr>
    <w:rPr/>
  </w:style>
  <w:style w:type="paragraph" w:styleId="TOC9">
    <w:name w:val="toc 9"/>
    <w:basedOn w:val="Normal"/>
    <w:next w:val="Normal"/>
    <w:uiPriority w:val="39"/>
    <w:unhideWhenUsed/>
    <w:pPr>
      <w:spacing w:before="0" w:after="57"/>
      <w:ind w:left="2268"/>
    </w:pPr>
    <w:rPr/>
  </w:style>
  <w:style w:type="paragraph" w:styleId="IndexHeading">
    <w:name w:val="index heading"/>
    <w:basedOn w:val="Style20"/>
    <w:pPr/>
    <w:rPr/>
  </w:style>
  <w:style w:type="paragraph" w:styleId="TOCHeading">
    <w:name w:val="TOC Heading"/>
    <w:uiPriority w:val="39"/>
    <w:unhideWhenUsed/>
    <w:qFormat/>
    <w:pPr>
      <w:widowControl/>
      <w:suppressAutoHyphens w:val="true"/>
      <w:bidi w:val="0"/>
      <w:spacing w:before="0" w:after="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pPr/>
    <w:rPr/>
  </w:style>
  <w:style w:type="paragraph" w:styleId="BodyTextIndent">
    <w:name w:val="Body Text Indent"/>
    <w:basedOn w:val="Normal"/>
    <w:link w:val="Style12"/>
    <w:uiPriority w:val="99"/>
    <w:pPr>
      <w:ind w:firstLine="709"/>
      <w:jc w:val="both"/>
    </w:pPr>
    <w:rPr>
      <w:rFonts w:eastAsia="Calibri"/>
      <w:lang w:val="en-US"/>
    </w:rPr>
  </w:style>
  <w:style w:type="paragraph" w:styleId="ConsPlusNormal1" w:customStyle="1">
    <w:name w:val="ConsPlusNormal"/>
    <w:link w:val="ConsPlusNormal"/>
    <w:uiPriority w:val="99"/>
    <w:qFormat/>
    <w:pPr>
      <w:widowControl w:val="false"/>
      <w:suppressAutoHyphens w:val="true"/>
      <w:bidi w:val="0"/>
      <w:spacing w:before="0" w:after="0"/>
      <w:ind w:firstLine="720"/>
      <w:jc w:val="left"/>
    </w:pPr>
    <w:rPr>
      <w:rFonts w:ascii="Arial" w:hAnsi="Arial" w:eastAsia="Calibri" w:cs="Times New Roman"/>
      <w:color w:val="auto"/>
      <w:kern w:val="0"/>
      <w:sz w:val="22"/>
      <w:szCs w:val="22"/>
      <w:lang w:val="ru-RU" w:eastAsia="ru-RU" w:bidi="ar-SA"/>
    </w:rPr>
  </w:style>
  <w:style w:type="paragraph" w:styleId="1CStyle12" w:customStyle="1">
    <w:name w:val="1CStyle12"/>
    <w:uiPriority w:val="99"/>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Style22">
    <w:name w:val="Колонтитулы"/>
    <w:basedOn w:val="Normal"/>
    <w:qFormat/>
    <w:pPr/>
    <w:rPr/>
  </w:style>
  <w:style w:type="paragraph" w:styleId="user4">
    <w:name w:val="Колонтитулы (user)"/>
    <w:basedOn w:val="Normal"/>
    <w:qFormat/>
    <w:pPr/>
    <w:rPr/>
  </w:style>
  <w:style w:type="paragraph" w:styleId="Header">
    <w:name w:val="header"/>
    <w:basedOn w:val="Normal"/>
    <w:link w:val="Style13"/>
    <w:uiPriority w:val="99"/>
    <w:unhideWhenUsed/>
    <w:pPr>
      <w:tabs>
        <w:tab w:val="clear" w:pos="708"/>
        <w:tab w:val="center" w:pos="4677" w:leader="none"/>
        <w:tab w:val="right" w:pos="9355" w:leader="none"/>
      </w:tabs>
    </w:pPr>
    <w:rPr/>
  </w:style>
  <w:style w:type="paragraph" w:styleId="Footer">
    <w:name w:val="footer"/>
    <w:basedOn w:val="Normal"/>
    <w:link w:val="Style14"/>
    <w:uiPriority w:val="99"/>
    <w:unhideWhenUsed/>
    <w:pPr>
      <w:tabs>
        <w:tab w:val="clear" w:pos="708"/>
        <w:tab w:val="center" w:pos="4677" w:leader="none"/>
        <w:tab w:val="right" w:pos="9355" w:leader="none"/>
      </w:tabs>
    </w:pPr>
    <w:rPr/>
  </w:style>
  <w:style w:type="paragraph" w:styleId="CommentText">
    <w:name w:val="annotation text"/>
    <w:basedOn w:val="Normal"/>
    <w:link w:val="Style15"/>
    <w:uiPriority w:val="99"/>
    <w:unhideWhenUsed/>
    <w:pPr/>
    <w:rPr/>
  </w:style>
  <w:style w:type="paragraph" w:styleId="annotationsubject">
    <w:name w:val="annotation subject"/>
    <w:basedOn w:val="CommentText"/>
    <w:next w:val="CommentText"/>
    <w:link w:val="Style16"/>
    <w:uiPriority w:val="99"/>
    <w:semiHidden/>
    <w:unhideWhenUsed/>
    <w:qFormat/>
    <w:pPr/>
    <w:rPr>
      <w:b/>
      <w:bCs/>
    </w:rPr>
  </w:style>
  <w:style w:type="paragraph" w:styleId="BalloonText">
    <w:name w:val="Balloon Text"/>
    <w:basedOn w:val="Normal"/>
    <w:link w:val="Style17"/>
    <w:uiPriority w:val="99"/>
    <w:semiHidden/>
    <w:unhideWhenUsed/>
    <w:qFormat/>
    <w:pPr/>
    <w:rPr>
      <w:rFonts w:ascii="Tahoma" w:hAnsi="Tahoma" w:cs="Tahoma"/>
      <w:sz w:val="16"/>
      <w:szCs w:val="16"/>
    </w:rPr>
  </w:style>
  <w:style w:type="paragraph" w:styleId="NoSpacing">
    <w:name w:val="No Spacing"/>
    <w:link w:val="Style18"/>
    <w:uiPriority w:val="1"/>
    <w:qFormat/>
    <w:pPr>
      <w:widowControl/>
      <w:suppressAutoHyphens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1" w:customStyle="1">
    <w:name w:val="Без интервала1"/>
    <w:uiPriority w:val="99"/>
    <w:qFormat/>
    <w:rsid w:val="00536bfa"/>
    <w:pPr>
      <w:widowControl/>
      <w:suppressAutoHyphens w:val="true"/>
      <w:bidi w:val="0"/>
      <w:spacing w:before="0" w:after="0"/>
      <w:jc w:val="left"/>
    </w:pPr>
    <w:rPr>
      <w:rFonts w:ascii="Calibri" w:hAnsi="Calibri" w:eastAsia="Times New Roman" w:cs="Calibri"/>
      <w:color w:val="auto"/>
      <w:kern w:val="0"/>
      <w:sz w:val="22"/>
      <w:szCs w:val="22"/>
      <w:lang w:val="ru-RU" w:eastAsia="en-US" w:bidi="ar-SA"/>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paragraph" w:styleId="Style25">
    <w:name w:val="Без интервала"/>
    <w:qFormat/>
    <w:pPr>
      <w:widowControl/>
      <w:suppressAutoHyphens w:val="true"/>
      <w:bidi w:val="0"/>
      <w:spacing w:before="0" w:after="0"/>
      <w:jc w:val="left"/>
    </w:pPr>
    <w:rPr>
      <w:rFonts w:ascii="Calibri" w:hAnsi="Calibri" w:eastAsia="Calibri" w:cs="Times New Roman"/>
      <w:color w:val="auto"/>
      <w:kern w:val="0"/>
      <w:sz w:val="22"/>
      <w:szCs w:val="22"/>
      <w:lang w:val="ru-RU" w:eastAsia="zh-CN" w:bidi="ar-SA"/>
    </w:rPr>
  </w:style>
  <w:style w:type="paragraph" w:styleId="Default">
    <w:name w:val="Default"/>
    <w:qFormat/>
    <w:pPr>
      <w:widowControl/>
      <w:suppressAutoHyphens w:val="true"/>
      <w:bidi w:val="0"/>
      <w:spacing w:before="0" w:after="0"/>
      <w:jc w:val="left"/>
    </w:pPr>
    <w:rPr>
      <w:rFonts w:ascii="Trebuchet MS" w:hAnsi="Trebuchet MS" w:eastAsia="Calibri" w:cs="Trebuchet MS"/>
      <w:color w:val="000000"/>
      <w:kern w:val="0"/>
      <w:sz w:val="24"/>
      <w:szCs w:val="24"/>
      <w:lang w:val="ru-RU" w:eastAsia="zh-CN" w:bidi="ar-SA"/>
    </w:rPr>
  </w:style>
  <w:style w:type="paragraph" w:styleId="Style26">
    <w:name w:val="Текст в заданном формате"/>
    <w:basedOn w:val="Normal"/>
    <w:qFormat/>
    <w:pPr>
      <w:spacing w:before="0" w:after="0"/>
    </w:pPr>
    <w:rPr>
      <w:rFonts w:ascii="Liberation Mono" w:hAnsi="Liberation Mono" w:eastAsia="Liberation Mono" w:cs="Liberation Mono"/>
      <w:sz w:val="20"/>
      <w:szCs w:val="20"/>
    </w:rPr>
  </w:style>
  <w:style w:type="numbering" w:styleId="Style2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11">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0">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
    <w:name w:val="Таблица простая 31"/>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41">
    <w:name w:val="Таблица простая 41"/>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51">
    <w:name w:val="Таблица простая 51"/>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1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customStyle="1" w:styleId="-2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customStyle="1" w:styleId="-7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lastCol">
      <w:rPr>
        <w:i/>
        <w:color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lastCol">
      <w:rPr>
        <w:i/>
        <w:color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customStyle="1" w:styleId="-110">
    <w:name w:val="Список-таблица 1 светлая1"/>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customStyle="1" w:styleId="-410">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710">
    <w:name w:val="Список-таблица 7 цветная1"/>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257</TotalTime>
  <Application>LibreOffice/25.8.3.2$Linux_X86_64 LibreOffice_project/580$Build-2</Application>
  <AppVersion>15.0000</AppVersion>
  <Pages>8</Pages>
  <Words>3462</Words>
  <Characters>25039</Characters>
  <CharactersWithSpaces>29042</CharactersWithSpaces>
  <Paragraphs>209</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2025-08-05T10:05:00Z</dcterms:created>
  <dc:creator>Захаров Никита Сергеевич</dc:creator>
  <dc:description/>
  <dc:language>ru-RU</dc:language>
  <cp:lastModifiedBy/>
  <dcterms:modified xsi:type="dcterms:W3CDTF">2026-10-26T09:26:31Z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file>