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60"/>
        <w:jc w:val="center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before="0" w:after="60"/>
        <w:jc w:val="center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ОПИСАНИЕ ОБЪЕКТА ЗАКУПКИ </w:t>
      </w:r>
    </w:p>
    <w:p>
      <w:pPr>
        <w:pStyle w:val="Normal"/>
        <w:spacing w:before="0" w:after="0"/>
        <w:jc w:val="center"/>
        <w:rPr>
          <w:b/>
          <w:bCs/>
          <w:highlight w:val="none"/>
          <w:shd w:fill="auto" w:val="clear"/>
        </w:rPr>
      </w:pPr>
      <w:r>
        <w:rPr>
          <w:b/>
          <w:bCs/>
          <w:sz w:val="22"/>
          <w:szCs w:val="22"/>
          <w:shd w:fill="auto" w:val="clear"/>
        </w:rPr>
        <w:t>Поставка видеодомофонов с монтажом и пусконаладкой</w:t>
      </w:r>
    </w:p>
    <w:p>
      <w:pPr>
        <w:pStyle w:val="Normal"/>
        <w:spacing w:before="0" w:after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spacing w:before="0" w:after="0"/>
        <w:rPr/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1. Общие сведения</w:t>
      </w:r>
    </w:p>
    <w:tbl>
      <w:tblPr>
        <w:tblW w:w="95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650"/>
        <w:gridCol w:w="6849"/>
      </w:tblGrid>
      <w:tr>
        <w:trPr/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Наименование объекта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Поставка видеодомофонов с монтажом и пусконаладкой</w:t>
            </w:r>
          </w:p>
        </w:tc>
      </w:tr>
      <w:tr>
        <w:trPr/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Адрес объекта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276" w:before="0" w:after="0"/>
              <w:jc w:val="both"/>
              <w:rPr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Количество абонентских устройств - 4 адреса (объекта).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г. Москва, проспект Маршала Жукова, д. 35, корп. 1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г. Москва, 2-й Мосфильмовский переулок д. 8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г. Москва, Югорский проезд, д. 22, корп. 1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г. Москва, Старомонетный пер-к, д.8 стр. 4</w:t>
            </w:r>
          </w:p>
        </w:tc>
      </w:tr>
      <w:tr>
        <w:trPr/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Заказчик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Главное управление Федеральной службы судебных приставов по г. Москве (сокр. ГУФССП России по г. Москве)</w:t>
            </w:r>
          </w:p>
        </w:tc>
      </w:tr>
      <w:tr>
        <w:trPr/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Исполнитель (Подрядчик)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[наименование организации-подрядчика — определяется по итогам закупочных процедур]</w:t>
            </w:r>
          </w:p>
        </w:tc>
      </w:tr>
      <w:tr>
        <w:trPr/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Вид работ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fill="FFFFFF"/>
              <w:spacing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2"/>
                <w:szCs w:val="22"/>
                <w:shd w:fill="auto" w:val="clear"/>
              </w:rPr>
              <w:t>Поставка оборудования, монтаж, пусконаладка и сдача в эксплуатацию системы видеодомофонии на входной группе административных зданий ГУФССП России по г. Москве</w:t>
            </w:r>
          </w:p>
        </w:tc>
      </w:tr>
      <w:tr>
        <w:trPr/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6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План мероприятий по обеспечению антитерростической защищенности и инженерно-технической укрепленности, в части  установку системы видеодомофонии</w:t>
            </w:r>
          </w:p>
        </w:tc>
      </w:tr>
      <w:tr>
        <w:trPr/>
        <w:tc>
          <w:tcPr>
            <w:tcW w:w="2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6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в течение 10 рабочих дней</w:t>
            </w:r>
          </w:p>
        </w:tc>
      </w:tr>
    </w:tbl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sz w:val="24"/>
          <w:szCs w:val="24"/>
        </w:rPr>
        <w:tab/>
        <w:t>Настоящее описание объекта закупки (далее - ООЗ) определяет требования к составу оборудования, объёму работ, порядку монтажа, пусконаладки и сдачи в эксплуатацию системы видеодомофонии на объектах, указанных выше. Точные количественные параметры фиксируются в приложении «Ведомость объёмов работ», являющемся неотъемлемой частью настоящего ООЗ.</w:t>
      </w:r>
    </w:p>
    <w:p>
      <w:pPr>
        <w:pStyle w:val="Heading1"/>
        <w:spacing w:before="0" w:after="0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2. В ходе выполнения работ необходимо решить следующие цели и задачи.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Целью выполнения работ является организация современной системы контроля и управления доступом с функцией видеоидентификации посетителей, обеспечивающей: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>визуальный и голосовой контакт сотрудника дежурной смены с посетителем (гражданином) перед предоставлением доступа в служебное помещение (на территорию объекта); ограничение несанкционированного доступа посторонних лиц в помещение и на прилегающую территорию (при необходимости); дистанционное открытие двери с абонентского устройства.</w:t>
      </w:r>
    </w:p>
    <w:p>
      <w:pPr>
        <w:pStyle w:val="Heading1"/>
        <w:spacing w:before="0" w:after="0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3. Нормативные требования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Проектирование, монтаж и приёмка системы выполняются в соответствии с действующими на территории РФ нормативными документами, в том числе: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>ГОСТ Р 51558 «Системы охранные телевизионные. Классификация. Общие технические требования»; ПУЭ (Правила устройства электроустановок), в части электромонтажных работ и заземления; СП 256.1325800 «Электроустановки жилых и общественных зданий»;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Правилами пожарной безопасности, в части обеспечения эвакуационных проходов (дверь  должна открываться изнутри без ключа/идентификатора);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Требованиями ОАТИ/Мосжилинспекции и управляющей организации к фасадным работам и работам в местах общего пользования МКД;</w:t>
      </w:r>
    </w:p>
    <w:p>
      <w:pPr>
        <w:pStyle w:val="Heading1"/>
        <w:spacing w:before="0" w:after="0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>4. Требования к составу и функциональности системы</w:t>
      </w:r>
    </w:p>
    <w:p>
      <w:pPr>
        <w:pStyle w:val="Heading2"/>
        <w:spacing w:before="0" w:after="0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>4.1. Общая структура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>Система видеодомофонии должна включать следующие основные компоненты: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>вызывную (домофонную) панель с видеокамерой, устанавливаемую у входной группы;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>абонентские устройства (видеодомофонные трубки/мониторы) в помещении дежурной смены.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 xml:space="preserve">контроллер доступа с поддержкой ключей Touch Memory (Far/Dallas) и/или RFID-карт/брелоков, либо аналогов; 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>линии связи (кабельная сеть) между вызывной панелью, контроллером, абонентскими устройствами и (при наличии) сервером/регистратором.</w:t>
      </w:r>
    </w:p>
    <w:p>
      <w:pPr>
        <w:pStyle w:val="Heading2"/>
        <w:spacing w:before="0" w:after="0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>4.2. Требования к вызывной (домофонной) панели</w:t>
      </w:r>
    </w:p>
    <w:tbl>
      <w:tblPr>
        <w:tblW w:w="95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198"/>
        <w:gridCol w:w="6301"/>
      </w:tblGrid>
      <w:tr>
        <w:trPr>
          <w:tblHeader w:val="true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Параметр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Требование</w:t>
            </w:r>
          </w:p>
        </w:tc>
      </w:tr>
      <w:tr>
        <w:trPr/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Исполнение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Антивандальное, устойчивое к взлому и погодным воздействиям, класс защиты не ниже IP54–IP65</w:t>
            </w:r>
          </w:p>
        </w:tc>
      </w:tr>
      <w:tr>
        <w:trPr/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Видеокамера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Цветная, разрешение не ниже 2 Мп, широкий динамический диапазон (WDR), ИК-подсветка для ночного режима</w:t>
            </w:r>
          </w:p>
        </w:tc>
      </w:tr>
      <w:tr>
        <w:trPr/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Дисплей/индикация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Подсветка клавиш вызова, антибликовое исполнение</w:t>
            </w:r>
          </w:p>
        </w:tc>
      </w:tr>
      <w:tr>
        <w:trPr/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Связь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Двусторонняя аудиосвязь с абонентским устройством</w:t>
            </w:r>
          </w:p>
        </w:tc>
      </w:tr>
      <w:tr>
        <w:trPr/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Идентификация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Считыватель ключей Touch Memory и/или RFID-карт,  либо аналогов</w:t>
            </w:r>
          </w:p>
        </w:tc>
      </w:tr>
      <w:tr>
        <w:trPr/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Вызывная панель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Вызов дежурного</w:t>
            </w:r>
          </w:p>
        </w:tc>
      </w:tr>
      <w:tr>
        <w:trPr/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Климатическое исполнение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Рабочий диапазон температур не уже −40 °C…+50 °C</w:t>
            </w:r>
          </w:p>
        </w:tc>
      </w:tr>
    </w:tbl>
    <w:p>
      <w:pPr>
        <w:pStyle w:val="Heading2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>4.3. Требования к абонентским устройствам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>Абонентское устройство (видеодомофонная трубка/монитор) устанавливается по каждому в отдельности входной группе административного здания (помещения) и должно обеспечивать: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приём вызова с видеопанели с отображением видеоизображения посетителя;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двустороннюю голосовую связь;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дистанционное открытие двери;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сохранение снимков/видео последних вызовов (встроенная память или SD-карта);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Количество абонентских устройств - 4 адреса (объекта).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4.4. Контроллер доступа и замок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>контроллер должен обеспечивать хранение базы ключей/карт;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>замок - электромагнитный (усилие удержания не менее 180 кг) или электромеханический, с механизмом аварийного открытия изнутри без ключа (требование пожарной безопасности);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>дверь должна быть оборудована доводчиком и, при необходимости, датчиком открытия/закрытия.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5. Требования к монтажным и электромонтажным работам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5.1. Демонтаж существующего домофонного оборудования (при наличии), включая вызывную панель, абонентские устройства, кабельные трассы, с вывозом демонтированного оборудования по согласованию с Заказчиком.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5.2. Прокладка кабельных линий связи и электропитания скрытым способом (в существующих кабель-каналах/штробах) либо открытым способом в кабель-каналах — в соответствии с проектным решением и согласованием с Заказчиком.</w:t>
      </w:r>
    </w:p>
    <w:p>
      <w:pPr>
        <w:pStyle w:val="Heading1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5.3. Монтаж вызывной панели на фасаде/у входа с антивандальным креплением.</w:t>
      </w:r>
    </w:p>
    <w:p>
      <w:pPr>
        <w:pStyle w:val="Heading1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5.4. Монтаж контроллера доступа, блока питания и ИБП в технических помещениях (электрощитовая, слаботочный шкаф) с обеспечением доступа для обслуживания.</w:t>
      </w:r>
    </w:p>
    <w:p>
      <w:pPr>
        <w:pStyle w:val="Heading1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5.5. Комплексные пусконаладочные работы и проверка работоспособности всех функций системы.</w:t>
      </w:r>
    </w:p>
    <w:p>
      <w:pPr>
        <w:pStyle w:val="Heading1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5.6. Восстановление отделки в местах производства работ (заделка штроб, покраска и т. п.) до состояния, соответствующего окружающей отделке.</w:t>
      </w:r>
    </w:p>
    <w:p>
      <w:pPr>
        <w:pStyle w:val="Heading1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5.7. Вывоз строительного мусора и уборка мест производства работ.</w:t>
      </w:r>
    </w:p>
    <w:p>
      <w:pPr>
        <w:pStyle w:val="Heading1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6. Требования к электропитанию</w:t>
      </w:r>
    </w:p>
    <w:p>
      <w:pPr>
        <w:pStyle w:val="Heading1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>система должна получать питание от существующей электросети через отдельный автоматический выключатель;</w:t>
      </w:r>
    </w:p>
    <w:p>
      <w:pPr>
        <w:pStyle w:val="Heading1"/>
        <w:spacing w:before="0" w:after="0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7. Требования к интеграции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>При наличии на объекте действующей системы видеонаблюдения и/или системы диспетчеризации (пультовой охраны) Исполнитель обязан предусмотреть техническую возможность интеграции видеодомофонии с указанными системами без дублирования кабельной инфраструктуры, по согласованию с Заказчиком на этапе предпроектного обследования.</w:t>
      </w:r>
    </w:p>
    <w:p>
      <w:pPr>
        <w:pStyle w:val="Heading1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8. Гарантийные обязательства и сервис</w:t>
      </w:r>
    </w:p>
    <w:p>
      <w:pPr>
        <w:pStyle w:val="Heading1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гарантийный срок на поставленное оборудование — не менее 12 месяцев с даты подписания акта ввода в эксплуатацию;</w:t>
      </w:r>
    </w:p>
    <w:p>
      <w:pPr>
        <w:pStyle w:val="Heading1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гарантийный срок на монтажные работы — не менее 24 месяцев;</w:t>
      </w:r>
    </w:p>
    <w:p>
      <w:pPr>
        <w:pStyle w:val="Heading1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Исполнитель (Подрядчик) обязан обеспечить устранение гарантийных неисправностей за свой счёт в срок не более 5 рабочих дней с момента получения заявки;по окончании гарантийного срока — возможность заключения отдельного договора на сервисное (постгарантийное) обслуживание.</w:t>
      </w:r>
    </w:p>
    <w:p>
      <w:pPr>
        <w:pStyle w:val="Heading1"/>
        <w:spacing w:before="0" w:after="0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9. Сроки и этапы выполнения работ</w:t>
      </w:r>
    </w:p>
    <w:tbl>
      <w:tblPr>
        <w:tblW w:w="95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700"/>
        <w:gridCol w:w="6100"/>
        <w:gridCol w:w="2700"/>
      </w:tblGrid>
      <w:tr>
        <w:trPr>
          <w:tblHeader w:val="true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№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Этап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Срок</w:t>
            </w:r>
            <w:r>
              <w:rPr>
                <w:b w:val="false"/>
                <w:bCs w:val="false"/>
                <w:color w:val="auto"/>
                <w:sz w:val="22"/>
                <w:szCs w:val="22"/>
                <w:vertAlign w:val="superscript"/>
              </w:rPr>
              <w:t>*</w:t>
            </w:r>
          </w:p>
        </w:tc>
      </w:tr>
      <w:tr>
        <w:trPr/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1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Предпроектное обследование объекта, уточнение объёмов и согласование проектного решения с Заказчиком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в течение 1рабочих дней</w:t>
            </w:r>
          </w:p>
        </w:tc>
      </w:tr>
      <w:tr>
        <w:trPr/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2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Поставка оборудования и материалов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в течение 1 рабочих дней</w:t>
            </w:r>
          </w:p>
        </w:tc>
      </w:tr>
      <w:tr>
        <w:trPr/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3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Монтажные и электромонтажные работы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в течение 4 рабочих дней</w:t>
            </w:r>
          </w:p>
        </w:tc>
      </w:tr>
      <w:tr>
        <w:trPr/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4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Пусконаладочные работы, программирование, занесение базы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в течение 2 рабочих дней</w:t>
            </w:r>
          </w:p>
        </w:tc>
      </w:tr>
      <w:tr>
        <w:trPr/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5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Сдача системы в эксплуатацию, подписание акта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auto"/>
                <w:sz w:val="22"/>
                <w:szCs w:val="22"/>
              </w:rPr>
            </w:pPr>
            <w:r>
              <w:rPr>
                <w:b w:val="false"/>
                <w:bCs w:val="false"/>
                <w:color w:val="auto"/>
                <w:sz w:val="22"/>
                <w:szCs w:val="22"/>
              </w:rPr>
              <w:t>в течение 2 рабочих дней</w:t>
            </w:r>
          </w:p>
        </w:tc>
      </w:tr>
    </w:tbl>
    <w:p>
      <w:pPr>
        <w:pStyle w:val="Normal"/>
        <w:spacing w:lineRule="exact" w:line="276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*Конкретные сроки этапов устанавливаются Договором на выполнение работ по итогам предпроектного обследования объекта.</w:t>
      </w:r>
    </w:p>
    <w:p>
      <w:pPr>
        <w:pStyle w:val="Heading1"/>
        <w:spacing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>10. Требования к сдаваемой документации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По завершении работ Исполнитель передаёт Заказчику: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исполнительную документацию (схемы кабельных трасс;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паспорта и гарантийные талоны на установленное оборудование;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инструкцию по эксплуатации системы для организации;</w:t>
      </w:r>
    </w:p>
    <w:p>
      <w:pPr>
        <w:pStyle w:val="Normal"/>
        <w:spacing w:lineRule="exact" w:line="276" w:before="0" w:after="0"/>
        <w:jc w:val="both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b w:val="false"/>
          <w:bCs w:val="false"/>
          <w:color w:val="auto"/>
          <w:sz w:val="24"/>
          <w:szCs w:val="24"/>
        </w:rPr>
        <w:tab/>
        <w:t>акт сдачи-приёмки выполненных работ и акт ввода системы в эксплуатацию.</w:t>
      </w:r>
    </w:p>
    <w:p>
      <w:pPr>
        <w:pStyle w:val="Heading1"/>
        <w:spacing w:before="0" w:after="0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ab/>
        <w:t xml:space="preserve">11. Приложение. </w:t>
      </w:r>
    </w:p>
    <w:p>
      <w:pPr>
        <w:pStyle w:val="Heading1"/>
        <w:spacing w:before="0" w:after="0"/>
        <w:rPr>
          <w:rFonts w:ascii="Times New Roman" w:hAnsi="Times New Roman"/>
          <w:b w:val="false"/>
          <w:bCs w:val="false"/>
          <w:color w:val="auto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>Ведомость объёмов работ (заполняется по итогам обследования объекта)</w:t>
      </w:r>
    </w:p>
    <w:tbl>
      <w:tblPr>
        <w:tblW w:w="95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700"/>
        <w:gridCol w:w="4698"/>
        <w:gridCol w:w="1600"/>
        <w:gridCol w:w="2501"/>
      </w:tblGrid>
      <w:tr>
        <w:trPr>
          <w:tblHeader w:val="true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Вызывная видеопанель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Абонентское устройство (монитор/трубка)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Пусконаладочные работы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Монтажные работы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шт.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4</w:t>
            </w:r>
          </w:p>
        </w:tc>
      </w:tr>
    </w:tbl>
    <w:p>
      <w:pPr>
        <w:pStyle w:val="Normal"/>
        <w:spacing w:lineRule="exact" w:line="276" w:before="0" w:after="0"/>
        <w:jc w:val="both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i/>
        <w:i/>
        <w:iCs/>
        <w:color w:val="808080"/>
        <w:sz w:val="16"/>
        <w:szCs w:val="16"/>
      </w:rPr>
    </w:pPr>
    <w:r>
      <w:rPr>
        <w:i/>
        <w:iCs/>
        <w:color w:val="808080"/>
        <w:sz w:val="16"/>
        <w:szCs w:val="16"/>
      </w:rPr>
    </w:r>
  </w:p>
  <w:p>
    <w:pPr>
      <w:pStyle w:val="Normal"/>
      <w:jc w:val="right"/>
      <w:rPr>
        <w:i/>
        <w:i/>
        <w:iCs/>
        <w:color w:val="808080"/>
        <w:sz w:val="16"/>
        <w:szCs w:val="16"/>
      </w:rPr>
    </w:pPr>
    <w:r>
      <w:rPr>
        <w:i/>
        <w:iCs/>
        <w:color w:val="808080"/>
        <w:sz w:val="16"/>
        <w:szCs w:val="16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i/>
        <w:i/>
        <w:iCs/>
        <w:color w:val="808080"/>
        <w:sz w:val="16"/>
        <w:szCs w:val="16"/>
      </w:rPr>
    </w:pPr>
    <w:r>
      <w:rPr>
        <w:i/>
        <w:iCs/>
        <w:color w:val="808080"/>
        <w:sz w:val="16"/>
        <w:szCs w:val="16"/>
      </w:rPr>
    </w:r>
  </w:p>
  <w:p>
    <w:pPr>
      <w:pStyle w:val="Normal"/>
      <w:jc w:val="right"/>
      <w:rPr>
        <w:i/>
        <w:i/>
        <w:iCs/>
        <w:color w:val="808080"/>
        <w:sz w:val="16"/>
        <w:szCs w:val="16"/>
      </w:rPr>
    </w:pPr>
    <w:r>
      <w:rPr>
        <w:i/>
        <w:iCs/>
        <w:color w:val="808080"/>
        <w:sz w:val="16"/>
        <w:szCs w:val="16"/>
      </w:rPr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Lohit Devanagari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Style10"/>
    <w:qFormat/>
    <w:pPr/>
    <w:rPr>
      <w:color w:val="2E74B5"/>
      <w:sz w:val="32"/>
      <w:szCs w:val="32"/>
    </w:rPr>
  </w:style>
  <w:style w:type="paragraph" w:styleId="Heading2">
    <w:name w:val="Heading 2"/>
    <w:basedOn w:val="Style10"/>
    <w:qFormat/>
    <w:pPr/>
    <w:rPr>
      <w:color w:val="2E74B5"/>
      <w:sz w:val="26"/>
      <w:szCs w:val="26"/>
    </w:rPr>
  </w:style>
  <w:style w:type="paragraph" w:styleId="Heading3">
    <w:name w:val="Heading 3"/>
    <w:basedOn w:val="Style10"/>
    <w:qFormat/>
    <w:pPr/>
    <w:rPr>
      <w:color w:val="1F4D78"/>
      <w:sz w:val="24"/>
      <w:szCs w:val="24"/>
    </w:rPr>
  </w:style>
  <w:style w:type="paragraph" w:styleId="Heading4">
    <w:name w:val="Heading 4"/>
    <w:basedOn w:val="Style10"/>
    <w:qFormat/>
    <w:pPr/>
    <w:rPr>
      <w:i/>
      <w:iCs/>
      <w:color w:val="2E74B5"/>
    </w:rPr>
  </w:style>
  <w:style w:type="paragraph" w:styleId="Heading5">
    <w:name w:val="Heading 5"/>
    <w:basedOn w:val="Style10"/>
    <w:qFormat/>
    <w:pPr/>
    <w:rPr>
      <w:color w:val="2E74B5"/>
    </w:rPr>
  </w:style>
  <w:style w:type="paragraph" w:styleId="Heading6">
    <w:name w:val="Heading 6"/>
    <w:basedOn w:val="Style10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9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itle">
    <w:name w:val="Title"/>
    <w:basedOn w:val="Style10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b/>
      <w:bCs/>
      <w:color w:val="auto"/>
      <w:kern w:val="0"/>
      <w:sz w:val="20"/>
      <w:szCs w:val="20"/>
      <w:lang w:val="ru-RU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0"/>
      <w:szCs w:val="20"/>
      <w:lang w:val="ru-RU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12">
    <w:name w:val="Колонтитул"/>
    <w:basedOn w:val="Normal"/>
    <w:qFormat/>
    <w:pPr/>
    <w:rPr/>
  </w:style>
  <w:style w:type="paragraph" w:styleId="Style13">
    <w:name w:val="Колонтитулы"/>
    <w:basedOn w:val="Normal"/>
    <w:qFormat/>
    <w:pPr/>
    <w:rPr/>
  </w:style>
  <w:style w:type="paragraph" w:styleId="Header">
    <w:name w:val="Header"/>
    <w:basedOn w:val="Style12"/>
    <w:pPr/>
    <w:rPr/>
  </w:style>
  <w:style w:type="paragraph" w:styleId="Footer">
    <w:name w:val="Footer"/>
    <w:basedOn w:val="Style12"/>
    <w:pPr/>
    <w:rPr/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1463</TotalTime>
  <Application>LibreOffice/7.6.7.2$Linux_X86_64 LibreOffice_project/60$Build-2</Application>
  <AppVersion>15.0000</AppVersion>
  <Pages>4</Pages>
  <Words>928</Words>
  <Characters>6724</Characters>
  <CharactersWithSpaces>7569</CharactersWithSpaces>
  <Paragraphs>129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2026-08-25T14:19:10Z</dcterms:created>
  <dc:creator>Un-named</dc:creator>
  <dc:description/>
  <dc:language>ru-RU</dc:language>
  <cp:lastModifiedBy/>
  <dcterms:modified xsi:type="dcterms:W3CDTF">2026-10-14T16:49:31Z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