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ind w:left="3402" w:right="0" w:firstLine="0"/>
        <w:jc w:val="left"/>
        <w:spacing w:before="0"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Договор №__________-С/ЧГС-26_________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1134"/>
        <w:jc w:val="left"/>
        <w:spacing w:before="0"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о выполнении работ по установке (замене) прибора учета газа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ind w:left="0" w:right="0" w:firstLine="0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ind w:left="0" w:right="0" w:firstLine="0"/>
        <w:rPr>
          <w:rFonts w:ascii="Tinos" w:hAnsi="Tinos" w:cs="Tinos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2"/>
          <w:szCs w:val="22"/>
        </w:rPr>
        <w:t xml:space="preserve">п. Чернянка                                                                                        «  » ______________2026 г.</w:t>
      </w:r>
      <w:r>
        <w:rPr>
          <w:rFonts w:ascii="Tinos" w:hAnsi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nos" w:hAnsi="Tinos" w:eastAsia="Tinos" w:cs="Tinos"/>
          <w:sz w:val="22"/>
          <w:szCs w:val="22"/>
        </w:rPr>
        <w:suppressLineNumbers w:val="0"/>
      </w:pPr>
      <w:r>
        <w:rPr>
          <w:rFonts w:ascii="Tinos" w:hAnsi="Tinos" w:eastAsia="Tinos" w:cs="Tinos"/>
          <w:b/>
          <w:sz w:val="22"/>
          <w:szCs w:val="22"/>
        </w:rPr>
        <w:t xml:space="preserve">Управление Федеральной службы государственной регистрации, кадастра                         и картографии по Белгородской области, </w:t>
      </w:r>
      <w:r>
        <w:rPr>
          <w:rFonts w:ascii="Tinos" w:hAnsi="Tinos" w:eastAsia="Tinos" w:cs="Tinos"/>
          <w:sz w:val="22"/>
          <w:szCs w:val="22"/>
        </w:rPr>
        <w:t xml:space="preserve">действующее от имени Российской Федерации, именуемое  в дальнейшем </w:t>
      </w:r>
      <w:r>
        <w:rPr>
          <w:rFonts w:ascii="Tinos" w:hAnsi="Tinos" w:eastAsia="Tinos" w:cs="Tinos"/>
          <w:b/>
          <w:bCs/>
          <w:sz w:val="22"/>
          <w:szCs w:val="22"/>
        </w:rPr>
        <w:t xml:space="preserve">«Заказчик»</w:t>
      </w:r>
      <w:r>
        <w:rPr>
          <w:rFonts w:ascii="Tinos" w:hAnsi="Tinos" w:eastAsia="Tinos" w:cs="Tinos"/>
          <w:sz w:val="22"/>
          <w:szCs w:val="22"/>
        </w:rPr>
        <w:t xml:space="preserve"> </w:t>
      </w:r>
      <w:r>
        <w:rPr>
          <w:rFonts w:ascii="Tinos" w:hAnsi="Tinos" w:eastAsia="Tinos" w:cs="Tinos"/>
          <w:sz w:val="22"/>
          <w:szCs w:val="22"/>
        </w:rPr>
        <w:t xml:space="preserve">в лице начальника отдела материал</w:t>
      </w:r>
      <w:r>
        <w:rPr>
          <w:rFonts w:ascii="Tinos" w:hAnsi="Tinos" w:eastAsia="Tinos" w:cs="Tinos"/>
          <w:sz w:val="22"/>
          <w:szCs w:val="22"/>
        </w:rPr>
        <w:t xml:space="preserve">ьно-технического обеспечения </w:t>
      </w:r>
      <w:r>
        <w:rPr>
          <w:rFonts w:ascii="Tinos" w:hAnsi="Tinos" w:eastAsia="Tinos" w:cs="Tinos"/>
          <w:sz w:val="22"/>
          <w:szCs w:val="22"/>
        </w:rPr>
        <w:t xml:space="preserve">Кузуба</w:t>
      </w:r>
      <w:r>
        <w:rPr>
          <w:rFonts w:ascii="Tinos" w:hAnsi="Tinos" w:eastAsia="Tinos" w:cs="Tinos"/>
          <w:sz w:val="22"/>
          <w:szCs w:val="22"/>
        </w:rPr>
        <w:t xml:space="preserve"> Евгения Николаевича, действующего на основании </w:t>
      </w:r>
      <w:r>
        <w:rPr>
          <w:rFonts w:ascii="Tinos" w:hAnsi="Tinos" w:eastAsia="Tinos" w:cs="Tinos"/>
          <w:sz w:val="22"/>
          <w:szCs w:val="22"/>
        </w:rPr>
        <w:t xml:space="preserve">приказа Управления                  </w:t>
      </w:r>
      <w:r>
        <w:rPr>
          <w:rFonts w:ascii="Tinos" w:hAnsi="Tinos" w:eastAsia="Tinos" w:cs="Tinos"/>
          <w:sz w:val="22"/>
          <w:szCs w:val="22"/>
        </w:rPr>
        <w:t xml:space="preserve">от 01.09.2026</w:t>
      </w:r>
      <w:r>
        <w:rPr>
          <w:rFonts w:ascii="Tinos" w:hAnsi="Tinos" w:eastAsia="Tinos" w:cs="Tinos"/>
          <w:sz w:val="22"/>
          <w:szCs w:val="22"/>
        </w:rPr>
        <w:t xml:space="preserve"> </w:t>
      </w:r>
      <w:r>
        <w:rPr>
          <w:rFonts w:ascii="Tinos" w:hAnsi="Tinos" w:eastAsia="Tinos" w:cs="Tinos"/>
          <w:sz w:val="22"/>
          <w:szCs w:val="22"/>
        </w:rPr>
        <w:t xml:space="preserve">№ 386-ЛС, </w:t>
      </w:r>
      <w:r>
        <w:rPr>
          <w:rFonts w:ascii="Tinos" w:hAnsi="Tinos" w:eastAsia="Tinos" w:cs="Tinos"/>
          <w:sz w:val="22"/>
          <w:szCs w:val="22"/>
        </w:rPr>
        <w:t xml:space="preserve">доверенности от 17.09.2026 № 35, с одной стороны</w:t>
      </w:r>
      <w:r>
        <w:rPr>
          <w:rFonts w:ascii="Tinos" w:hAnsi="Tinos" w:eastAsia="Tinos" w:cs="Tinos"/>
          <w:sz w:val="22"/>
          <w:szCs w:val="22"/>
        </w:rPr>
        <w:t xml:space="preserve"> и</w:t>
      </w: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eastAsia="Tinos" w:cs="Tinos"/>
          <w:sz w:val="22"/>
          <w:szCs w:val="22"/>
        </w:rPr>
      </w:r>
    </w:p>
    <w:p>
      <w:pPr>
        <w:contextualSpacing w:val="0"/>
        <w:ind w:firstLine="0"/>
        <w:jc w:val="both"/>
        <w:spacing w:after="0" w:line="240" w:lineRule="auto"/>
        <w:rPr>
          <w:rFonts w:ascii="Tinos" w:hAnsi="Tinos" w:cs="Tinos"/>
          <w:sz w:val="22"/>
          <w:szCs w:val="22"/>
          <w:highlight w:val="none"/>
        </w:rP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eastAsia="Tinos" w:cs="Tinos"/>
          <w:color w:val="000000"/>
          <w:sz w:val="22"/>
          <w:szCs w:val="22"/>
        </w:rPr>
        <w:t xml:space="preserve">________________________, именуемое в дальнейшем «Подрядчик», в лице _______________________, дейс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твующего на основании______________________, с другой стороны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,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совместно именуемые в дальнейшем «Стороны», в соответствии с Федеральным законом от 23.11.2009 № 261-ФЗ «Об энергосбережении и о повышении энергетической эффективности       и о внесении изменений в отдельные законодательные акты Российской Ф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едерации» заключили настоящий Договор о нижеследующем:</w:t>
      </w: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  <w:highlight w:val="none"/>
        </w:rPr>
      </w:r>
    </w:p>
    <w:p>
      <w:pPr>
        <w:contextualSpacing w:val="0"/>
        <w:ind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pStyle w:val="881"/>
        <w:numPr>
          <w:ilvl w:val="0"/>
          <w:numId w:val="21"/>
        </w:numPr>
        <w:jc w:val="center"/>
        <w:spacing w:after="113"/>
        <w:rPr>
          <w:rFonts w:ascii="Tinos" w:hAnsi="Tinos" w:cs="Tinos"/>
          <w:b/>
          <w:color w:val="000000"/>
          <w:sz w:val="22"/>
          <w:szCs w:val="22"/>
        </w:rPr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ПРЕДМЕТ КОНТРАКТА</w:t>
      </w:r>
      <w:r>
        <w:rPr>
          <w:rFonts w:ascii="Tinos" w:hAnsi="Tinos" w:cs="Tinos"/>
          <w:b/>
          <w:color w:val="000000"/>
          <w:sz w:val="22"/>
          <w:szCs w:val="22"/>
        </w:rPr>
      </w:r>
      <w:r>
        <w:rPr>
          <w:rFonts w:ascii="Tinos" w:hAnsi="Tinos" w:cs="Tinos"/>
          <w:b/>
          <w:color w:val="000000"/>
          <w:sz w:val="22"/>
          <w:szCs w:val="22"/>
        </w:rPr>
      </w:r>
    </w:p>
    <w:p>
      <w:pPr>
        <w:pStyle w:val="881"/>
        <w:ind w:left="720" w:firstLine="0"/>
        <w:jc w:val="left"/>
        <w:spacing w:after="113"/>
        <w:rPr>
          <w:rFonts w:ascii="Tinos" w:hAnsi="Tinos" w:cs="Tinos"/>
          <w:b/>
          <w:bCs/>
          <w:color w:val="000000"/>
          <w:sz w:val="22"/>
          <w:szCs w:val="22"/>
        </w:rPr>
      </w:pPr>
      <w:r>
        <w:rPr>
          <w:rFonts w:ascii="Tinos" w:hAnsi="Tinos" w:eastAsia="Tinos" w:cs="Tinos"/>
          <w:b/>
          <w:color w:val="000000"/>
          <w:sz w:val="22"/>
          <w:szCs w:val="22"/>
          <w:highlight w:val="none"/>
        </w:rPr>
      </w:r>
      <w:r>
        <w:rPr>
          <w:rFonts w:ascii="Tinos" w:hAnsi="Tinos" w:cs="Tinos"/>
          <w:b/>
          <w:bCs/>
          <w:color w:val="000000"/>
          <w:sz w:val="22"/>
          <w:szCs w:val="22"/>
        </w:rPr>
      </w:r>
      <w:r>
        <w:rPr>
          <w:rFonts w:ascii="Tinos" w:hAnsi="Tinos" w:cs="Tinos"/>
          <w:b/>
          <w:bCs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1.1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. Подрядчик обязуется выполнить работы по замене -  индивидуального прибора учета природного газа в кол. 1 - шт. по адресу: Белгородская область, Чернянский район, поселок Чернянка, улица Октябрьская, дом 26, а Заказчик обязуется передать Подрядчику прибор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ы учета природного газа, технические параметры которого соответствуют количеству и мощности установленного газового оборудования, а также своевременно и в полном объеме оплатить выполненные работы.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1.2. Место и способ уста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новки (замены) прибора учета расхода газа, порядок его ввода в эксплуатацию и дальнейшего содержания должны соответствовать требования завода-изготовителя к размещению для его нормальной работы, а так же правилам и нормам, действующим в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газовом хозяйстве.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1.3. Настоящий Договор заключен на основании письменной заявки Заказчика                             от «   » октября 2026 г.</w:t>
      </w:r>
      <w:r>
        <w:rPr>
          <w:rFonts w:ascii="Tinos" w:hAnsi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2. ПРАВА И ОБЯЗАННОСТИ ПОДРЯДЧИКА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b/>
          <w:bCs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/>
          <w:sz w:val="22"/>
          <w:szCs w:val="22"/>
          <w:u w:val="single"/>
        </w:rPr>
        <w:t xml:space="preserve">2.1. Подрядчик обязан:</w:t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2.1.1. Своевременно, качественно и в полном объеме выполнить работы, предусмотренные Договором.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2.1.2.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Незамедлительно уведомить Заказчика о возникшей невозможности выполнения работ.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2.1.3. Довести до сведения Заказчика информацию о гарантийных сроках на установленные приборы учета природного газа, дате очередной метрологической поверки приборов учета.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2.1.4.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Передать Заказчику выполненные работы по установке прибора учета природного газа по акту выполненных работ в порядке и сроки, предусмотренные настоящим Договором.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2.1.5.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Е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сли в процессе выполнения работ, предусмотренных п. 1.1 настоящего Договора, Подрядчиком обнаружится необходимость в проведении обязательных дополнительных работ, незамедлительно предупредить об этом Заказчика, согласовать с ним перечень, стоимость, сроки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выполнения обязательных дополнительных работ, оформить их проведение путем заключения дополнительного соглашения к настоящему Договору и выполнить обязательные дополнительные работы.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</w:r>
      <w:r>
        <w:rPr>
          <w:rFonts w:ascii="Tinos" w:hAnsi="Tinos" w:eastAsia="Tinos" w:cs="Tinos"/>
          <w:color w:val="000000"/>
          <w:sz w:val="22"/>
          <w:szCs w:val="22"/>
        </w:rPr>
        <w:t xml:space="preserve">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О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бязательной дополнительной работой является работа, необходимость проведения которой обнаружена Подрядчиком в ходе производства работ, предусмотренных п. 1.1 настоящего Договора, невыполнение которой приводит к невозможности достижения конечного результата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, предусмотренного п. 1.1 настоящего Договора.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2.1.6.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Гарантийные обязательства Подрядчика на выполненные работы по установке прибора учета природного газа составляют 6 месяцев с момента приемки Заказчиком выполненных работ по настоящему Договору.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2.1.7.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В срок, указанный в Технических условиях (Приложение №1 к настоящему Договору), приступить к выполнению работ.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b/>
          <w:bCs/>
          <w:color w:val="000000"/>
          <w:sz w:val="22"/>
          <w:szCs w:val="22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/>
          <w:sz w:val="22"/>
          <w:szCs w:val="22"/>
          <w:u w:val="single"/>
        </w:rPr>
        <w:t xml:space="preserve">2.2. Подрядчик вправе:</w:t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</w:r>
      <w:r>
        <w:rPr>
          <w:rFonts w:ascii="Tinos" w:hAnsi="Tinos" w:cs="Tinos"/>
          <w:b/>
          <w:bCs/>
          <w:color w:val="000000"/>
          <w:sz w:val="22"/>
          <w:szCs w:val="22"/>
          <w:u w:val="singl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2.2.1.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Запрашивать у Заказчика документацию и информацию, необходимые для исполнения обязательств Подрядчика по настоящему Договору.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2.2.2.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Не приступать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к выполнению работ по настоящему Договору при невыполнении Заказчиком Технических условий, содержащих перечень мероприятий, осуществляемых Заказчиком, по технической подготовке Объекта для установки прибора учета (Приложение №1               к настоящему Д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оговору).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2.2.3.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Давать Заказчику рекомендации по типам и характеристикам приборов учета газа.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auto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2.2.4.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В одностороннем порядке изменить сроки выполнения работ по установке прибора учета природного газа на соответствующий период задержки в случаях неисполнения Заказчиком обязательств, предусмотренных </w:t>
      </w:r>
      <w:r>
        <w:rPr>
          <w:rFonts w:ascii="Tinos" w:hAnsi="Tinos" w:eastAsia="Tinos" w:cs="Tinos"/>
          <w:color w:val="auto"/>
          <w:sz w:val="22"/>
          <w:szCs w:val="22"/>
        </w:rPr>
        <w:t xml:space="preserve">п.п. 3.1.1, 3.1.2, 3.1.4, 3.1.7 настоящего Договора.</w:t>
      </w:r>
      <w:r>
        <w:rPr>
          <w:rFonts w:ascii="Tinos" w:hAnsi="Tinos" w:cs="Tinos"/>
          <w:color w:val="auto"/>
          <w:sz w:val="22"/>
          <w:szCs w:val="22"/>
          <w:highlight w:val="none"/>
        </w:rPr>
      </w:r>
      <w:r>
        <w:rPr>
          <w:rFonts w:ascii="Tinos" w:hAnsi="Tinos" w:cs="Tinos"/>
          <w:color w:val="auto"/>
          <w:sz w:val="22"/>
          <w:szCs w:val="22"/>
          <w:highlight w:val="non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3. ПРАВА И ОБЯЗАННОСТИ ЗАКАЗЧИКА </w:t>
      </w: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/>
          <w:sz w:val="22"/>
          <w:szCs w:val="22"/>
          <w:u w:val="single"/>
        </w:rPr>
        <w:t xml:space="preserve">3.1. Заказчик обязан: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3.1.1. Обеспечить Подрядчику доступ к Объекту, а также обеспечить свободный доступ             к газовой сети для проведения работ.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3.1.2.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Предоставить Подрядчику прибор учета природного газа, технические параметры которого соответствуют количеству и мощности установленного газового оборудования, а также техническую документацию на прибор учета природного газа, выданную заводом-изготовителем.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3.1.3. Своевременно и в полном объеме оплатить выполненные по настоящему Договору работы.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3.1.4. Предоставить Подрядчику документацию и информацию, необходимые                             для исполнения обязательств Подрядчика по настоящему Договору.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3.1.5. Принять от Подрядчика выполненные работы по установке прибора учета природного газа по акту выполненных работ в порядке и сроки, предусмотренные настоящим Договором.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3.1.6.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Выполнить Технические условия, содержащие перечень мероприятий, осуществляемых Заказчиком, по технической подготовке Объекта для установки прибора учета в установленный срок (Приложение № 1 к настоящему Договору).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3.1.7. Оплатить обязательные дополнительные работы, указанные в </w:t>
      </w:r>
      <w:r>
        <w:rPr>
          <w:rFonts w:ascii="Tinos" w:hAnsi="Tinos" w:eastAsia="Tinos" w:cs="Tinos"/>
          <w:color w:val="000000" w:themeColor="text1"/>
          <w:sz w:val="22"/>
          <w:szCs w:val="22"/>
        </w:rPr>
        <w:t xml:space="preserve">п. 2.1.5</w:t>
      </w:r>
      <w:r>
        <w:rPr>
          <w:rFonts w:ascii="Tinos" w:hAnsi="Tinos" w:eastAsia="Tinos" w:cs="Tinos"/>
          <w:color w:val="ff0000"/>
          <w:sz w:val="22"/>
          <w:szCs w:val="22"/>
        </w:rPr>
        <w:t xml:space="preserve">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настоящего Договора, на основании дополнительного соглашения к Договору, подписанного обеими Сторонами.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/>
          <w:sz w:val="22"/>
          <w:szCs w:val="22"/>
          <w:u w:val="single"/>
        </w:rPr>
        <w:t xml:space="preserve">3.2. Заказчик вправе: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3.2.1. В любое время отказаться от исполнения Договора при условии оплаты работ, выполненных Подрядчиком до момента получения такого отказа.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3.2.2. Получать информацию о ходе выполнения Подрядчиком работ по установке прибора учета природного газа.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3.2.3.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Проверять ход и качество выполняемых Подрядчиком работ по установке прибора учета природного газа.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4. ЦЕНА ДОГОВОРА И ПОРЯДОК РАСЧЕТОВ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4.1. Цена Договора составляет ______________________</w:t>
      </w:r>
      <w:r>
        <w:rPr>
          <w:rFonts w:ascii="Tinos" w:hAnsi="Tinos" w:eastAsia="Tinos" w:cs="Tinos"/>
          <w:b/>
          <w:bCs/>
          <w:color w:val="000000"/>
          <w:sz w:val="22"/>
          <w:szCs w:val="22"/>
          <w:u w:val="single"/>
        </w:rPr>
        <w:t xml:space="preserve"> рублей ____копеек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, с учетом НДС.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4.2. Оплата производится Заказчиком единовременно в момент подписания акта выполненных работ.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4.3.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Обязанность Заказчика по оплате считается исполненной с момента внесения соответствующего платежа Подрядчику, на месте, с выдачей Подрядчиком квитанции бланка строгой отчетности об оплате, либо в кассу Подрядчика.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eastAsia="Tinos" w:cs="Tinos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 4.4. Заказчик возмещает все расходы Подрядчика, связанные с необходимостью принудительного взыскания задолженности по настоящему Договору.</w:t>
      </w:r>
      <w:r>
        <w:rPr>
          <w:rFonts w:ascii="Tinos" w:hAnsi="Tinos" w:eastAsia="Tinos" w:cs="Tinos"/>
          <w:sz w:val="22"/>
          <w:szCs w:val="22"/>
          <w:highlight w:val="none"/>
        </w:rPr>
      </w:r>
      <w:r>
        <w:rPr>
          <w:rFonts w:ascii="Tinos" w:hAnsi="Tinos" w:eastAsia="Tinos" w:cs="Tinos"/>
          <w:sz w:val="22"/>
          <w:szCs w:val="22"/>
          <w:highlight w:val="non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  <w:r>
        <w:rPr>
          <w:rFonts w:ascii="Tinos" w:hAnsi="Tinos" w:cs="Tinos"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center"/>
        <w:spacing w:after="0" w:line="240" w:lineRule="auto"/>
        <w:rPr>
          <w:rFonts w:ascii="Tinos" w:hAnsi="Tinos" w:cs="Tinos"/>
          <w:b/>
          <w:bCs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/>
          <w:sz w:val="22"/>
          <w:szCs w:val="22"/>
          <w:highlight w:val="none"/>
        </w:rPr>
        <w:t xml:space="preserve">5. СРОКИ ВЫПОЛНЕНИЯ РАБОТ. ПОРЯДОК ПРИЕМКИ – ПЕРЕДАЧИ ВЫПОЛНЕННЫХ РАБОТ. ПОРЯДОК ВВОДА УСТАНОВЛЕННОГО ПРИБОРА УЧЕТА ПРИРОДНОГО ГАЗА В ЭКСПЛУАТАЦИЮ</w:t>
      </w:r>
      <w:r>
        <w:rPr>
          <w:rFonts w:ascii="Tinos" w:hAnsi="Tinos" w:cs="Tinos"/>
          <w:b/>
          <w:bCs/>
          <w:sz w:val="22"/>
          <w:szCs w:val="22"/>
        </w:rPr>
      </w:r>
      <w:r>
        <w:rPr>
          <w:rFonts w:ascii="Tinos" w:hAnsi="Tinos" w:cs="Tinos"/>
          <w:b/>
          <w:bCs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5.1.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Подрядчик приступает к выполнению работ по настоящему Договору при условии выполнения Заказчиком Технических условий, содержащих перечень мероприятий, осуществляемых Заказчиком по технической подготовке Объекта для установки прибора учета и обязуется выпол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нить работы по установке прибора учета природного газа в срок до 15.12.2026 г.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5.2.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Подрядчик, исполнивший обязательства, предусмотренные п.п. 1.1. и 1.2. настоящего Договора, предоставляет Заказчику подписанный со своей стороны акт выполненных работ.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5.3.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Заказчик обязан, с момента получения, подписать акт и возвратить один экземпляр Подрядчику, либо предоставить Подрядчику мотивированный отказ от подписания акта. В случае неполучения от Заказчика, акт считается принятым в редакции Подрядчика.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5.4.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Порядок ввода установленного прибора учета природного газа в эксплуатацию: ОСТ 153-39.3-051-2003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b/>
          <w:bCs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6. ОТВЕТСТВЕННОСТЬ СТОРОН </w:t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6.1.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6.2. Подрядчик не несет ответственность за неисполнение условий настоящего Договора             в случае, если Заказчик не предоставил доступа к Объекту, либо не обеспечил свободный доступ  к газовой сети для проведения работ по Договору.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color w:val="000000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6.3.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За просрочку и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сполнения обязательства по установке прибора учета природного газа Подрядчик уплачивает Заказчику за каждый день просрочки неустойку (пени), определяемую               в размере одной трехсотой ставки рефинансирования Центрального банка Российской Федераци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и, действующей на день исполнения обязательства, но не более чем в размере цены выполнения работ по Договору.</w:t>
      </w:r>
      <w:r>
        <w:rPr>
          <w:rFonts w:ascii="Tinos" w:hAnsi="Tinos" w:cs="Tinos"/>
          <w:color w:val="000000"/>
          <w:sz w:val="22"/>
          <w:szCs w:val="22"/>
        </w:rPr>
      </w:r>
      <w:r>
        <w:rPr>
          <w:rFonts w:ascii="Tinos" w:hAnsi="Tinos" w:cs="Tinos"/>
          <w:color w:val="000000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6.4.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За нарушение с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роков оплаты Заказчик уплачивает Подрядчику за каждый день просрочки неустойку (пени), определяемую в размере одной трехсотой ставки рефинансирования Центрального банка Российской Федерации, действующей на день исполнения обязательства,               но не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 более чем в размере цены выполнения работ по Договору.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b/>
          <w:bCs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7. РАЗРЕШЕНИЕ СПОРОВ </w:t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7.1. Все споры и разногласия, которые могут возникнуть между Сторонами в связи                    с заключением, исполнением, изменением или расторжением настоящего Договора, разрешаются путем проведения переговоров.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7.2. В случае, если меры, предусмотренные п. 7.1 настоящего Договора, не приведут                  к урегулированию возникших разногласий, спор подлежит передаче в суд в соответствии                   с действующим законодательством РФ.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709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8. ДЕЙСТВИЕ ДОГОВОРА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8.1. Настоящий Договор вступает в силу с момента его подписания обеими Сторонами                и действует до 30 декабря 2026 г.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567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b/>
          <w:bCs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9. ПРОЧИЕ УСЛОВИЯ </w:t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</w:p>
    <w:p>
      <w:pPr>
        <w:contextualSpacing w:val="0"/>
        <w:ind w:left="0" w:right="0" w:firstLine="0"/>
        <w:jc w:val="center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  <w:highlight w:val="none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9.1.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Моментом получения любых документов по настоящему Договору Стороны согласовали считать день получения Заказчиком корреспонденции в отделении связи или от курьера Подрядчика, либо истечение 10 (десяти) календарных дней с момента направления корреспонденции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почтовой свя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зью по адресу, указанному в настоящем Договоре. Корреспонденция также считается полученной, если Заказчик в течение 10 (десяти) календарных дней с момента направления ему корреспонденции не явился в отделение связи за получением корреспонденции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 или в случае, если Заказчик представил неверные сведения о своем местоположении, либо                     не уведомил Подрядчика об их изменении.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9.2. В соответствии с Федеральным законом «О персональных данных» № 152-ФЗ                       от 27.07.2006 г., Заказчик дает свое согласие на обработку его персональных данных: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- фамил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ия, имя, отчество;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- год, месяц, дата и место рождения;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</w:r>
      <w:r>
        <w:rPr>
          <w:rFonts w:ascii="Tinos" w:hAnsi="Tinos" w:eastAsia="Tinos" w:cs="Tinos"/>
          <w:color w:val="000000"/>
          <w:sz w:val="22"/>
          <w:szCs w:val="22"/>
        </w:rPr>
        <w:t xml:space="preserve">- 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адрес места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 жительства (по месту регистрации и фактическому месту проживания);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- контактные номера телефонов;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- серия и номер документа, удостоверяющего личность, сведения о дате выдачи указанного документа и выдавшем его органе;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283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- сведения о социальном положении (сведения об отнесении гражданина к льготной группе населения, основания отнесения).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</w:t>
      </w:r>
      <w:r>
        <w:rPr>
          <w:rFonts w:ascii="Tinos" w:hAnsi="Tinos" w:eastAsia="Tinos" w:cs="Tinos"/>
          <w:color w:val="000000"/>
          <w:sz w:val="22"/>
          <w:szCs w:val="22"/>
        </w:rPr>
        <w:t xml:space="preserve">.3. Обработка персональных данных Заказчика, указанных в п. 9.2, осуществляется в целях обеспечения защиты имущественных и иных интересов Сторон в случае возникновении между ними разногласий по вопросам надлежащего исполнения принятых на себя обязательств.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9.4. Обработка персональных данных осуществляется путем сбора, систематизации, накопления, хранения, уточнения (обновления, изменения), использования, распространения (в том числе передачи), обезличивания, блокирования и уничтожения.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9.5. Согласие Заказчика на обработку его персональных данных действительно в течение всего срока действия настоящего Договора, а также имеет силу в течение 3-х лет после его расторжения.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9.6. Заказчик вправе в любое время отозвать свое согласие на обработку его персональных данных путем подачи письменного заявления за исключением случаев, когда обработка персональных данных осуществляется в целях исполнения настоящего Договора.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9.7. Настоящий Договор составлен в двух экземплярах, имеющих равную юридическую силу, по одному для каждой из Сторон.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9.8. Все изменения, дополнения к настоящему Договору действительны лишь в том случае, если они оформлены в письменной форме и подписаны уполномоченными представителями Сторон.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0" w:right="0" w:firstLine="567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Приложения: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567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color w:val="000000"/>
          <w:sz w:val="22"/>
          <w:szCs w:val="22"/>
        </w:rPr>
        <w:t xml:space="preserve">Приложение № 1 – Технические условия.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contextualSpacing w:val="0"/>
        <w:ind w:left="567" w:right="0" w:firstLine="0"/>
        <w:jc w:val="both"/>
        <w:spacing w:after="0" w:line="240" w:lineRule="auto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p>
      <w:pPr>
        <w:ind w:left="0" w:right="0" w:firstLine="0"/>
        <w:jc w:val="center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10. АДРЕСА И РЕКВИЗИТЫ СТОРОН </w:t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Style w:val="73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788"/>
        <w:gridCol w:w="4566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Подрядчик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Заказчик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88" w:type="dxa"/>
            <w:vAlign w:val="top"/>
            <w:textDirection w:val="lrTb"/>
            <w:noWrap w:val="false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6" w:type="dxa"/>
            <w:vAlign w:val="top"/>
            <w:textDirection w:val="lrTb"/>
            <w:noWrap w:val="false"/>
          </w:tcPr>
          <w:p>
            <w:pPr>
              <w:spacing w:after="0" w:line="240" w:lineRule="auto"/>
              <w:rPr>
                <w:rFonts w:ascii="Tinos" w:hAnsi="Tinos" w:cs="Tinos"/>
                <w:b/>
                <w:sz w:val="18"/>
                <w:szCs w:val="18"/>
              </w:rPr>
            </w:pPr>
            <w:r>
              <w:rPr>
                <w:rFonts w:ascii="Tinos" w:hAnsi="Tinos" w:eastAsia="Tinos" w:cs="Tinos"/>
                <w:b/>
                <w:sz w:val="18"/>
                <w:szCs w:val="18"/>
              </w:rPr>
              <w:t xml:space="preserve">Управление Федеральной службы государственной регистрации, кадастра и картографии по Белгородской области</w:t>
            </w:r>
            <w:r>
              <w:rPr>
                <w:rFonts w:ascii="Tinos" w:hAnsi="Tinos" w:cs="Tinos"/>
                <w:b/>
                <w:sz w:val="18"/>
                <w:szCs w:val="18"/>
              </w:rPr>
            </w:r>
            <w:r>
              <w:rPr>
                <w:rFonts w:ascii="Tinos" w:hAnsi="Tinos" w:cs="Tinos"/>
                <w:b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Юридический адрес: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308010,  г.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 Белгород,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пр. Б. Хмельницкого,162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Плательщик: УФК по Белгородской области (Управление 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Росреестра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 по Белгородской области) л/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сч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. 03261А39260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  <w14:ligatures w14:val="none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ИНН 3123113560 КПП 312301001</w:t>
            </w:r>
            <w:r>
              <w:rPr>
                <w:rFonts w:ascii="Tinos" w:hAnsi="Tinos" w:cs="Tinos"/>
                <w:sz w:val="18"/>
                <w:szCs w:val="18"/>
                <w14:ligatures w14:val="none"/>
              </w:rPr>
            </w:r>
            <w:r>
              <w:rPr>
                <w:rFonts w:ascii="Tinos" w:hAnsi="Tinos" w:cs="Tinos"/>
                <w:sz w:val="18"/>
                <w:szCs w:val="18"/>
                <w14:ligatures w14:val="none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Р.сч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. (казначейский счет): 03211643000000013226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Банк плательщика: ОКЦ № 1 ВВГУ Банка России // УФК по Нижегородской области, г. Нижний Новгород 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БИК (БИК ТОФК): 012202102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Кор.сч</w:t>
            </w:r>
            <w:r>
              <w:rPr>
                <w:rFonts w:ascii="Tinos" w:hAnsi="Tinos" w:eastAsia="Tinos" w:cs="Tinos"/>
                <w:sz w:val="18"/>
                <w:szCs w:val="18"/>
              </w:rPr>
              <w:t xml:space="preserve">. (ЕКС): 40102810745370000024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Тел.: +7(4722) 30-00-12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  <w:t xml:space="preserve">Адрес электронной почты: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nos" w:hAnsi="Tinos" w:cs="Tinos"/>
                <w:sz w:val="18"/>
                <w:szCs w:val="18"/>
              </w:rPr>
            </w:pPr>
            <w:r>
              <w:rPr>
                <w:rFonts w:ascii="Tinos" w:hAnsi="Tinos" w:eastAsia="Tinos" w:cs="Tinos"/>
                <w:sz w:val="18"/>
                <w:szCs w:val="18"/>
              </w:rPr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3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1_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e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.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kuzub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@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ros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reestr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.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armgs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.</w:t>
            </w:r>
            <w:r>
              <w:rPr>
                <w:rFonts w:ascii="Tinos" w:hAnsi="Tinos" w:eastAsia="Tinos" w:cs="Tinos"/>
                <w:sz w:val="18"/>
                <w:szCs w:val="18"/>
                <w:lang w:val="en-US"/>
              </w:rPr>
              <w:t xml:space="preserve">team</w:t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  <w:p>
            <w:pPr>
              <w:ind w:left="0" w:right="0" w:firstLine="0"/>
              <w:rPr>
                <w:rFonts w:ascii="Tinos" w:hAnsi="Tinos" w:cs="Tinos"/>
                <w:sz w:val="18"/>
                <w:szCs w:val="1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  <w:r>
              <w:rPr>
                <w:rFonts w:ascii="Tinos" w:hAnsi="Tinos" w:cs="Tinos"/>
                <w:sz w:val="18"/>
                <w:szCs w:val="18"/>
              </w:rPr>
            </w:r>
          </w:p>
        </w:tc>
      </w:tr>
    </w:tbl>
    <w:p>
      <w:pPr>
        <w:contextualSpacing w:val="0"/>
        <w:ind w:left="0" w:right="0" w:firstLine="0"/>
        <w:jc w:val="center"/>
        <w:spacing w:before="0" w:after="0" w:line="276" w:lineRule="auto"/>
        <w:rPr>
          <w:rFonts w:ascii="Tinos" w:hAnsi="Tinos" w:cs="Tinos"/>
          <w:b/>
          <w:bCs/>
          <w:color w:val="000000"/>
          <w:sz w:val="22"/>
          <w:szCs w:val="22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11. П</w:t>
      </w:r>
      <w:r>
        <w:rPr>
          <w:rFonts w:ascii="Tinos" w:hAnsi="Tinos" w:eastAsia="Tinos" w:cs="Tinos"/>
          <w:b/>
          <w:color w:val="000000"/>
          <w:sz w:val="22"/>
          <w:szCs w:val="22"/>
        </w:rPr>
        <w:t xml:space="preserve">ОДПИСИ СТОРОН </w:t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  <w:r>
        <w:rPr>
          <w:rFonts w:ascii="Tinos" w:hAnsi="Tinos" w:cs="Tinos"/>
          <w:b/>
          <w:bCs/>
          <w:color w:val="000000"/>
          <w:sz w:val="22"/>
          <w:szCs w:val="22"/>
          <w:highlight w:val="none"/>
        </w:rPr>
      </w:r>
    </w:p>
    <w:p>
      <w:pPr>
        <w:ind w:left="0" w:right="0" w:firstLine="0"/>
        <w:jc w:val="both"/>
        <w:rPr>
          <w:rFonts w:ascii="Tinos" w:hAnsi="Tinos" w:cs="Tinos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  <w:r>
        <w:rPr>
          <w:rFonts w:ascii="Tinos" w:hAnsi="Tinos" w:cs="Tinos"/>
          <w:sz w:val="22"/>
          <w:szCs w:val="22"/>
        </w:rPr>
      </w:r>
    </w:p>
    <w:tbl>
      <w:tblPr>
        <w:tblStyle w:val="731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359"/>
        <w:gridCol w:w="4996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Подрядчик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9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Заказчик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  <w:highlight w:val="none"/>
                <w:u w:val="single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  <w:highlight w:val="none"/>
                <w:u w:val="single"/>
              </w:rPr>
            </w:r>
            <w:r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</w:r>
            <w:r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</w:r>
          </w:p>
          <w:p>
            <w:pPr>
              <w:ind w:left="0" w:right="0" w:firstLine="0"/>
              <w:jc w:val="both"/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_________________/______________</w:t>
            </w: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  <w:u w:val="single"/>
              </w:rPr>
              <w:t xml:space="preserve">/</w:t>
            </w:r>
            <w:r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</w:r>
            <w:r>
              <w:rPr>
                <w:rFonts w:ascii="Tinos" w:hAnsi="Tinos" w:eastAsia="Tinos" w:cs="Tinos"/>
                <w:b/>
                <w:bCs/>
                <w:color w:val="000000"/>
                <w:sz w:val="22"/>
                <w:szCs w:val="22"/>
                <w:highlight w:val="none"/>
                <w:u w:val="single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(подпись)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9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Начальник отдела МТО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_____________________/</w:t>
            </w: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  <w:u w:val="single"/>
              </w:rPr>
              <w:t xml:space="preserve">Е</w:t>
            </w: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  <w:u w:val="single"/>
              </w:rPr>
              <w:t xml:space="preserve">. Н. Кузуб/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2"/>
                <w:szCs w:val="22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/>
                <w:color w:val="000000"/>
                <w:sz w:val="22"/>
                <w:szCs w:val="22"/>
              </w:rPr>
              <w:t xml:space="preserve">(подпись)</w:t>
            </w:r>
            <w:r>
              <w:rPr>
                <w:rFonts w:ascii="Tinos" w:hAnsi="Tinos" w:cs="Tinos"/>
                <w:sz w:val="22"/>
                <w:szCs w:val="22"/>
              </w:rPr>
            </w:r>
            <w:r>
              <w:rPr>
                <w:rFonts w:ascii="Tinos" w:hAnsi="Tinos" w:cs="Tinos"/>
                <w:sz w:val="22"/>
                <w:szCs w:val="22"/>
              </w:rPr>
            </w:r>
          </w:p>
        </w:tc>
      </w:tr>
    </w:tbl>
    <w:p>
      <w:pPr>
        <w:ind w:left="0"/>
        <w:jc w:val="left"/>
        <w:spacing w:after="0" w:line="240" w:lineRule="auto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bCs/>
          <w:sz w:val="22"/>
          <w:szCs w:val="22"/>
        </w:rPr>
        <w:t xml:space="preserve">                                                                                                        Приложение №1 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ind w:left="0"/>
        <w:jc w:val="right"/>
        <w:spacing w:after="0" w:line="240" w:lineRule="auto"/>
        <w:rPr>
          <w:rFonts w:ascii="PT Astra Serif" w:hAnsi="PT Astra Serif" w:cs="PT Astra Serif"/>
          <w:bCs/>
          <w:sz w:val="22"/>
          <w:szCs w:val="22"/>
        </w:rPr>
      </w:pPr>
      <w:r>
        <w:rPr>
          <w:rFonts w:ascii="PT Astra Serif" w:hAnsi="PT Astra Serif" w:eastAsia="PT Astra Serif" w:cs="PT Astra Serif"/>
          <w:bCs/>
          <w:sz w:val="22"/>
          <w:szCs w:val="22"/>
        </w:rPr>
        <w:t xml:space="preserve">к Договору </w:t>
      </w:r>
      <w:r>
        <w:rPr>
          <w:rFonts w:ascii="PT Astra Serif" w:hAnsi="PT Astra Serif" w:eastAsia="PT Astra Serif" w:cs="PT Astra Serif"/>
          <w:bCs/>
          <w:sz w:val="22"/>
          <w:szCs w:val="22"/>
        </w:rPr>
        <w:t xml:space="preserve">от «___» _______2026 № _ </w:t>
      </w:r>
      <w:r>
        <w:rPr>
          <w:rFonts w:ascii="PT Astra Serif" w:hAnsi="PT Astra Serif" w:cs="PT Astra Serif"/>
          <w:bCs/>
          <w:sz w:val="22"/>
          <w:szCs w:val="22"/>
        </w:rPr>
      </w:r>
      <w:r>
        <w:rPr>
          <w:rFonts w:ascii="PT Astra Serif" w:hAnsi="PT Astra Serif" w:cs="PT Astra Serif"/>
          <w:bCs/>
          <w:sz w:val="22"/>
          <w:szCs w:val="22"/>
        </w:rPr>
      </w:r>
    </w:p>
    <w:p>
      <w:pPr>
        <w:jc w:val="center"/>
        <w:spacing w:after="0" w:line="240" w:lineRule="auto"/>
        <w:rPr>
          <w:rStyle w:val="882"/>
          <w:rFonts w:ascii="PT Astra Serif" w:hAnsi="PT Astra Serif" w:cs="PT Astra Serif"/>
          <w:bCs w:val="0"/>
          <w:i w:val="0"/>
          <w:sz w:val="22"/>
          <w:szCs w:val="22"/>
        </w:rPr>
      </w:pPr>
      <w:r>
        <w:rPr>
          <w:rStyle w:val="882"/>
          <w:rFonts w:ascii="PT Astra Serif" w:hAnsi="PT Astra Serif" w:eastAsia="PT Astra Serif" w:cs="PT Astra Serif"/>
          <w:i w:val="0"/>
          <w:sz w:val="22"/>
          <w:szCs w:val="22"/>
          <w:highlight w:val="none"/>
        </w:rPr>
      </w:r>
      <w:r>
        <w:rPr>
          <w:rStyle w:val="882"/>
          <w:rFonts w:ascii="PT Astra Serif" w:hAnsi="PT Astra Serif" w:cs="PT Astra Serif"/>
          <w:bCs w:val="0"/>
          <w:i w:val="0"/>
          <w:sz w:val="22"/>
          <w:szCs w:val="22"/>
        </w:rPr>
      </w:r>
      <w:r>
        <w:rPr>
          <w:rStyle w:val="882"/>
          <w:rFonts w:ascii="PT Astra Serif" w:hAnsi="PT Astra Serif" w:cs="PT Astra Serif"/>
          <w:bCs w:val="0"/>
          <w:i w:val="0"/>
          <w:sz w:val="22"/>
          <w:szCs w:val="22"/>
        </w:rPr>
      </w:r>
    </w:p>
    <w:p>
      <w:pPr>
        <w:jc w:val="center"/>
        <w:spacing w:after="0" w:line="240" w:lineRule="auto"/>
        <w:rPr>
          <w:rStyle w:val="882"/>
          <w:rFonts w:ascii="PT Astra Serif" w:hAnsi="PT Astra Serif" w:eastAsia="PT Astra Serif" w:cs="PT Astra Serif"/>
          <w:bCs w:val="0"/>
          <w:i w:val="0"/>
          <w:sz w:val="22"/>
          <w:szCs w:val="22"/>
          <w:highlight w:val="none"/>
        </w:rPr>
      </w:pPr>
      <w:r>
        <w:rPr>
          <w:rStyle w:val="882"/>
          <w:rFonts w:ascii="PT Astra Serif" w:hAnsi="PT Astra Serif" w:eastAsia="PT Astra Serif" w:cs="PT Astra Serif"/>
          <w:i w:val="0"/>
          <w:sz w:val="22"/>
          <w:szCs w:val="22"/>
        </w:rPr>
        <w:t xml:space="preserve">Техническое задание </w:t>
      </w:r>
      <w:r>
        <w:rPr>
          <w:rStyle w:val="882"/>
          <w:rFonts w:ascii="PT Astra Serif" w:hAnsi="PT Astra Serif" w:eastAsia="PT Astra Serif" w:cs="PT Astra Serif"/>
          <w:bCs w:val="0"/>
          <w:i w:val="0"/>
          <w:sz w:val="22"/>
          <w:szCs w:val="22"/>
          <w:highlight w:val="none"/>
        </w:rPr>
      </w:r>
      <w:r>
        <w:rPr>
          <w:rStyle w:val="882"/>
          <w:rFonts w:ascii="PT Astra Serif" w:hAnsi="PT Astra Serif" w:eastAsia="PT Astra Serif" w:cs="PT Astra Serif"/>
          <w:bCs w:val="0"/>
          <w:i w:val="0"/>
          <w:sz w:val="22"/>
          <w:szCs w:val="22"/>
          <w:highlight w:val="none"/>
        </w:rPr>
      </w:r>
    </w:p>
    <w:p>
      <w:pPr>
        <w:jc w:val="center"/>
        <w:spacing w:after="0" w:line="240" w:lineRule="auto"/>
        <w:rPr>
          <w:rFonts w:ascii="PT Astra Serif" w:hAnsi="PT Astra Serif" w:cs="PT Astra Serif"/>
          <w:b/>
          <w:sz w:val="22"/>
          <w:szCs w:val="22"/>
        </w:rPr>
      </w:pP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на оказание услуг по выполнению работ по 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монтажу (демонтажу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) газового счетчика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.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 </w:t>
      </w:r>
      <w:r>
        <w:rPr>
          <w:rFonts w:ascii="PT Astra Serif" w:hAnsi="PT Astra Serif" w:cs="PT Astra Serif"/>
          <w:b/>
          <w:sz w:val="22"/>
          <w:szCs w:val="22"/>
        </w:rPr>
      </w:r>
      <w:r>
        <w:rPr>
          <w:rFonts w:ascii="PT Astra Serif" w:hAnsi="PT Astra Serif" w:cs="PT Astra Serif"/>
          <w:b/>
          <w:sz w:val="22"/>
          <w:szCs w:val="22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bCs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b/>
          <w:sz w:val="22"/>
          <w:szCs w:val="22"/>
          <w:highlight w:val="none"/>
        </w:rPr>
      </w:r>
      <w:r>
        <w:rPr>
          <w:rFonts w:ascii="PT Astra Serif" w:hAnsi="PT Astra Serif" w:cs="PT Astra Serif"/>
          <w:b/>
          <w:bCs/>
          <w:sz w:val="22"/>
          <w:szCs w:val="22"/>
          <w:highlight w:val="none"/>
        </w:rPr>
      </w:r>
      <w:r>
        <w:rPr>
          <w:rFonts w:ascii="PT Astra Serif" w:hAnsi="PT Astra Serif" w:cs="PT Astra Serif"/>
          <w:b/>
          <w:bCs/>
          <w:sz w:val="22"/>
          <w:szCs w:val="22"/>
          <w:highlight w:val="non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b/>
          <w:bCs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Наименование: О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казание услуг 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по выполнению работ по 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монтажу (демонтажу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) газового счетчика</w:t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.</w:t>
      </w:r>
      <w:r>
        <w:rPr>
          <w:rFonts w:ascii="PT Astra Serif" w:hAnsi="PT Astra Serif" w:cs="PT Astra Serif"/>
          <w:b/>
          <w:bCs/>
          <w:sz w:val="22"/>
          <w:szCs w:val="22"/>
          <w:highlight w:val="none"/>
        </w:rPr>
      </w:r>
      <w:r>
        <w:rPr>
          <w:rFonts w:ascii="PT Astra Serif" w:hAnsi="PT Astra Serif" w:cs="PT Astra Serif"/>
          <w:b/>
          <w:bCs/>
          <w:sz w:val="22"/>
          <w:szCs w:val="22"/>
          <w:highlight w:val="non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color w:val="000000"/>
          <w:sz w:val="22"/>
          <w:szCs w:val="22"/>
        </w:rPr>
      </w:pP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Оказание услуг, необходимых для монтажа (демонтажа) газового счетчика (далее – Услуга):</w:t>
      </w:r>
      <w:r>
        <w:rPr>
          <w:rFonts w:ascii="PT Astra Serif" w:hAnsi="PT Astra Serif" w:cs="PT Astra Serif"/>
          <w:color w:val="000000"/>
          <w:sz w:val="22"/>
          <w:szCs w:val="22"/>
        </w:rPr>
      </w:r>
      <w:r>
        <w:rPr>
          <w:rFonts w:ascii="PT Astra Serif" w:hAnsi="PT Astra Serif" w:cs="PT Astra Serif"/>
          <w:color w:val="000000"/>
          <w:sz w:val="22"/>
          <w:szCs w:val="22"/>
        </w:rPr>
      </w:r>
    </w:p>
    <w:p>
      <w:pPr>
        <w:contextualSpacing/>
        <w:jc w:val="both"/>
        <w:spacing w:line="240" w:lineRule="auto"/>
        <w:rPr>
          <w:rFonts w:ascii="PT Astra Serif" w:hAnsi="PT Astra Serif" w:eastAsia="PT Astra Serif" w:cs="PT Astra Serif"/>
          <w:b w:val="0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sz w:val="22"/>
          <w:szCs w:val="22"/>
        </w:rPr>
      </w:r>
      <w:r>
        <w:rPr>
          <w:rFonts w:ascii="PT Astra Serif" w:hAnsi="PT Astra Serif" w:eastAsia="PT Astra Serif" w:cs="PT Astra Serif"/>
          <w:b/>
          <w:bCs/>
          <w:iCs/>
          <w:sz w:val="22"/>
          <w:szCs w:val="22"/>
        </w:rPr>
        <w:t xml:space="preserve">Место оказания услуги: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Белгородская обл.,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Чернянский р-н. п. Чернянка, ул.Октябрьская, д. 26.</w:t>
      </w:r>
      <w:r>
        <w:rPr>
          <w:rFonts w:ascii="PT Astra Serif" w:hAnsi="PT Astra Serif" w:eastAsia="PT Astra Serif" w:cs="PT Astra Serif"/>
          <w:b w:val="0"/>
          <w:sz w:val="22"/>
          <w:szCs w:val="22"/>
        </w:rPr>
      </w:r>
      <w:r>
        <w:rPr>
          <w:rFonts w:ascii="PT Astra Serif" w:hAnsi="PT Astra Serif" w:eastAsia="PT Astra Serif" w:cs="PT Astra Serif"/>
          <w:b w:val="0"/>
          <w:sz w:val="22"/>
          <w:szCs w:val="22"/>
        </w:rPr>
      </w:r>
    </w:p>
    <w:p>
      <w:pPr>
        <w:contextualSpacing w:val="0"/>
        <w:ind w:firstLine="0"/>
        <w:jc w:val="both"/>
        <w:spacing w:after="0" w:line="240" w:lineRule="auto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Требования к Исполнителю: 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eastAsia="PT Astra Serif" w:cs="PT Astra Serif"/>
          <w:color w:val="000000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в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 соответствии с </w:t>
      </w:r>
      <w:r>
        <w:rPr>
          <w:rFonts w:ascii="PT Astra Serif" w:hAnsi="PT Astra Serif" w:eastAsia="PT Astra Serif" w:cs="PT Astra Serif"/>
          <w:color w:val="000000"/>
          <w:sz w:val="22"/>
          <w:szCs w:val="22"/>
          <w:highlight w:val="white"/>
        </w:rPr>
        <w:t xml:space="preserve">Постановлением Правительства РФ от 14.05.2013 № 410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 «О мерах                       по обеспечению безопасности при использовании и содержании внутридомового                             и внутриквартирного газового оборудования» 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Услуга должна осуществляться только специализированными организациями, с 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квалифицированным персоналом.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Требования к порядку предоставления услуг:</w:t>
      </w:r>
      <w:r>
        <w:rPr>
          <w:rFonts w:ascii="PT Astra Serif" w:hAnsi="PT Astra Serif" w:cs="PT Astra Serif"/>
          <w:b/>
          <w:bCs/>
          <w:sz w:val="22"/>
          <w:szCs w:val="22"/>
        </w:rPr>
      </w:r>
      <w:r>
        <w:rPr>
          <w:rFonts w:ascii="PT Astra Serif" w:hAnsi="PT Astra Serif" w:cs="PT Astra Serif"/>
          <w:b/>
          <w:bCs/>
          <w:sz w:val="22"/>
          <w:szCs w:val="22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cs="PT Astra Serif"/>
          <w:b w:val="0"/>
          <w:bCs w:val="0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Про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извести работу по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монтажу( демонтажу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) 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газового счетчика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.</w:t>
      </w:r>
      <w:r>
        <w:rPr>
          <w:rFonts w:ascii="PT Astra Serif" w:hAnsi="PT Astra Serif" w:cs="PT Astra Serif"/>
          <w:b w:val="0"/>
          <w:bCs w:val="0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sz w:val="22"/>
          <w:szCs w:val="22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cs="PT Astra Serif"/>
          <w:color w:val="000000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Осуществлять работы на объекте в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рабочее время Заказчика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(с понедельника по четверг с 09.00     до 13.00 и с 13.45 до 18.00, в пятницу с 09.00 до 13.00 и с 13.45 до 16.45 (по местному времени Заказчика).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 Обеденный перерыв в рабочие дни предусмотрен с 13:00 до 13:45.</w:t>
      </w:r>
      <w:r>
        <w:rPr>
          <w:rFonts w:ascii="PT Astra Serif" w:hAnsi="PT Astra Serif" w:cs="PT Astra Serif"/>
          <w:color w:val="000000"/>
          <w:sz w:val="22"/>
          <w:szCs w:val="22"/>
        </w:rPr>
      </w:r>
      <w:r>
        <w:rPr>
          <w:rFonts w:ascii="PT Astra Serif" w:hAnsi="PT Astra Serif" w:cs="PT Astra Serif"/>
          <w:color w:val="000000"/>
          <w:sz w:val="22"/>
          <w:szCs w:val="22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Со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блюдать Правила и Инструкции по охр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ане труда, технике без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опасности 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электро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и пожарной безопасности, а также санитарные нормы и правила.</w:t>
      </w:r>
      <w:r>
        <w:rPr>
          <w:rFonts w:ascii="PT Astra Serif" w:hAnsi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  <w:highlight w:val="none"/>
        </w:rPr>
      </w:r>
    </w:p>
    <w:p>
      <w:pPr>
        <w:ind w:firstLine="0"/>
        <w:jc w:val="both"/>
        <w:spacing w:after="0" w:line="240" w:lineRule="auto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  <w:t xml:space="preserve">-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Монтаж (демонтаж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) </w:t>
      </w:r>
      <w:r>
        <w:rPr>
          <w:rFonts w:ascii="PT Astra Serif" w:hAnsi="PT Astra Serif" w:eastAsia="PT Astra Serif" w:cs="PT Astra Serif"/>
          <w:color w:val="000000"/>
          <w:sz w:val="22"/>
          <w:szCs w:val="22"/>
        </w:rPr>
        <w:t xml:space="preserve">газового счетчика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 будет осуществляться в отапливаемом помещении,                   без п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</w:rPr>
        <w:t xml:space="preserve">рименения сварочных работ, на вертикальном участке с направлением потока газа </w:t>
      </w:r>
      <w:r>
        <w:rPr>
          <w:rFonts w:ascii="PT Astra Serif" w:hAnsi="PT Astra Serif" w:eastAsia="PT Astra Serif" w:cs="PT Astra Serif"/>
          <w:b w:val="0"/>
          <w:bCs w:val="0"/>
          <w:sz w:val="22"/>
          <w:szCs w:val="22"/>
          <w:highlight w:val="none"/>
        </w:rPr>
        <w:t xml:space="preserve">сверху – вниз, центровое расстояние 250 мм.</w:t>
      </w:r>
      <w:r>
        <w:rPr>
          <w:rFonts w:ascii="PT Astra Serif" w:hAnsi="PT Astra Serif" w:cs="PT Astra Serif"/>
          <w:b/>
          <w:bCs/>
          <w:sz w:val="22"/>
          <w:szCs w:val="22"/>
        </w:rPr>
      </w:r>
      <w:r>
        <w:rPr>
          <w:rFonts w:ascii="PT Astra Serif" w:hAnsi="PT Astra Serif" w:cs="PT Astra Serif"/>
          <w:b/>
          <w:bCs/>
          <w:sz w:val="22"/>
          <w:szCs w:val="22"/>
        </w:rPr>
      </w:r>
    </w:p>
    <w:p>
      <w:pPr>
        <w:pStyle w:val="878"/>
        <w:jc w:val="both"/>
        <w:spacing w:line="240" w:lineRule="auto"/>
        <w:tabs>
          <w:tab w:val="left" w:pos="0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b/>
          <w:strike/>
          <w:sz w:val="22"/>
          <w:szCs w:val="22"/>
        </w:rPr>
      </w:r>
      <w:r>
        <w:rPr>
          <w:rFonts w:ascii="PT Astra Serif" w:hAnsi="PT Astra Serif" w:eastAsia="PT Astra Serif" w:cs="PT Astra Serif"/>
          <w:b/>
          <w:sz w:val="22"/>
          <w:szCs w:val="22"/>
        </w:rPr>
        <w:t xml:space="preserve">Перечень и объем выполнения работ: 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Отключение подачи газа с целью установки индивидуального прибора учета газа.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lang w:eastAsia="ar-SA"/>
        </w:rPr>
        <w:t xml:space="preserve">- Демонтаж счетчика газа, бывшего в эксплуатации,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в связи с заменой на интеллектуальный прибор учета газа.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Проверить герметичность соединений.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Проверить работоспособность счетчика на месте эксплуатации.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  <w:t xml:space="preserve">- Задать расход газа газовым прибором, установленным после счетчика (газовый котел).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Проверить наличие индикации мгновенного расхода газа в основном меню счетчика                     при потреблении газа газовым прибором, установленным после счетчика.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Проверить нарастание накопительного объема при потреблении газа.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- При монтаже, для оценки уровня сигнала сотовой сети непосредственно на объекте эксплуатации, необходимо осуществить запуск принудительного сеанса связи согласно инструкции                       по эксплуатации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.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83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  <w:lang w:eastAsia="ru-RU"/>
        </w:rPr>
        <w:t xml:space="preserve">Требования к качеству и безопасности </w:t>
      </w:r>
      <w:r>
        <w:rPr>
          <w:rFonts w:ascii="PT Astra Serif" w:hAnsi="PT Astra Serif" w:eastAsia="PT Astra Serif" w:cs="PT Astra Serif"/>
          <w:b/>
          <w:sz w:val="22"/>
          <w:szCs w:val="22"/>
          <w:highlight w:val="none"/>
          <w:lang w:eastAsia="ru-RU"/>
        </w:rPr>
        <w:t xml:space="preserve">услуг:</w:t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879"/>
        <w:contextualSpacing w:val="0"/>
        <w:ind w:left="0" w:firstLine="0"/>
        <w:jc w:val="both"/>
        <w:spacing w:after="0" w:line="240" w:lineRule="auto"/>
        <w:rPr>
          <w:rFonts w:ascii="PT Astra Serif" w:hAnsi="PT Astra Serif" w:cs="PT Astra Serif"/>
          <w:color w:val="auto"/>
          <w:sz w:val="22"/>
          <w:szCs w:val="22"/>
          <w:highlight w:val="yellow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1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)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Оказываемая Услуга должна соответствовать стандартам и требованиям, предъявляемым           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к Услугам такого рода и осуществляться в соответствии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со следующими нормативными документами:</w:t>
      </w:r>
      <w:r>
        <w:rPr>
          <w:rFonts w:ascii="PT Astra Serif" w:hAnsi="PT Astra Serif" w:cs="PT Astra Serif"/>
          <w:color w:val="auto"/>
          <w:sz w:val="22"/>
          <w:szCs w:val="22"/>
          <w:highlight w:val="yellow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yellow"/>
        </w:rPr>
      </w:r>
    </w:p>
    <w:p>
      <w:pPr>
        <w:pStyle w:val="879"/>
        <w:contextualSpacing w:val="0"/>
        <w:ind w:left="0" w:firstLine="0"/>
        <w:jc w:val="both"/>
        <w:spacing w:after="0" w:line="240" w:lineRule="auto"/>
        <w:rPr>
          <w:rFonts w:ascii="PT Astra Serif" w:hAnsi="PT Astra Serif" w:cs="PT Astra Serif"/>
          <w:b/>
          <w:bCs/>
          <w:color w:val="auto"/>
          <w:sz w:val="22"/>
          <w:szCs w:val="22"/>
          <w:highlight w:val="yellow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-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Постановление Правительства РФ от 06.05.2011 N 354 «О предоставлении коммунальных услуг собственникам и пользователям помещений в многоквартирных домах и жилых домов».</w:t>
      </w:r>
      <w:r>
        <w:rPr>
          <w:rFonts w:ascii="PT Astra Serif" w:hAnsi="PT Astra Serif" w:cs="PT Astra Serif"/>
          <w:b/>
          <w:bCs/>
          <w:color w:val="auto"/>
          <w:sz w:val="22"/>
          <w:szCs w:val="22"/>
          <w:highlight w:val="yellow"/>
        </w:rPr>
      </w:r>
      <w:r>
        <w:rPr>
          <w:rFonts w:ascii="PT Astra Serif" w:hAnsi="PT Astra Serif" w:cs="PT Astra Serif"/>
          <w:b/>
          <w:bCs/>
          <w:color w:val="auto"/>
          <w:sz w:val="22"/>
          <w:szCs w:val="22"/>
          <w:highlight w:val="yellow"/>
        </w:rPr>
      </w:r>
    </w:p>
    <w:p>
      <w:pPr>
        <w:contextualSpacing w:val="0"/>
        <w:ind w:firstLine="0"/>
        <w:jc w:val="both"/>
        <w:spacing w:after="0" w:line="240" w:lineRule="auto"/>
        <w:rPr>
          <w:rFonts w:ascii="PT Astra Serif" w:hAnsi="PT Astra Serif" w:cs="PT Astra Serif"/>
          <w:bCs/>
          <w:iCs/>
          <w:color w:val="auto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bCs/>
          <w:iCs/>
          <w:color w:val="auto"/>
          <w:sz w:val="22"/>
          <w:szCs w:val="22"/>
          <w:highlight w:val="none"/>
        </w:rPr>
        <w:t xml:space="preserve">- руководство по эксплуатации приборов </w:t>
      </w:r>
      <w:r>
        <w:rPr>
          <w:rFonts w:ascii="PT Astra Serif" w:hAnsi="PT Astra Serif" w:eastAsia="PT Astra Serif" w:cs="PT Astra Serif"/>
          <w:bCs/>
          <w:iCs/>
          <w:color w:val="auto"/>
          <w:sz w:val="22"/>
          <w:szCs w:val="22"/>
          <w:highlight w:val="none"/>
        </w:rPr>
        <w:t xml:space="preserve">учета.</w:t>
      </w:r>
      <w:r>
        <w:rPr>
          <w:rFonts w:ascii="PT Astra Serif" w:hAnsi="PT Astra Serif" w:cs="PT Astra Serif"/>
          <w:bCs/>
          <w:iCs/>
          <w:color w:val="auto"/>
          <w:sz w:val="22"/>
          <w:szCs w:val="22"/>
          <w:highlight w:val="none"/>
        </w:rPr>
      </w:r>
      <w:r>
        <w:rPr>
          <w:rFonts w:ascii="PT Astra Serif" w:hAnsi="PT Astra Serif" w:cs="PT Astra Serif"/>
          <w:bCs/>
          <w:iCs/>
          <w:color w:val="auto"/>
          <w:sz w:val="22"/>
          <w:szCs w:val="22"/>
          <w:highlight w:val="none"/>
        </w:rPr>
      </w:r>
    </w:p>
    <w:p>
      <w:pPr>
        <w:contextualSpacing w:val="0"/>
        <w:ind w:firstLine="0"/>
        <w:jc w:val="both"/>
        <w:spacing w:after="0" w:line="240" w:lineRule="auto"/>
        <w:rPr>
          <w:rFonts w:ascii="PT Astra Serif" w:hAnsi="PT Astra Serif" w:cs="PT Astra Serif"/>
          <w:color w:val="auto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</w:rPr>
        <w:t xml:space="preserve">-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</w:rPr>
        <w:t xml:space="preserve">ГОСТ Р 8.568-2017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</w:rPr>
        <w:t xml:space="preserve"> Г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</w:rPr>
        <w:t xml:space="preserve">осударственная система обеспечения единства измерений. Аттестация испытательного оборудования. Основные положения.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</w:rPr>
        <w:t xml:space="preserve"> </w:t>
      </w:r>
      <w:r>
        <w:rPr>
          <w:rFonts w:ascii="PT Astra Serif" w:hAnsi="PT Astra Serif" w:cs="PT Astra Serif"/>
          <w:color w:val="auto"/>
          <w:sz w:val="22"/>
          <w:szCs w:val="22"/>
          <w:highlight w:val="none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none"/>
        </w:rPr>
      </w:r>
    </w:p>
    <w:p>
      <w:pPr>
        <w:contextualSpacing w:val="0"/>
        <w:ind w:firstLine="0"/>
        <w:jc w:val="both"/>
        <w:spacing w:after="0" w:line="240" w:lineRule="auto"/>
        <w:rPr>
          <w:rFonts w:ascii="PT Astra Serif" w:hAnsi="PT Astra Serif" w:cs="PT Astra Serif"/>
          <w:color w:val="auto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2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)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 Применяемые материалы, методы и технологии при оказании услуг должны соответствовать требованиям экологических, санитарно-гигиенических, противопожарных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и других норм, действующих на территории Российской Федерации и обеспечивать безопасную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zh-CN"/>
        </w:rPr>
        <w:t xml:space="preserve">для жизни            и здоровья людей эксплуатацию.</w:t>
      </w:r>
      <w:r>
        <w:rPr>
          <w:rFonts w:ascii="PT Astra Serif" w:hAnsi="PT Astra Serif" w:cs="PT Astra Serif"/>
          <w:color w:val="auto"/>
          <w:sz w:val="22"/>
          <w:szCs w:val="22"/>
          <w:highlight w:val="none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PT Astra Serif" w:hAnsi="PT Astra Serif" w:cs="PT Astra Serif"/>
          <w:color w:val="auto"/>
          <w:sz w:val="22"/>
          <w:szCs w:val="22"/>
          <w:highlight w:val="yellow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3) Исполнитель обязан обеспечить безопасность услуг для жизни и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 здоровья потребителей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              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none"/>
          <w:lang w:eastAsia="ru-RU"/>
        </w:rPr>
        <w:t xml:space="preserve">и третьих лиц, а также предотвращение причинения вреда имуществу указанных лиц.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yellow"/>
          <w:lang w:eastAsia="ru-RU"/>
        </w:rPr>
        <w:t xml:space="preserve"> </w:t>
      </w:r>
      <w:r>
        <w:rPr>
          <w:rFonts w:ascii="PT Astra Serif" w:hAnsi="PT Astra Serif" w:cs="PT Astra Serif"/>
          <w:color w:val="auto"/>
          <w:sz w:val="22"/>
          <w:szCs w:val="22"/>
          <w:highlight w:val="yellow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yellow"/>
        </w:rPr>
      </w:r>
    </w:p>
    <w:p>
      <w:pPr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/>
          <w:bCs/>
          <w:color w:val="auto"/>
          <w:sz w:val="22"/>
          <w:szCs w:val="22"/>
        </w:rPr>
        <w:t xml:space="preserve">Перечень документов, выдаваемых по окончании оказания услуг: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В соответствии</w:t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 с П</w:t>
      </w:r>
      <w:hyperlink r:id="rId9" w:tooltip="https://base.garant.ru/12186043/" w:history="1">
        <w:r>
          <w:rPr>
            <w:rStyle w:val="857"/>
            <w:rFonts w:ascii="PT Astra Serif" w:hAnsi="PT Astra Serif" w:eastAsia="PT Astra Serif" w:cs="PT Astra Serif"/>
            <w:color w:val="auto"/>
            <w:sz w:val="22"/>
            <w:szCs w:val="22"/>
            <w:highlight w:val="white"/>
            <w:u w:val="none"/>
          </w:rPr>
          <w:t xml:space="preserve">остановлением Правительства РФ от 06.05.2011 № 354</w:t>
        </w:r>
      </w:hyperlink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 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п</w:t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о результатам оказания услуги исполнитель оформляет акт ввода прибора учета в эксплуатацию, в котором указываются: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- дата, время и адрес ввода прибора учета в эксплуатацию;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- фамилии, имена, отчества, должности и контактные данные лиц, принимавших участие                в процедуре ввода прибора учета в эксплуатацию;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- тип и заводской номер установленного прибора учета, а также место его установки;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- решение о вводе или об отказе от ввода прибора учета в эксплуатацию с указанием оснований </w:t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та</w:t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кого отказа;</w:t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  <w:r>
        <w:rPr>
          <w:rFonts w:ascii="PT Astra Serif" w:hAnsi="PT Astra Serif" w:cs="PT Astra Serif"/>
          <w:b w:val="0"/>
          <w:bCs w:val="0"/>
          <w:color w:val="auto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color w:val="auto"/>
          <w:sz w:val="22"/>
          <w:szCs w:val="22"/>
          <w:highlight w:val="white"/>
        </w:rPr>
      </w:pP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- дата повер</w:t>
      </w:r>
      <w:r>
        <w:rPr>
          <w:rFonts w:ascii="PT Astra Serif" w:hAnsi="PT Astra Serif" w:eastAsia="PT Astra Serif" w:cs="PT Astra Serif"/>
          <w:b w:val="0"/>
          <w:bCs w:val="0"/>
          <w:color w:val="auto"/>
          <w:sz w:val="22"/>
          <w:szCs w:val="22"/>
        </w:rPr>
        <w:t xml:space="preserve">ки.</w:t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color w:val="auto"/>
          <w:sz w:val="22"/>
          <w:szCs w:val="22"/>
          <w:highlight w:val="white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Акт ввода прибора учета в эксплуатацию составляется в 2 экземплярах и подписывается потребителем и представителями исполнителя, принимавшими участие в процедуре ввода прибора учета в эксплуатац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и</w:t>
      </w: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ю.</w:t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color w:val="auto"/>
          <w:sz w:val="22"/>
          <w:szCs w:val="22"/>
          <w:highlight w:val="white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  <w:t xml:space="preserve">Перед подписанием акта ввода прибора учета в эксплуатацию (при отсутствии оснований для отказа ввода прибора учета в эксплуатацию) представитель исполнителя осуществляет установку контрольных пломб на приборе учета.</w:t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  <w:r>
        <w:rPr>
          <w:rFonts w:ascii="PT Astra Serif" w:hAnsi="PT Astra Serif" w:cs="PT Astra Serif"/>
          <w:color w:val="auto"/>
          <w:sz w:val="22"/>
          <w:szCs w:val="22"/>
          <w:highlight w:val="white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eastAsia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color w:val="auto"/>
          <w:sz w:val="22"/>
          <w:szCs w:val="22"/>
          <w:highlight w:val="white"/>
        </w:rPr>
      </w:r>
      <w:r>
        <w:rPr>
          <w:rFonts w:ascii="PT Astra Serif" w:hAnsi="PT Astra Serif" w:eastAsia="PT Astra Serif" w:cs="PT Astra Serif"/>
          <w:sz w:val="22"/>
          <w:szCs w:val="22"/>
        </w:rPr>
        <w:t xml:space="preserve">В течение 3 (трех) рабочих дней после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оказания услуг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Исполнитель предоставляет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Заказчику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т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оварную накладную, счет- фактуру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и (или) универсальный передаточный документ (УПД)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             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на оказанные услуги, в случае если Исполнитель является плательщиком НДС.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pPr>
        <w:pStyle w:val="719"/>
        <w:contextualSpacing/>
        <w:jc w:val="both"/>
        <w:spacing w:line="240" w:lineRule="auto"/>
        <w:rPr>
          <w:rFonts w:ascii="PT Astra Serif" w:hAnsi="PT Astra Serif" w:eastAsia="PT Astra Serif" w:cs="PT Astra Serif"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  <w:t xml:space="preserve">Начальник ОМТО ____________________ Кузуб Е.Н. </w:t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sz w:val="22"/>
          <w:szCs w:val="22"/>
          <w:highlight w:val="none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ymbol">
    <w:panose1 w:val="05010000000000000000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701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42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14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86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8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30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02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74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461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>
    <w:name w:val="Heading 1"/>
    <w:basedOn w:val="875"/>
    <w:next w:val="875"/>
    <w:link w:val="70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1 Char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875"/>
    <w:next w:val="875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2">
    <w:name w:val="Heading 2 Char"/>
    <w:link w:val="701"/>
    <w:uiPriority w:val="9"/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875"/>
    <w:next w:val="875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4">
    <w:name w:val="Heading 3 Char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5">
    <w:name w:val="Heading 4"/>
    <w:basedOn w:val="875"/>
    <w:next w:val="8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4 Char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7">
    <w:name w:val="Heading 5"/>
    <w:basedOn w:val="875"/>
    <w:next w:val="875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5 Char"/>
    <w:link w:val="7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75"/>
    <w:next w:val="875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75"/>
    <w:next w:val="875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75"/>
    <w:next w:val="875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75"/>
    <w:next w:val="87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7">
    <w:name w:val="Title"/>
    <w:basedOn w:val="875"/>
    <w:next w:val="875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link w:val="717"/>
    <w:uiPriority w:val="10"/>
    <w:rPr>
      <w:sz w:val="48"/>
      <w:szCs w:val="48"/>
    </w:rPr>
  </w:style>
  <w:style w:type="paragraph" w:styleId="719">
    <w:name w:val="Subtitle"/>
    <w:basedOn w:val="875"/>
    <w:next w:val="875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link w:val="719"/>
    <w:uiPriority w:val="11"/>
    <w:rPr>
      <w:sz w:val="24"/>
      <w:szCs w:val="24"/>
    </w:rPr>
  </w:style>
  <w:style w:type="paragraph" w:styleId="721">
    <w:name w:val="Quote"/>
    <w:basedOn w:val="875"/>
    <w:next w:val="875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5"/>
    <w:next w:val="875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5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link w:val="725"/>
    <w:uiPriority w:val="99"/>
  </w:style>
  <w:style w:type="paragraph" w:styleId="727">
    <w:name w:val="Footer"/>
    <w:basedOn w:val="87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link w:val="727"/>
    <w:uiPriority w:val="99"/>
  </w:style>
  <w:style w:type="paragraph" w:styleId="729">
    <w:name w:val="Caption"/>
    <w:basedOn w:val="875"/>
    <w:next w:val="875"/>
    <w:link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link w:val="72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4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5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9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0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31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36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No Spacing"/>
    <w:basedOn w:val="875"/>
    <w:uiPriority w:val="1"/>
    <w:qFormat/>
    <w:pPr>
      <w:spacing w:after="0" w:line="240" w:lineRule="auto"/>
    </w:pPr>
  </w:style>
  <w:style w:type="paragraph" w:styleId="879">
    <w:name w:val="List Paragraph"/>
    <w:basedOn w:val="875"/>
    <w:uiPriority w:val="34"/>
    <w:qFormat/>
    <w:pPr>
      <w:contextualSpacing/>
      <w:ind w:left="720"/>
    </w:pPr>
  </w:style>
  <w:style w:type="character" w:styleId="880" w:default="1">
    <w:name w:val="Default Paragraph Font"/>
    <w:uiPriority w:val="1"/>
    <w:semiHidden/>
    <w:unhideWhenUsed/>
  </w:style>
  <w:style w:type="paragraph" w:styleId="881" w:customStyle="1">
    <w:name w:val="Абзац списка;Bullet List;FooterText;numbered;Абзац списка4;Paragraphe de liste1;lp1;List Paragraph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2" w:customStyle="1">
    <w:name w:val="Заголовок 2 Знак1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883" w:customStyle="1">
    <w:name w:val="Normal (Web)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base.garant.ru/12186043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sergeeva@urr31.esk</cp:lastModifiedBy>
  <cp:revision>4</cp:revision>
  <dcterms:modified xsi:type="dcterms:W3CDTF">2026-10-14T12:23:25Z</dcterms:modified>
</cp:coreProperties>
</file>