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both"/>
        <w:rPr/>
      </w:pPr>
      <w:r>
        <w:rPr/>
      </w:r>
    </w:p>
    <w:tbl>
      <w:tblPr>
        <w:tblW w:w="14564" w:type="dxa"/>
        <w:jc w:val="left"/>
        <w:tblInd w:w="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681"/>
        <w:gridCol w:w="1812"/>
        <w:gridCol w:w="1366"/>
        <w:gridCol w:w="1975"/>
        <w:gridCol w:w="1816"/>
        <w:gridCol w:w="1542"/>
        <w:gridCol w:w="667"/>
        <w:gridCol w:w="2167"/>
        <w:gridCol w:w="464"/>
        <w:gridCol w:w="2072"/>
      </w:tblGrid>
      <w:tr>
        <w:trPr>
          <w:trHeight w:val="510" w:hRule="atLeast"/>
        </w:trPr>
        <w:tc>
          <w:tcPr>
            <w:tcW w:w="1456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Описание объекта закупки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 xml:space="preserve">По общему правилу наименование и описание объекта закупки указывается заказчиком в соответствии с каталогом товаров, работ, услуг для обеспечения государственных и муниципальных нужд (далее - КТРУ), размещаемым в единой информационной системе (ЕИС). </w:t>
            </w: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FFFFFF" w:val="clear"/>
              </w:rPr>
              <w:t xml:space="preserve">В </w:t>
            </w: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случае отсутствия соответствующих позиций в КТРУ  описание объекта закупки осуществляется в соответствии со статьей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>
        <w:trPr>
          <w:trHeight w:val="315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1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Наименование объекта закупки</w:t>
            </w:r>
          </w:p>
        </w:tc>
      </w:tr>
      <w:tr>
        <w:trPr>
          <w:trHeight w:val="480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709" w:left="0" w:right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lang w:val="ru-RU" w:eastAsia="ru-RU" w:bidi="ar-SA"/>
              </w:rPr>
              <w:t xml:space="preserve">Оказание услуг 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shd w:fill="auto" w:val="clear"/>
                <w:lang w:val="ru-RU" w:eastAsia="ru-RU" w:bidi="ar-SA"/>
              </w:rPr>
              <w:t>по текущему ремонту и техническому обслуживанию бензиновых генераторов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709"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2"/>
                <w:szCs w:val="22"/>
                <w:u w:val="none"/>
                <w:shd w:fill="auto" w:val="clear"/>
                <w:lang w:val="ru-RU" w:eastAsia="ru-RU" w:bidi="ar-SA"/>
              </w:rPr>
              <w:t>Главного управления МЧС России по Астраханской области</w:t>
            </w:r>
          </w:p>
        </w:tc>
      </w:tr>
      <w:tr>
        <w:trPr>
          <w:trHeight w:val="611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2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Описание объекта закупки и обоснование необходимости включения в описание товара, работы, услуги дополнительной информации, а также дополнительных потребительских свойств, в том числе функциональных, технических, качественных, эксплуатационных характеристик товара, работы, услуги (при наличии описания товара, работы, услуги в позиции каталога товаров, работ услуг)</w:t>
            </w:r>
          </w:p>
        </w:tc>
      </w:tr>
      <w:tr>
        <w:trPr>
          <w:trHeight w:val="384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2.1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709"/>
              <w:jc w:val="center"/>
              <w:rPr>
                <w:sz w:val="22"/>
                <w:szCs w:val="22"/>
              </w:rPr>
            </w:pPr>
            <w:r>
              <w:rPr>
                <w:rFonts w:eastAsia="Calibri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При закупке работ, услуг</w:t>
            </w:r>
          </w:p>
        </w:tc>
      </w:tr>
      <w:tr>
        <w:trPr>
          <w:trHeight w:val="42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right="0"/>
              <w:jc w:val="both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auto"/>
                <w:kern w:val="0"/>
                <w:sz w:val="22"/>
                <w:szCs w:val="22"/>
                <w:lang w:val="ru-RU" w:eastAsia="en-US" w:bidi="ar-SA"/>
              </w:rPr>
              <w:t xml:space="preserve">           </w:t>
            </w:r>
            <w:r>
              <w:rPr>
                <w:rFonts w:eastAsia="Calibri" w:cs="Times New Roman"/>
                <w:b/>
                <w:color w:val="auto"/>
                <w:kern w:val="0"/>
                <w:sz w:val="22"/>
                <w:szCs w:val="22"/>
                <w:lang w:val="ru-RU" w:eastAsia="en-US" w:bidi="ar-SA"/>
              </w:rPr>
              <w:t xml:space="preserve">Наименование закупки: 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  <w:t xml:space="preserve">Оказание услуг  </w:t>
            </w: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по текущему ремонту и техническому обслуживанию бензиновых генераторов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680" w:right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Главного управления МЧС России по Астраханской области.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737" w:right="0"/>
              <w:jc w:val="both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auto"/>
                <w:kern w:val="0"/>
                <w:sz w:val="22"/>
                <w:szCs w:val="22"/>
                <w:lang w:val="ru-RU" w:eastAsia="en-US" w:bidi="ar-SA"/>
              </w:rPr>
              <w:t xml:space="preserve">ОКПД2: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33.14.11.000 «Услуги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электричества».</w:t>
            </w:r>
          </w:p>
        </w:tc>
      </w:tr>
      <w:tr>
        <w:trPr>
          <w:trHeight w:val="21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right="12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i w:val="false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Бензиновый генератор</w:t>
            </w:r>
            <w:r>
              <w:rPr>
                <w:rFonts w:eastAsia="Calibri" w:cs="Times New Roman"/>
                <w:b/>
                <w:bCs/>
                <w:i w:val="false"/>
                <w:iCs/>
                <w:color w:val="000000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 xml:space="preserve"> HYUNDAY HY 7000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right="12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i w:val="false"/>
                <w:iCs/>
                <w:color w:val="000000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инвентарный номер:  ОС 0130000012905</w:t>
            </w:r>
          </w:p>
        </w:tc>
      </w:tr>
      <w:tr>
        <w:trPr>
          <w:trHeight w:val="21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right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</w:t>
            </w:r>
            <w:r>
              <w:rPr>
                <w:b/>
                <w:bCs/>
                <w:sz w:val="22"/>
                <w:szCs w:val="22"/>
              </w:rPr>
              <w:t>Наименование услуг</w:t>
            </w:r>
          </w:p>
        </w:tc>
      </w:tr>
      <w:tr>
        <w:trPr>
          <w:trHeight w:val="4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1.1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spacing w:val="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Диагностика силовой части</w:t>
            </w:r>
          </w:p>
        </w:tc>
      </w:tr>
      <w:tr>
        <w:trPr>
          <w:trHeight w:val="4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1.2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Разборка, сборка</w:t>
            </w:r>
          </w:p>
        </w:tc>
      </w:tr>
      <w:tr>
        <w:trPr>
          <w:trHeight w:val="4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1.3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Замена АВР (Автоматический регулятор напряжение, блок автоматики)</w:t>
            </w:r>
          </w:p>
        </w:tc>
      </w:tr>
      <w:tr>
        <w:trPr>
          <w:trHeight w:val="4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1.4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spacing w:val="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Ремонт обмоток статора</w:t>
            </w:r>
          </w:p>
        </w:tc>
      </w:tr>
      <w:tr>
        <w:trPr>
          <w:trHeight w:val="4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1.5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Диагностика работы под нагрузкой</w:t>
            </w:r>
          </w:p>
        </w:tc>
      </w:tr>
      <w:tr>
        <w:trPr>
          <w:trHeight w:val="21" w:hRule="atLeast"/>
        </w:trPr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uppressAutoHyphens w:val="true"/>
              <w:bidi w:val="0"/>
              <w:spacing w:lineRule="auto" w:line="240" w:before="0" w:after="0"/>
              <w:ind w:hanging="0" w:right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Используемые запасный части и расходные материалы</w:t>
            </w:r>
          </w:p>
        </w:tc>
        <w:tc>
          <w:tcPr>
            <w:tcW w:w="329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uppressAutoHyphens w:val="true"/>
              <w:bidi w:val="0"/>
              <w:spacing w:lineRule="auto" w:line="240" w:before="0" w:after="0"/>
              <w:ind w:hanging="0" w:left="680" w:right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Единица измерения</w:t>
            </w:r>
          </w:p>
        </w:tc>
        <w:tc>
          <w:tcPr>
            <w:tcW w:w="2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uppressAutoHyphens w:val="true"/>
              <w:bidi w:val="0"/>
              <w:spacing w:lineRule="auto" w:line="240" w:before="0" w:after="0"/>
              <w:ind w:hanging="0" w:right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</w:tr>
      <w:tr>
        <w:trPr>
          <w:trHeight w:val="21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1.1</w:t>
            </w:r>
          </w:p>
        </w:tc>
        <w:tc>
          <w:tcPr>
            <w:tcW w:w="851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lang w:val="ru-RU" w:eastAsia="en-US" w:bidi="ar-SA"/>
              </w:rPr>
              <w:t>АВР (автоматический регулятор напряжения, блок автоматики)</w:t>
            </w:r>
          </w:p>
        </w:tc>
        <w:tc>
          <w:tcPr>
            <w:tcW w:w="329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  <w:t>штука</w:t>
            </w:r>
          </w:p>
        </w:tc>
        <w:tc>
          <w:tcPr>
            <w:tcW w:w="2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6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right="12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i w:val="false"/>
                <w:color w:val="000000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2. Бензиновый генератор Fubag BS 6600 A ES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right="12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i w:val="false"/>
                <w:iCs/>
                <w:color w:val="000000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инвентарный номер:  ОС 0130000013695</w:t>
            </w:r>
          </w:p>
        </w:tc>
      </w:tr>
      <w:tr>
        <w:trPr>
          <w:trHeight w:val="6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right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</w:t>
            </w:r>
            <w:r>
              <w:rPr>
                <w:b/>
                <w:bCs/>
                <w:sz w:val="22"/>
                <w:szCs w:val="22"/>
              </w:rPr>
              <w:t>Наименование услуг</w:t>
            </w:r>
          </w:p>
        </w:tc>
      </w:tr>
      <w:tr>
        <w:trPr>
          <w:trHeight w:val="6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2.1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0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 xml:space="preserve">  </w:t>
            </w:r>
            <w:r>
              <w:rPr>
                <w:b w:val="false"/>
                <w:bCs w:val="false"/>
                <w:sz w:val="22"/>
                <w:szCs w:val="22"/>
              </w:rPr>
              <w:t>Замена масла</w:t>
            </w:r>
          </w:p>
        </w:tc>
      </w:tr>
      <w:tr>
        <w:trPr>
          <w:trHeight w:val="6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2.2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Промывка карбюратора</w:t>
            </w:r>
          </w:p>
        </w:tc>
      </w:tr>
      <w:tr>
        <w:trPr>
          <w:trHeight w:val="6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2.3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Замена фильтра</w:t>
            </w:r>
          </w:p>
        </w:tc>
      </w:tr>
      <w:tr>
        <w:trPr>
          <w:trHeight w:val="6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2.4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0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 xml:space="preserve">  </w:t>
            </w:r>
            <w:r>
              <w:rPr>
                <w:b w:val="false"/>
                <w:bCs w:val="false"/>
                <w:sz w:val="22"/>
                <w:szCs w:val="22"/>
              </w:rPr>
              <w:t>Замена свечи</w:t>
            </w:r>
          </w:p>
        </w:tc>
      </w:tr>
      <w:tr>
        <w:trPr>
          <w:trHeight w:val="6" w:hRule="atLeast"/>
        </w:trPr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uppressAutoHyphens w:val="true"/>
              <w:bidi w:val="0"/>
              <w:spacing w:lineRule="auto" w:line="240" w:before="0" w:after="0"/>
              <w:ind w:hanging="0" w:right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Используемые запасный части и расходные материалы</w:t>
            </w:r>
          </w:p>
        </w:tc>
        <w:tc>
          <w:tcPr>
            <w:tcW w:w="329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uppressAutoHyphens w:val="true"/>
              <w:bidi w:val="0"/>
              <w:spacing w:lineRule="auto" w:line="240" w:before="0" w:after="0"/>
              <w:ind w:hanging="0" w:left="680" w:right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Единица измерения</w:t>
            </w:r>
          </w:p>
        </w:tc>
        <w:tc>
          <w:tcPr>
            <w:tcW w:w="2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uppressAutoHyphens w:val="true"/>
              <w:bidi w:val="0"/>
              <w:spacing w:lineRule="auto" w:line="240" w:before="0" w:after="0"/>
              <w:ind w:hanging="0" w:right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</w:tr>
      <w:tr>
        <w:trPr>
          <w:trHeight w:val="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2.1</w:t>
            </w:r>
          </w:p>
        </w:tc>
        <w:tc>
          <w:tcPr>
            <w:tcW w:w="851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Масло моторное</w:t>
            </w:r>
          </w:p>
        </w:tc>
        <w:tc>
          <w:tcPr>
            <w:tcW w:w="329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литр</w:t>
            </w:r>
          </w:p>
        </w:tc>
        <w:tc>
          <w:tcPr>
            <w:tcW w:w="2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0,5</w:t>
            </w:r>
          </w:p>
        </w:tc>
      </w:tr>
      <w:tr>
        <w:trPr>
          <w:trHeight w:val="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2.2</w:t>
            </w:r>
          </w:p>
        </w:tc>
        <w:tc>
          <w:tcPr>
            <w:tcW w:w="851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Фильтр воздушный</w:t>
            </w:r>
          </w:p>
        </w:tc>
        <w:tc>
          <w:tcPr>
            <w:tcW w:w="329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штука</w:t>
            </w:r>
          </w:p>
        </w:tc>
        <w:tc>
          <w:tcPr>
            <w:tcW w:w="2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</w:t>
            </w:r>
          </w:p>
        </w:tc>
      </w:tr>
      <w:tr>
        <w:trPr>
          <w:trHeight w:val="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2.3</w:t>
            </w:r>
          </w:p>
        </w:tc>
        <w:tc>
          <w:tcPr>
            <w:tcW w:w="851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Свеча зажигания</w:t>
            </w:r>
          </w:p>
        </w:tc>
        <w:tc>
          <w:tcPr>
            <w:tcW w:w="329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штука</w:t>
            </w:r>
          </w:p>
        </w:tc>
        <w:tc>
          <w:tcPr>
            <w:tcW w:w="2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</w:t>
            </w:r>
          </w:p>
        </w:tc>
      </w:tr>
      <w:tr>
        <w:trPr>
          <w:trHeight w:val="8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0" w:right="-13"/>
              <w:jc w:val="center"/>
              <w:outlineLvl w:val="0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i w:val="false"/>
                <w:color w:val="000000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 xml:space="preserve">3. </w:t>
            </w:r>
            <w:r>
              <w:rPr>
                <w:rFonts w:eastAsia="Calibri" w:cs="Times New Roman"/>
                <w:b w:val="false"/>
                <w:bCs w:val="false"/>
                <w:i w:val="false"/>
                <w:color w:val="000000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 xml:space="preserve">   </w:t>
            </w:r>
            <w:r>
              <w:rPr>
                <w:rFonts w:eastAsia="Calibri" w:cs="Times New Roman"/>
                <w:b/>
                <w:bCs/>
                <w:i w:val="false"/>
                <w:color w:val="000000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 xml:space="preserve"> Бензиновый генератор Hitachi Koki 6.0 HP E24SC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0" w:right="120"/>
              <w:jc w:val="center"/>
              <w:outlineLvl w:val="0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i w:val="false"/>
                <w:iCs/>
                <w:color w:val="000000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инвентарный номер:  ОС 0130000018307</w:t>
            </w:r>
          </w:p>
        </w:tc>
      </w:tr>
      <w:tr>
        <w:trPr>
          <w:trHeight w:val="8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right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</w:t>
            </w:r>
            <w:r>
              <w:rPr>
                <w:b/>
                <w:bCs/>
                <w:sz w:val="22"/>
                <w:szCs w:val="22"/>
              </w:rPr>
              <w:t>Наименование услуг</w:t>
            </w:r>
          </w:p>
        </w:tc>
      </w:tr>
      <w:tr>
        <w:trPr>
          <w:trHeight w:val="8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3.1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Диагностика двигателя</w:t>
            </w:r>
          </w:p>
        </w:tc>
      </w:tr>
      <w:tr>
        <w:trPr>
          <w:trHeight w:val="8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3.2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Замена масла</w:t>
            </w:r>
          </w:p>
        </w:tc>
      </w:tr>
      <w:tr>
        <w:trPr>
          <w:trHeight w:val="8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3.3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Промывка карбюратора</w:t>
            </w:r>
          </w:p>
        </w:tc>
      </w:tr>
      <w:tr>
        <w:trPr>
          <w:trHeight w:val="8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3.4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Замена фильтра</w:t>
            </w:r>
          </w:p>
        </w:tc>
      </w:tr>
      <w:tr>
        <w:trPr>
          <w:trHeight w:val="8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3.5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Регулировка клапанов</w:t>
            </w:r>
          </w:p>
        </w:tc>
      </w:tr>
      <w:tr>
        <w:trPr>
          <w:trHeight w:val="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3.6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Диагностика работы под нагрузкой</w:t>
            </w:r>
          </w:p>
        </w:tc>
      </w:tr>
      <w:tr>
        <w:trPr>
          <w:trHeight w:val="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3.7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Замена свечи</w:t>
            </w:r>
          </w:p>
        </w:tc>
      </w:tr>
      <w:tr>
        <w:trPr>
          <w:trHeight w:val="1" w:hRule="atLeast"/>
        </w:trPr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Используемые запасный части и расходные материалы</w:t>
            </w:r>
          </w:p>
        </w:tc>
        <w:tc>
          <w:tcPr>
            <w:tcW w:w="329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680" w:righ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Единица измерения</w:t>
            </w:r>
          </w:p>
        </w:tc>
        <w:tc>
          <w:tcPr>
            <w:tcW w:w="2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</w:tr>
      <w:tr>
        <w:trPr>
          <w:trHeight w:val="1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3.1</w:t>
            </w:r>
          </w:p>
        </w:tc>
        <w:tc>
          <w:tcPr>
            <w:tcW w:w="851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Масло моторное</w:t>
            </w:r>
          </w:p>
        </w:tc>
        <w:tc>
          <w:tcPr>
            <w:tcW w:w="329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литр</w:t>
            </w:r>
          </w:p>
        </w:tc>
        <w:tc>
          <w:tcPr>
            <w:tcW w:w="2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0,5</w:t>
            </w:r>
          </w:p>
        </w:tc>
      </w:tr>
      <w:tr>
        <w:trPr>
          <w:trHeight w:val="1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3.2</w:t>
            </w:r>
          </w:p>
        </w:tc>
        <w:tc>
          <w:tcPr>
            <w:tcW w:w="851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Фильтр воздушный для генератора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19" w:right="120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Hitachi Koki 6.0 HP E24SC</w:t>
            </w:r>
          </w:p>
        </w:tc>
        <w:tc>
          <w:tcPr>
            <w:tcW w:w="329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штука</w:t>
            </w:r>
          </w:p>
        </w:tc>
        <w:tc>
          <w:tcPr>
            <w:tcW w:w="2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</w:t>
            </w:r>
          </w:p>
        </w:tc>
      </w:tr>
      <w:tr>
        <w:trPr>
          <w:trHeight w:val="1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3.3</w:t>
            </w:r>
          </w:p>
        </w:tc>
        <w:tc>
          <w:tcPr>
            <w:tcW w:w="851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19" w:right="120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Свеча зажигания</w:t>
            </w:r>
          </w:p>
        </w:tc>
        <w:tc>
          <w:tcPr>
            <w:tcW w:w="329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штука</w:t>
            </w:r>
          </w:p>
        </w:tc>
        <w:tc>
          <w:tcPr>
            <w:tcW w:w="2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</w:t>
            </w:r>
          </w:p>
        </w:tc>
      </w:tr>
      <w:tr>
        <w:trPr>
          <w:trHeight w:val="168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shd w:fill="auto" w:val="clear"/>
                <w:lang w:eastAsia="ru-RU"/>
              </w:rPr>
              <w:t>Место оказания услуг: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2"/>
                <w:szCs w:val="22"/>
                <w:shd w:fill="auto" w:val="clear"/>
                <w:lang w:eastAsia="ru-RU"/>
              </w:rPr>
              <w:t xml:space="preserve"> по месту нахождения Исполнителя. </w:t>
            </w:r>
            <w:r>
              <w:rPr>
                <w:rFonts w:eastAsia="Calibri" w:cs="Times New Roman"/>
                <w:b w:val="false"/>
                <w:bCs w:val="false"/>
                <w:color w:val="000000"/>
                <w:sz w:val="22"/>
                <w:szCs w:val="22"/>
                <w:shd w:fill="auto" w:val="clear"/>
                <w:lang w:eastAsia="en-US"/>
              </w:rPr>
              <w:t>В случае если Исполнитель находится за пределами города Астрахани, доставка до Исполнителя и возврат оборудования производится силами и средствами за счет Исполнителя.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uppressAutoHyphens w:val="true"/>
              <w:bidi w:val="0"/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shd w:fill="auto" w:val="clear"/>
                <w:lang w:val="ru-RU" w:eastAsia="ru-RU" w:bidi="ar-SA"/>
              </w:rPr>
              <w:t xml:space="preserve">Срок оказание услуг: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pacing w:val="-3"/>
                <w:sz w:val="22"/>
                <w:szCs w:val="22"/>
                <w:shd w:fill="auto" w:val="clear"/>
                <w:lang w:val="ru-RU" w:eastAsia="ru-RU" w:bidi="ar-SA"/>
              </w:rPr>
              <w:t>30 рабочих дней с даты заключения контракта.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-5812" w:leader="none"/>
              </w:tabs>
              <w:suppressAutoHyphens w:val="true"/>
              <w:bidi w:val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zh-CN" w:bidi="ar-SA"/>
              </w:rPr>
              <w:t>Требования, предъявляемые к исполнителю:</w:t>
            </w:r>
          </w:p>
          <w:p>
            <w:pPr>
              <w:pStyle w:val="ConsNonformat1"/>
              <w:widowControl w:val="false"/>
              <w:ind w:hanging="0" w:right="0"/>
              <w:jc w:val="both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1. Исполнитель должен обеспечить своевременное выполнение диагностики, технического обслуживания и текущего ремонта согласно требованиям государственного контракта и настоящего Технического задания.</w:t>
            </w:r>
          </w:p>
          <w:p>
            <w:pPr>
              <w:pStyle w:val="ConsNonformat1"/>
              <w:widowControl w:val="false"/>
              <w:ind w:hanging="0" w:right="0"/>
              <w:jc w:val="both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2. Исполнитель должен гарантировать качество оказанных услуг и применять в ходе оказания услуг запчасти и расходные материалы, не бывшие в эксплуатации, не восстановленные и не собранные из восстановленных компонентов, также должны быть работоспособными и обеспечивать предусмотренную производителем функциональность.</w:t>
            </w:r>
          </w:p>
          <w:p>
            <w:pPr>
              <w:pStyle w:val="ConsNonformat1"/>
              <w:widowControl w:val="false"/>
              <w:ind w:hanging="0" w:right="0"/>
              <w:jc w:val="both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3. Диагностику, техническое обслуживание и текущий ремонт бензиновых генераторов Исполнитель обязан производить с использованием своих запасных частей, агрегатов, механизмов и расходных материалов совместимых с бензиновыми генераторами указанных в техническом задании. При их отсутствии незамедлительно осуществлять заказ и доставку запасных частей за свой счет по г. Астрахань и за его пределами в кратчайшие допустимые сроки.</w:t>
            </w:r>
          </w:p>
          <w:p>
            <w:pPr>
              <w:pStyle w:val="ConsNonformat1"/>
              <w:widowControl w:val="false"/>
              <w:ind w:hanging="0" w:right="0"/>
              <w:jc w:val="both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4. И</w:t>
            </w:r>
            <w:r>
              <w:rPr>
                <w:rFonts w:cs="Times New Roman" w:ascii="Tinos" w:hAnsi="Tinos"/>
                <w:b w:val="false"/>
                <w:bCs w:val="false"/>
                <w:sz w:val="22"/>
                <w:szCs w:val="22"/>
              </w:rPr>
              <w:t>сполнитель несет ответственность за недостатки, обнаруженные в пределах срока и объема предоставления гарантий качества, определенным К</w:t>
            </w:r>
            <w:r>
              <w:rPr>
                <w:rFonts w:ascii="Tinos" w:hAnsi="Tinos"/>
              </w:rPr>
              <w:t>онтрактом</w:t>
            </w:r>
            <w:r>
              <w:rPr>
                <w:rFonts w:cs="Times New Roman" w:ascii="Tinos" w:hAnsi="Tinos"/>
                <w:b w:val="false"/>
                <w:bCs w:val="false"/>
                <w:sz w:val="22"/>
                <w:szCs w:val="22"/>
              </w:rPr>
              <w:t xml:space="preserve"> и в случае отказа или поломки бензиновых генераторов Исполнитель по заявке Заказчика осуществляет срочный текущий их ремонт  собственными силами или с привлечением третьих лиц, при этом доставку в зону ремонта Исполнитель самостоятельно (за свой счет) осуществляет в течении одног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о рабочего дня из любой точки его нахождения на территории Астраханской области.</w:t>
            </w:r>
          </w:p>
          <w:p>
            <w:pPr>
              <w:pStyle w:val="ConsNonformat1"/>
              <w:widowControl w:val="false"/>
              <w:ind w:hanging="0" w:right="0"/>
              <w:jc w:val="both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5. Исполнитель осуществляет бесплатную замену вышедших из строя в установленный гарантийный срок запасных частей, деталей, узлов, агрегатов, при условии соблюдения Заказчиком правил эксплуатации транспортных средств.</w:t>
            </w:r>
          </w:p>
          <w:p>
            <w:pPr>
              <w:pStyle w:val="ConsNonformat1"/>
              <w:widowControl w:val="false"/>
              <w:ind w:hanging="0" w:right="0"/>
              <w:jc w:val="both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6. Оказывать услуги по нормативам и правилам в соответствии с требованиями завода-изготовителя бензиновых генераторов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</w:rPr>
              <w:t xml:space="preserve"> с учетом условий их эксплуатации.</w:t>
            </w:r>
          </w:p>
          <w:p>
            <w:pPr>
              <w:pStyle w:val="Normal"/>
              <w:widowControl w:val="false"/>
              <w:spacing w:before="0" w:after="160"/>
              <w:ind w:hanging="0" w:right="0"/>
              <w:jc w:val="both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7. Отработанные масла и воздушные фильтры, после проведения технического обслуживания и (или) ремонта бензиновых генераторов остаются у Исполнителя и он берет на себя обязательства по их утилизации в соответствии с требованиями действующего законодательства Российской Федерации.</w:t>
            </w:r>
          </w:p>
        </w:tc>
      </w:tr>
      <w:tr>
        <w:trPr>
          <w:trHeight w:val="84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lang w:val="ru-RU" w:eastAsia="ru-RU" w:bidi="ar-SA"/>
              </w:rPr>
              <w:t>2.2.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center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lang w:val="ru-RU" w:eastAsia="ru-RU" w:bidi="ar-SA"/>
              </w:rPr>
              <w:t>При закупке товара (в том числе поставляемого Заказчику при выполнении закупаемых работ, оказании закупаемых услуг)</w:t>
            </w:r>
          </w:p>
        </w:tc>
      </w:tr>
      <w:tr>
        <w:trPr>
          <w:trHeight w:val="16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Наименование товара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ОКПД2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Наименование характеристики товара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Значение характеристики</w:t>
            </w:r>
          </w:p>
        </w:tc>
        <w:tc>
          <w:tcPr>
            <w:tcW w:w="220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Единица измерения характеристики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Инструкция по заполнению характеристики в заявке</w:t>
            </w:r>
          </w:p>
        </w:tc>
        <w:tc>
          <w:tcPr>
            <w:tcW w:w="25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Обоснование включения дополнительной информации в сведения о товаре, работе, услуге</w:t>
            </w:r>
          </w:p>
        </w:tc>
      </w:tr>
      <w:tr>
        <w:trPr>
          <w:trHeight w:val="16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>
          <w:trHeight w:val="337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</w:t>
            </w:r>
          </w:p>
        </w:tc>
      </w:tr>
      <w:tr>
        <w:trPr>
          <w:trHeight w:val="405" w:hRule="exac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709"/>
              <w:jc w:val="center"/>
              <w:rPr/>
            </w:pPr>
            <w:r>
              <w:rPr>
                <w:rStyle w:val="Style17"/>
                <w:rFonts w:eastAsia="Calibri" w:cs="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lang w:eastAsia="en-US"/>
              </w:rPr>
              <w:t>--</w:t>
            </w:r>
          </w:p>
        </w:tc>
      </w:tr>
    </w:tbl>
    <w:p>
      <w:pPr>
        <w:pStyle w:val="Normal"/>
        <w:ind w:hanging="0" w:left="-850"/>
        <w:jc w:val="both"/>
        <w:rPr/>
      </w:pPr>
      <w:r>
        <w:rPr/>
      </w:r>
    </w:p>
    <w:sectPr>
      <w:headerReference w:type="even" r:id="rId2"/>
      <w:headerReference w:type="first" r:id="rId3"/>
      <w:type w:val="nextPage"/>
      <w:pgSz w:orient="landscape" w:w="16838" w:h="11906"/>
      <w:pgMar w:left="1134" w:right="1134" w:gutter="0" w:header="0" w:top="286" w:footer="0" w:bottom="56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TimesET">
    <w:charset w:val="01"/>
    <w:family w:val="roman"/>
    <w:pitch w:val="default"/>
  </w:font>
  <w:font w:name="Arial">
    <w:charset w:val="01"/>
    <w:family w:val="swiss"/>
    <w:pitch w:val="default"/>
  </w:font>
  <w:font w:name="Cambria">
    <w:charset w:val="01"/>
    <w:family w:val="roman"/>
    <w:pitch w:val="default"/>
  </w:font>
  <w:font w:name="Consultant">
    <w:charset w:val="01"/>
    <w:family w:val="roman"/>
    <w:pitch w:val="default"/>
  </w:font>
  <w:font w:name="Symbol">
    <w:charset w:val="01"/>
    <w:family w:val="roman"/>
    <w:pitch w:val="default"/>
  </w:font>
  <w:font w:name="Wingdings">
    <w:charset w:val="01"/>
    <w:family w:val="roman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Tinos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/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7585e"/>
    <w:pPr>
      <w:widowControl w:val="false"/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b/>
      <w:bCs/>
      <w:color w:val="000000"/>
      <w:kern w:val="0"/>
      <w:sz w:val="28"/>
      <w:szCs w:val="28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2f58a3"/>
    <w:rPr/>
  </w:style>
  <w:style w:type="character" w:styleId="Style15" w:customStyle="1">
    <w:name w:val="Нижний колонтитул Знак"/>
    <w:basedOn w:val="DefaultParagraphFont"/>
    <w:uiPriority w:val="99"/>
    <w:qFormat/>
    <w:rsid w:val="002f58a3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9f454e"/>
    <w:rPr>
      <w:rFonts w:ascii="Tahoma" w:hAnsi="Tahoma" w:cs="Tahoma"/>
      <w:sz w:val="16"/>
      <w:szCs w:val="16"/>
    </w:rPr>
  </w:style>
  <w:style w:type="character" w:styleId="Emphasis">
    <w:name w:val="Emphasis"/>
    <w:qFormat/>
    <w:rPr>
      <w:i/>
      <w:iCs/>
    </w:rPr>
  </w:style>
  <w:style w:type="character" w:styleId="Style17" w:customStyle="1">
    <w:name w:val="Основной текст документа"/>
    <w:qFormat/>
    <w:rPr>
      <w:sz w:val="22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d6d6d6e2e2e2e5e5e5f2f2f2eeeeeee2e2e2eeeeeee5e5e5e2e2e2fbfbfbe4e4e4e5e5e5ebebebe5e5e5ededede8e8e8e5e5e5e4e4e4ebebebffffffd2d2d2e5e5e5eaeaeaf1f1f1f2f2f2">
    <w:name w:val="Цd6d6d6вe2e2e2еe5e5e5тf2f2f2оeeeeeeвe2e2e2оeeeeeeеe5e5e5 вe2e2e2ыfbfbfbдe4e4e4еe5e5e5лebebebеe5e5e5нedededиe8e8e8еe5e5e5 дe4e4e4лebebebяffffff Тd2d2d2еe5e5e5кeaeaeaсf1f1f1тf2f2f2"/>
    <w:qFormat/>
    <w:rPr/>
  </w:style>
  <w:style w:type="character" w:styleId="FontStyle16">
    <w:name w:val="Font Style16"/>
    <w:qFormat/>
    <w:rPr>
      <w:rFonts w:ascii="Times New Roman" w:hAnsi="Times New Roman" w:cs="Times New Roman"/>
      <w:sz w:val="22"/>
      <w:szCs w:val="22"/>
    </w:rPr>
  </w:style>
  <w:style w:type="character" w:styleId="d6d6e2e2e5e5f2f2eeeee2e2eeeee5e5e2e2fbfbe4e4e5e5ebebe5e5edede8e8e5e5e4e4ebebffffd2d2e5e5eaeaf1f1f2f2">
    <w:name w:val="Цd6d6вe2e2еe5e5тf2f2оeeeeвe2e2оeeeeеe5e5 вe2e2ыfbfbдe4e4еe5e5лebebеe5e5нededиe8e8еe5e5 дe4e4лebebяffff Тd2d2еe5e5кeaeaсf1f1тf2f2"/>
    <w:qFormat/>
    <w:rPr/>
  </w:style>
  <w:style w:type="character" w:styleId="ConsNonformat">
    <w:name w:val="ConsNonformat Знак"/>
    <w:qFormat/>
    <w:rPr>
      <w:rFonts w:ascii="Courier New" w:hAnsi="Courier New" w:eastAsia="Times New Roman" w:cs="Courier New"/>
      <w:lang w:val="ru-RU" w:bidi="ar-SA"/>
    </w:rPr>
  </w:style>
  <w:style w:type="character" w:styleId="2">
    <w:name w:val="Уровень 2 Знак"/>
    <w:qFormat/>
    <w:rPr>
      <w:rFonts w:ascii="Times New Roman" w:hAnsi="Times New Roman" w:eastAsia="Times New Roman" w:cs="Times New Roman"/>
      <w:sz w:val="28"/>
      <w:szCs w:val="28"/>
      <w:lang w:val="ru-RU"/>
    </w:rPr>
  </w:style>
  <w:style w:type="character" w:styleId="1">
    <w:name w:val="Уровень 1 Знак"/>
    <w:qFormat/>
    <w:rPr>
      <w:rFonts w:ascii="Times New Roman" w:hAnsi="Times New Roman" w:eastAsia="Times New Roman" w:cs="Times New Roman"/>
      <w:sz w:val="28"/>
      <w:szCs w:val="28"/>
      <w:lang w:val="ru-RU"/>
    </w:rPr>
  </w:style>
  <w:style w:type="character" w:styleId="c">
    <w:name w:val="Текcт_документа Знак"/>
    <w:qFormat/>
    <w:rPr>
      <w:rFonts w:ascii="Times New Roman" w:hAnsi="Times New Roman" w:eastAsia="Times New Roman" w:cs="Times New Roman"/>
      <w:sz w:val="28"/>
      <w:szCs w:val="28"/>
    </w:rPr>
  </w:style>
  <w:style w:type="character" w:styleId="Standard">
    <w:name w:val="Standard Знак"/>
    <w:qFormat/>
    <w:rPr>
      <w:rFonts w:eastAsia="Lucida Sans Unicode"/>
      <w:kern w:val="2"/>
      <w:sz w:val="22"/>
      <w:szCs w:val="22"/>
      <w:lang w:bidi="ar-SA"/>
    </w:rPr>
  </w:style>
  <w:style w:type="character" w:styleId="Style18">
    <w:name w:val="Название Знак Знак Знак"/>
    <w:qFormat/>
    <w:rPr>
      <w:b/>
      <w:sz w:val="28"/>
      <w:lang w:val="ru-RU" w:bidi="ar-SA"/>
    </w:rPr>
  </w:style>
  <w:style w:type="character" w:styleId="postbody1">
    <w:name w:val="postbody1"/>
    <w:qFormat/>
    <w:rPr>
      <w:sz w:val="18"/>
      <w:szCs w:val="18"/>
    </w:rPr>
  </w:style>
  <w:style w:type="character" w:styleId="dfaq1">
    <w:name w:val="dfaq1"/>
    <w:qFormat/>
    <w:rPr/>
  </w:style>
  <w:style w:type="character" w:styleId="postbody">
    <w:name w:val="postbody"/>
    <w:qFormat/>
    <w:rPr/>
  </w:style>
  <w:style w:type="character" w:styleId="3">
    <w:name w:val="Стиль3 Знак Знак Знак"/>
    <w:qFormat/>
    <w:rPr>
      <w:rFonts w:ascii="Times New Roman" w:hAnsi="Times New Roman" w:eastAsia="Times New Roman" w:cs="Times New Roman"/>
      <w:sz w:val="24"/>
    </w:rPr>
  </w:style>
  <w:style w:type="character" w:styleId="allowtextselection">
    <w:name w:val="allowtextselection"/>
    <w:qFormat/>
    <w:rPr/>
  </w:style>
  <w:style w:type="character" w:styleId="Normal1">
    <w:name w:val="Normal Знак"/>
    <w:qFormat/>
    <w:rPr>
      <w:rFonts w:ascii="TimesET" w:hAnsi="TimesET" w:eastAsia="Times New Roman" w:cs="TimesET"/>
      <w:sz w:val="24"/>
      <w:szCs w:val="24"/>
      <w:lang w:bidi="ar-SA"/>
    </w:rPr>
  </w:style>
  <w:style w:type="character" w:styleId="Style19">
    <w:name w:val="ГС_Основной_текст Знак"/>
    <w:qFormat/>
    <w:rPr>
      <w:sz w:val="24"/>
      <w:szCs w:val="24"/>
      <w:lang w:val="ru-RU" w:bidi="ar-SA"/>
    </w:rPr>
  </w:style>
  <w:style w:type="character" w:styleId="product-name">
    <w:name w:val="product-name"/>
    <w:qFormat/>
    <w:rPr/>
  </w:style>
  <w:style w:type="character" w:styleId="Style20">
    <w:name w:val="Без интервала Знак"/>
    <w:qFormat/>
    <w:rPr>
      <w:rFonts w:eastAsia="Times New Roman"/>
      <w:kern w:val="2"/>
      <w:sz w:val="24"/>
      <w:szCs w:val="24"/>
      <w:lang w:eastAsia="zh-CN" w:bidi="hi-IN"/>
    </w:rPr>
  </w:style>
  <w:style w:type="character" w:styleId="Style21">
    <w:name w:val="Обычный (веб)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11">
    <w:name w:val="Заголовок Знак1"/>
    <w:qFormat/>
    <w:rPr>
      <w:rFonts w:ascii="Times New Roman" w:hAnsi="Times New Roman" w:eastAsia="Times New Roman" w:cs="Times New Roman"/>
      <w:b/>
      <w:sz w:val="32"/>
      <w:szCs w:val="20"/>
      <w:lang w:val="ru-RU"/>
    </w:rPr>
  </w:style>
  <w:style w:type="character" w:styleId="12">
    <w:name w:val="Нижний колонтитул Знак1"/>
    <w:qFormat/>
    <w:rPr>
      <w:sz w:val="24"/>
      <w:szCs w:val="24"/>
      <w:lang w:eastAsia="zh-CN"/>
    </w:rPr>
  </w:style>
  <w:style w:type="character" w:styleId="13">
    <w:name w:val="Верхний колонтитул Знак1"/>
    <w:qFormat/>
    <w:rPr>
      <w:sz w:val="24"/>
      <w:szCs w:val="24"/>
      <w:lang w:eastAsia="zh-CN"/>
    </w:rPr>
  </w:style>
  <w:style w:type="character" w:styleId="Style22">
    <w:name w:val="Знак примечания"/>
    <w:qFormat/>
    <w:rPr>
      <w:sz w:val="16"/>
      <w:szCs w:val="16"/>
    </w:rPr>
  </w:style>
  <w:style w:type="character" w:styleId="21">
    <w:name w:val="Основной текст 2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111">
    <w:name w:val="Текст сноски Знак_11"/>
    <w:qFormat/>
    <w:rPr>
      <w:rFonts w:eastAsia="Times New Roman"/>
    </w:rPr>
  </w:style>
  <w:style w:type="character" w:styleId="FootnoteReference11">
    <w:name w:val="Footnote Reference_11"/>
    <w:qFormat/>
    <w:rPr>
      <w:rFonts w:cs="Times New Roman"/>
      <w:vertAlign w:val="superscript"/>
    </w:rPr>
  </w:style>
  <w:style w:type="character" w:styleId="Style23">
    <w:name w:val="Основной шрифт"/>
    <w:qFormat/>
    <w:rPr/>
  </w:style>
  <w:style w:type="character" w:styleId="EndnoteCharacters">
    <w:name w:val="Endnote Characters"/>
    <w:qFormat/>
    <w:rPr>
      <w:vertAlign w:val="superscript"/>
    </w:rPr>
  </w:style>
  <w:style w:type="character" w:styleId="14">
    <w:name w:val="Знак концевой сноски1"/>
    <w:qFormat/>
    <w:rPr>
      <w:vertAlign w:val="superscript"/>
    </w:rPr>
  </w:style>
  <w:style w:type="character" w:styleId="15">
    <w:name w:val="Знак сноски1"/>
    <w:qFormat/>
    <w:rPr>
      <w:vertAlign w:val="superscript"/>
    </w:rPr>
  </w:style>
  <w:style w:type="character" w:styleId="Style24">
    <w:name w:val="Символы концевой сноски"/>
    <w:qFormat/>
    <w:rPr>
      <w:vertAlign w:val="superscript"/>
    </w:rPr>
  </w:style>
  <w:style w:type="character" w:styleId="16">
    <w:name w:val="Основной шрифт абзаца1"/>
    <w:qFormat/>
    <w:rPr/>
  </w:style>
  <w:style w:type="character" w:styleId="22">
    <w:name w:val="Основной шрифт абзаца2"/>
    <w:qFormat/>
    <w:rPr/>
  </w:style>
  <w:style w:type="character" w:styleId="WW--">
    <w:name w:val="WW-Интернет-ссылка"/>
    <w:qFormat/>
    <w:rPr>
      <w:color w:val="0000FF"/>
      <w:u w:val="single"/>
    </w:rPr>
  </w:style>
  <w:style w:type="character" w:styleId="FootnoteCharacters">
    <w:name w:val="Footnote Characters"/>
    <w:qFormat/>
    <w:rPr>
      <w:vertAlign w:val="superscript"/>
    </w:rPr>
  </w:style>
  <w:style w:type="character" w:styleId="WW-">
    <w:name w:val="WW-Символ сноски"/>
    <w:qFormat/>
    <w:rPr>
      <w:vertAlign w:val="superscript"/>
    </w:rPr>
  </w:style>
  <w:style w:type="character" w:styleId="skypepnhtextspan">
    <w:name w:val="skype_pnh_text_span"/>
    <w:qFormat/>
    <w:rPr>
      <w:rFonts w:ascii="Times New Roman" w:hAnsi="Times New Roman" w:cs="Times New Roman"/>
    </w:rPr>
  </w:style>
  <w:style w:type="character" w:styleId="17">
    <w:name w:val="Замещающий текст1"/>
    <w:qFormat/>
    <w:rPr>
      <w:rFonts w:ascii="Times New Roman" w:hAnsi="Times New Roman" w:cs="Times New Roman"/>
      <w:color w:val="808080"/>
    </w:rPr>
  </w:style>
  <w:style w:type="character" w:styleId="5">
    <w:name w:val="Знак Знак5"/>
    <w:qFormat/>
    <w:rPr>
      <w:rFonts w:ascii="Times New Roman" w:hAnsi="Times New Roman" w:eastAsia="Times New Roman" w:cs="Times New Roman"/>
      <w:sz w:val="24"/>
      <w:szCs w:val="24"/>
      <w:lang w:val="ru-RU" w:bidi="ar-SA"/>
    </w:rPr>
  </w:style>
  <w:style w:type="character" w:styleId="9">
    <w:name w:val="Знак Знак9"/>
    <w:qFormat/>
    <w:rPr>
      <w:rFonts w:ascii="Times New Roman" w:hAnsi="Times New Roman" w:eastAsia="Times New Roman" w:cs="Times New Roman"/>
      <w:sz w:val="24"/>
      <w:szCs w:val="24"/>
      <w:lang w:val="ru-RU" w:bidi="ar-SA"/>
    </w:rPr>
  </w:style>
  <w:style w:type="character" w:styleId="112">
    <w:name w:val="Знак Знак11"/>
    <w:qFormat/>
    <w:rPr>
      <w:rFonts w:ascii="Arial" w:hAnsi="Arial" w:cs="Times New Roman"/>
      <w:sz w:val="24"/>
      <w:szCs w:val="24"/>
      <w:lang w:val="ru-RU" w:bidi="ar-SA"/>
    </w:rPr>
  </w:style>
  <w:style w:type="character" w:styleId="171">
    <w:name w:val="Знак Знак17"/>
    <w:qFormat/>
    <w:rPr>
      <w:rFonts w:ascii="Cambria" w:hAnsi="Cambria" w:cs="Times New Roman"/>
      <w:b/>
      <w:bCs/>
      <w:kern w:val="2"/>
      <w:sz w:val="32"/>
      <w:szCs w:val="32"/>
      <w:lang w:val="ru-RU" w:eastAsia="zh-CN" w:bidi="ar-SA"/>
    </w:rPr>
  </w:style>
  <w:style w:type="character" w:styleId="23">
    <w:name w:val="Знак Знак23"/>
    <w:qFormat/>
    <w:rPr>
      <w:rFonts w:ascii="Arial" w:hAnsi="Arial" w:cs="Arial"/>
      <w:b/>
      <w:bCs/>
      <w:i/>
      <w:iCs/>
      <w:sz w:val="18"/>
      <w:szCs w:val="18"/>
      <w:lang w:val="ru-RU" w:bidi="ar-SA"/>
    </w:rPr>
  </w:style>
  <w:style w:type="character" w:styleId="24">
    <w:name w:val="Знак Знак24"/>
    <w:qFormat/>
    <w:rPr>
      <w:rFonts w:ascii="Arial" w:hAnsi="Arial" w:cs="Arial"/>
      <w:i/>
      <w:iCs/>
      <w:lang w:val="ru-RU" w:bidi="ar-SA"/>
    </w:rPr>
  </w:style>
  <w:style w:type="character" w:styleId="25">
    <w:name w:val="Знак Знак25"/>
    <w:qFormat/>
    <w:rPr>
      <w:rFonts w:ascii="Arial" w:hAnsi="Arial" w:cs="Arial"/>
      <w:lang w:val="ru-RU" w:bidi="ar-SA"/>
    </w:rPr>
  </w:style>
  <w:style w:type="character" w:styleId="26">
    <w:name w:val="Знак Знак26"/>
    <w:qFormat/>
    <w:rPr>
      <w:rFonts w:ascii="Times New Roman" w:hAnsi="Times New Roman" w:eastAsia="Times New Roman" w:cs="Times New Roman"/>
      <w:i/>
      <w:iCs/>
      <w:sz w:val="22"/>
      <w:szCs w:val="22"/>
      <w:lang w:val="ru-RU" w:bidi="ar-SA"/>
    </w:rPr>
  </w:style>
  <w:style w:type="character" w:styleId="27">
    <w:name w:val="Знак Знак27"/>
    <w:qFormat/>
    <w:rPr>
      <w:rFonts w:ascii="Times New Roman" w:hAnsi="Times New Roman" w:eastAsia="Times New Roman" w:cs="Times New Roman"/>
      <w:sz w:val="22"/>
      <w:szCs w:val="22"/>
      <w:lang w:val="ru-RU" w:bidi="ar-SA"/>
    </w:rPr>
  </w:style>
  <w:style w:type="character" w:styleId="28">
    <w:name w:val="Знак Знак28"/>
    <w:qFormat/>
    <w:rPr>
      <w:rFonts w:ascii="Arial" w:hAnsi="Arial" w:cs="Arial"/>
      <w:sz w:val="24"/>
      <w:szCs w:val="24"/>
      <w:lang w:val="ru-RU" w:bidi="ar-SA"/>
    </w:rPr>
  </w:style>
  <w:style w:type="character" w:styleId="29">
    <w:name w:val="Знак Знак29"/>
    <w:qFormat/>
    <w:rPr>
      <w:rFonts w:ascii="Cambria" w:hAnsi="Cambria" w:cs="Times New Roman"/>
      <w:b/>
      <w:bCs/>
      <w:sz w:val="26"/>
      <w:szCs w:val="26"/>
      <w:lang w:val="ru-RU" w:bidi="ar-SA"/>
    </w:rPr>
  </w:style>
  <w:style w:type="character" w:styleId="H2">
    <w:name w:val="H2 Знак Знак"/>
    <w:qFormat/>
    <w:rPr>
      <w:rFonts w:ascii="Times New Roman" w:hAnsi="Times New Roman" w:eastAsia="Times New Roman" w:cs="Times New Roman"/>
      <w:b/>
      <w:bCs/>
      <w:sz w:val="30"/>
      <w:szCs w:val="30"/>
      <w:lang w:val="ru-RU" w:bidi="ar-SA"/>
    </w:rPr>
  </w:style>
  <w:style w:type="character" w:styleId="ConsNormal">
    <w:name w:val="ConsNormal Знак"/>
    <w:qFormat/>
    <w:rPr>
      <w:rFonts w:ascii="Consultant" w:hAnsi="Consultant" w:eastAsia="Arial" w:cs="Consultant"/>
      <w:lang w:val="ru-RU" w:bidi="ar-SA"/>
    </w:rPr>
  </w:style>
  <w:style w:type="character" w:styleId="4">
    <w:name w:val="Стиль4 Знак"/>
    <w:qFormat/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Style25">
    <w:name w:val="Дефис Знак"/>
    <w:qFormat/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Style26">
    <w:name w:val="Абзац списка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ConsPlusNormal">
    <w:name w:val="ConsPlusNormal Знак"/>
    <w:qFormat/>
    <w:rPr>
      <w:rFonts w:ascii="Arial" w:hAnsi="Arial" w:eastAsia="Times New Roman" w:cs="Arial"/>
      <w:lang w:val="ru-RU" w:bidi="ar-SA"/>
    </w:rPr>
  </w:style>
  <w:style w:type="character" w:styleId="Style27">
    <w:name w:val="Тема примечания Знак"/>
    <w:qFormat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yle28">
    <w:name w:val="Электронная подпись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29">
    <w:name w:val="Текст Знак"/>
    <w:qFormat/>
    <w:rPr>
      <w:rFonts w:ascii="Courier New" w:hAnsi="Courier New" w:eastAsia="Times New Roman" w:cs="Times New Roman"/>
      <w:sz w:val="20"/>
      <w:szCs w:val="20"/>
    </w:rPr>
  </w:style>
  <w:style w:type="character" w:styleId="31">
    <w:name w:val="Основной текст с отступом 3 Знак"/>
    <w:qFormat/>
    <w:rPr>
      <w:rFonts w:ascii="Times New Roman" w:hAnsi="Times New Roman" w:eastAsia="Times New Roman" w:cs="Times New Roman"/>
      <w:sz w:val="16"/>
      <w:szCs w:val="20"/>
    </w:rPr>
  </w:style>
  <w:style w:type="character" w:styleId="211">
    <w:name w:val="Основной текст с отступом 2 Знак1"/>
    <w:qFormat/>
    <w:rPr>
      <w:rFonts w:ascii="Times New Roman" w:hAnsi="Times New Roman" w:eastAsia="Times New Roman" w:cs="Times New Roman"/>
      <w:sz w:val="24"/>
      <w:szCs w:val="24"/>
    </w:rPr>
  </w:style>
  <w:style w:type="character" w:styleId="210">
    <w:name w:val="Основной текст с отступом 2 Знак"/>
    <w:qFormat/>
    <w:rPr>
      <w:rFonts w:ascii="Times New Roman" w:hAnsi="Times New Roman" w:eastAsia="Times New Roman" w:cs="Times New Roman"/>
      <w:sz w:val="24"/>
      <w:szCs w:val="20"/>
    </w:rPr>
  </w:style>
  <w:style w:type="character" w:styleId="32">
    <w:name w:val="Основной текст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Style30">
    <w:name w:val="Заголовок записки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212">
    <w:name w:val="Красная строка 2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31">
    <w:name w:val="Красная строка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32">
    <w:name w:val="Дата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33">
    <w:name w:val="Приветствие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34">
    <w:name w:val="Подзаголовок Знак"/>
    <w:qFormat/>
    <w:rPr>
      <w:rFonts w:ascii="Arial" w:hAnsi="Arial" w:eastAsia="Times New Roman" w:cs="Times New Roman"/>
      <w:sz w:val="24"/>
      <w:szCs w:val="20"/>
    </w:rPr>
  </w:style>
  <w:style w:type="character" w:styleId="Style35">
    <w:name w:val="Шапка Знак"/>
    <w:qFormat/>
    <w:rPr>
      <w:rFonts w:ascii="Arial" w:hAnsi="Arial" w:eastAsia="Times New Roman" w:cs="Times New Roman"/>
      <w:sz w:val="24"/>
      <w:szCs w:val="24"/>
      <w:shd w:fill="CCCCCC" w:val="clear"/>
    </w:rPr>
  </w:style>
  <w:style w:type="character" w:styleId="Style36">
    <w:name w:val="Основной текст с отступом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18">
    <w:name w:val="Основной текст с отступом Знак1"/>
    <w:qFormat/>
    <w:rPr>
      <w:rFonts w:ascii="Times New Roman" w:hAnsi="Times New Roman" w:eastAsia="Times New Roman" w:cs="Times New Roman"/>
      <w:sz w:val="24"/>
      <w:szCs w:val="24"/>
    </w:rPr>
  </w:style>
  <w:style w:type="character" w:styleId="Style37">
    <w:name w:val="Основной текст Знак"/>
    <w:qFormat/>
    <w:rPr>
      <w:rFonts w:ascii="Times New Roman" w:hAnsi="Times New Roman" w:eastAsia="Times New Roman" w:cs="Times New Roman"/>
      <w:sz w:val="24"/>
      <w:szCs w:val="20"/>
    </w:rPr>
  </w:style>
  <w:style w:type="character" w:styleId="Style38">
    <w:name w:val="Подпись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39">
    <w:name w:val="Прощание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19">
    <w:name w:val="Название Знак1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Style40">
    <w:name w:val="Текст концевой сноски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41">
    <w:name w:val="Текст примечания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110">
    <w:name w:val="Текст сноски Знак1"/>
    <w:qFormat/>
    <w:rPr>
      <w:rFonts w:ascii="Times New Roman" w:hAnsi="Times New Roman" w:eastAsia="Times New Roman" w:cs="Times New Roman"/>
    </w:rPr>
  </w:style>
  <w:style w:type="character" w:styleId="Style42">
    <w:name w:val="Текст сноски Знак"/>
    <w:qFormat/>
    <w:rPr>
      <w:rFonts w:ascii="Times New Roman" w:hAnsi="Times New Roman" w:eastAsia="Times New Roman" w:cs="Times New Roman"/>
      <w:sz w:val="18"/>
      <w:szCs w:val="18"/>
    </w:rPr>
  </w:style>
  <w:style w:type="character" w:styleId="HTML">
    <w:name w:val="Стандартный HTML Знак"/>
    <w:qFormat/>
    <w:rPr>
      <w:rFonts w:ascii="Courier New" w:hAnsi="Courier New" w:eastAsia="Times New Roman" w:cs="Times New Roman"/>
      <w:sz w:val="20"/>
      <w:szCs w:val="20"/>
    </w:rPr>
  </w:style>
  <w:style w:type="character" w:styleId="213">
    <w:name w:val="Заголовок 2 Знак1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113">
    <w:name w:val="Заголовок 1 Знак1"/>
    <w:qFormat/>
    <w:rPr>
      <w:rFonts w:ascii="Times New Roman" w:hAnsi="Times New Roman" w:cs="Times New Roman"/>
      <w:b/>
      <w:bCs w:val="false"/>
      <w:kern w:val="2"/>
      <w:sz w:val="36"/>
      <w:lang w:val="ru-RU" w:bidi="ar-SA"/>
    </w:rPr>
  </w:style>
  <w:style w:type="character" w:styleId="HTML1">
    <w:name w:val="Адрес HTML Знак"/>
    <w:qFormat/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  <w:b/>
      <w:i/>
      <w:sz w:val="18"/>
      <w:lang w:val="ru-RU"/>
    </w:rPr>
  </w:style>
  <w:style w:type="character" w:styleId="8">
    <w:name w:val="Заголовок 8 Знак"/>
    <w:qFormat/>
    <w:rPr>
      <w:rFonts w:ascii="Arial" w:hAnsi="Arial" w:eastAsia="Times New Roman" w:cs="Arial"/>
      <w:i/>
      <w:lang w:val="ru-RU"/>
    </w:rPr>
  </w:style>
  <w:style w:type="character" w:styleId="7">
    <w:name w:val="Заголовок 7 Знак"/>
    <w:qFormat/>
    <w:rPr>
      <w:rFonts w:ascii="Arial" w:hAnsi="Arial" w:eastAsia="Times New Roman" w:cs="Arial"/>
      <w:lang w:val="ru-RU"/>
    </w:rPr>
  </w:style>
  <w:style w:type="character" w:styleId="6">
    <w:name w:val="Заголовок 6 Знак"/>
    <w:qFormat/>
    <w:rPr>
      <w:rFonts w:ascii="Times New Roman" w:hAnsi="Times New Roman" w:eastAsia="Times New Roman" w:cs="Times New Roman"/>
      <w:i/>
      <w:sz w:val="22"/>
      <w:lang w:val="ru-RU"/>
    </w:rPr>
  </w:style>
  <w:style w:type="character" w:styleId="51">
    <w:name w:val="Заголовок 5 Знак"/>
    <w:qFormat/>
    <w:rPr>
      <w:rFonts w:ascii="Times New Roman" w:hAnsi="Times New Roman" w:eastAsia="Times New Roman" w:cs="Times New Roman"/>
      <w:b/>
      <w:bCs/>
      <w:i/>
      <w:iCs/>
      <w:sz w:val="26"/>
      <w:szCs w:val="26"/>
    </w:rPr>
  </w:style>
  <w:style w:type="character" w:styleId="41">
    <w:name w:val="Заголовок 4 Знак"/>
    <w:qFormat/>
    <w:rPr>
      <w:rFonts w:ascii="Arial" w:hAnsi="Arial" w:eastAsia="Times New Roman" w:cs="Arial"/>
      <w:sz w:val="24"/>
      <w:lang w:val="ru-RU"/>
    </w:rPr>
  </w:style>
  <w:style w:type="character" w:styleId="33">
    <w:name w:val="Заголовок 3 Знак"/>
    <w:qFormat/>
    <w:rPr>
      <w:rFonts w:ascii="Arial" w:hAnsi="Arial" w:eastAsia="Times New Roman" w:cs="Times New Roman"/>
      <w:b/>
      <w:bCs w:val="false"/>
      <w:sz w:val="24"/>
      <w:szCs w:val="20"/>
    </w:rPr>
  </w:style>
  <w:style w:type="character" w:styleId="214">
    <w:name w:val="Заголовок 2 Знак"/>
    <w:qFormat/>
    <w:rPr>
      <w:rFonts w:ascii="Times New Roman" w:hAnsi="Times New Roman" w:eastAsia="Times New Roman" w:cs="Times New Roman"/>
      <w:b/>
      <w:sz w:val="30"/>
      <w:lang w:val="ru-RU"/>
    </w:rPr>
  </w:style>
  <w:style w:type="character" w:styleId="114">
    <w:name w:val="Заголовок 1 Знак"/>
    <w:qFormat/>
    <w:rPr>
      <w:rFonts w:ascii="Times New Roman" w:hAnsi="Times New Roman" w:eastAsia="Times New Roman" w:cs="Times New Roman"/>
      <w:b/>
      <w:kern w:val="2"/>
      <w:sz w:val="36"/>
      <w:lang w:val="ru-RU"/>
    </w:rPr>
  </w:style>
  <w:style w:type="character" w:styleId="Style43">
    <w:name w:val="Основной шрифт абзаца"/>
    <w:qFormat/>
    <w:rPr/>
  </w:style>
  <w:style w:type="character" w:styleId="WW8Num20z1">
    <w:name w:val="WW8Num20z1"/>
    <w:qFormat/>
    <w:rPr>
      <w:rFonts w:cs="Times New Roman"/>
    </w:rPr>
  </w:style>
  <w:style w:type="character" w:styleId="WW8Num20z0">
    <w:name w:val="WW8Num20z0"/>
    <w:qFormat/>
    <w:rPr>
      <w:rFonts w:cs="Times New Roman"/>
      <w:sz w:val="40"/>
      <w:szCs w:val="40"/>
    </w:rPr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3">
    <w:name w:val="WW8Num19z3"/>
    <w:qFormat/>
    <w:rPr/>
  </w:style>
  <w:style w:type="character" w:styleId="WW8Num19z2">
    <w:name w:val="WW8Num19z2"/>
    <w:qFormat/>
    <w:rPr/>
  </w:style>
  <w:style w:type="character" w:styleId="WW8Num19z1">
    <w:name w:val="WW8Num19z1"/>
    <w:qFormat/>
    <w:rPr/>
  </w:style>
  <w:style w:type="character" w:styleId="WW8Num19z0">
    <w:name w:val="WW8Num19z0"/>
    <w:qFormat/>
    <w:rPr>
      <w:b/>
      <w:sz w:val="20"/>
      <w:szCs w:val="20"/>
    </w:rPr>
  </w:style>
  <w:style w:type="character" w:styleId="WW8Num18z8">
    <w:name w:val="WW8Num18z8"/>
    <w:qFormat/>
    <w:rPr/>
  </w:style>
  <w:style w:type="character" w:styleId="WW8Num18z7">
    <w:name w:val="WW8Num18z7"/>
    <w:qFormat/>
    <w:rPr/>
  </w:style>
  <w:style w:type="character" w:styleId="WW8Num18z6">
    <w:name w:val="WW8Num18z6"/>
    <w:qFormat/>
    <w:rPr/>
  </w:style>
  <w:style w:type="character" w:styleId="WW8Num18z5">
    <w:name w:val="WW8Num18z5"/>
    <w:qFormat/>
    <w:rPr/>
  </w:style>
  <w:style w:type="character" w:styleId="WW8Num18z4">
    <w:name w:val="WW8Num18z4"/>
    <w:qFormat/>
    <w:rPr/>
  </w:style>
  <w:style w:type="character" w:styleId="WW8Num18z3">
    <w:name w:val="WW8Num18z3"/>
    <w:qFormat/>
    <w:rPr/>
  </w:style>
  <w:style w:type="character" w:styleId="WW8Num18z2">
    <w:name w:val="WW8Num18z2"/>
    <w:qFormat/>
    <w:rPr/>
  </w:style>
  <w:style w:type="character" w:styleId="WW8Num18z1">
    <w:name w:val="WW8Num18z1"/>
    <w:qFormat/>
    <w:rPr/>
  </w:style>
  <w:style w:type="character" w:styleId="WW8Num18z0">
    <w:name w:val="WW8Num18z0"/>
    <w:qFormat/>
    <w:rPr>
      <w:b/>
      <w:sz w:val="20"/>
      <w:szCs w:val="20"/>
    </w:rPr>
  </w:style>
  <w:style w:type="character" w:styleId="WW8Num17z3">
    <w:name w:val="WW8Num17z3"/>
    <w:qFormat/>
    <w:rPr>
      <w:rFonts w:cs="Times New Roman"/>
    </w:rPr>
  </w:style>
  <w:style w:type="character" w:styleId="WW8Num17z2">
    <w:name w:val="WW8Num17z2"/>
    <w:qFormat/>
    <w:rPr>
      <w:rFonts w:cs="Times New Roman"/>
      <w:b w:val="false"/>
    </w:rPr>
  </w:style>
  <w:style w:type="character" w:styleId="WW8Num17z1">
    <w:name w:val="WW8Num17z1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sz w:val="24"/>
      <w:szCs w:val="24"/>
      <w:u w:val="none"/>
    </w:rPr>
  </w:style>
  <w:style w:type="character" w:styleId="WW8Num17z0">
    <w:name w:val="WW8Num17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sz w:val="24"/>
      <w:u w:val="none"/>
    </w:rPr>
  </w:style>
  <w:style w:type="character" w:styleId="WW8Num16z8">
    <w:name w:val="WW8Num16z8"/>
    <w:qFormat/>
    <w:rPr/>
  </w:style>
  <w:style w:type="character" w:styleId="WW8Num16z7">
    <w:name w:val="WW8Num16z7"/>
    <w:qFormat/>
    <w:rPr/>
  </w:style>
  <w:style w:type="character" w:styleId="WW8Num16z6">
    <w:name w:val="WW8Num16z6"/>
    <w:qFormat/>
    <w:rPr/>
  </w:style>
  <w:style w:type="character" w:styleId="WW8Num16z5">
    <w:name w:val="WW8Num16z5"/>
    <w:qFormat/>
    <w:rPr/>
  </w:style>
  <w:style w:type="character" w:styleId="WW8Num16z4">
    <w:name w:val="WW8Num16z4"/>
    <w:qFormat/>
    <w:rPr/>
  </w:style>
  <w:style w:type="character" w:styleId="WW8Num16z3">
    <w:name w:val="WW8Num16z3"/>
    <w:qFormat/>
    <w:rPr/>
  </w:style>
  <w:style w:type="character" w:styleId="WW8Num16z2">
    <w:name w:val="WW8Num16z2"/>
    <w:qFormat/>
    <w:rPr/>
  </w:style>
  <w:style w:type="character" w:styleId="WW8Num16z1">
    <w:name w:val="WW8Num16z1"/>
    <w:qFormat/>
    <w:rPr/>
  </w:style>
  <w:style w:type="character" w:styleId="WW8Num16z0">
    <w:name w:val="WW8Num16z0"/>
    <w:qFormat/>
    <w:rPr/>
  </w:style>
  <w:style w:type="character" w:styleId="WW8Num15z5">
    <w:name w:val="WW8Num15z5"/>
    <w:qFormat/>
    <w:rPr>
      <w:rFonts w:cs="Times New Roman"/>
    </w:rPr>
  </w:style>
  <w:style w:type="character" w:styleId="WW8Num15z3">
    <w:name w:val="WW8Num15z3"/>
    <w:qFormat/>
    <w:rPr>
      <w:rFonts w:ascii="Times New Roman" w:hAnsi="Times New Roman" w:cs="Times New Roman"/>
      <w:i w:val="false"/>
      <w:sz w:val="26"/>
      <w:szCs w:val="26"/>
    </w:rPr>
  </w:style>
  <w:style w:type="character" w:styleId="WW8Num15z2">
    <w:name w:val="WW8Num15z2"/>
    <w:qFormat/>
    <w:rPr>
      <w:rFonts w:cs="Times New Roman"/>
      <w:sz w:val="26"/>
      <w:szCs w:val="26"/>
    </w:rPr>
  </w:style>
  <w:style w:type="character" w:styleId="WW8Num15z1">
    <w:name w:val="WW8Num15z1"/>
    <w:qFormat/>
    <w:rPr>
      <w:rFonts w:cs="Times New Roman"/>
      <w:b w:val="false"/>
      <w:sz w:val="26"/>
      <w:szCs w:val="26"/>
    </w:rPr>
  </w:style>
  <w:style w:type="character" w:styleId="WW8Num15z0">
    <w:name w:val="WW8Num15z0"/>
    <w:qFormat/>
    <w:rPr>
      <w:rFonts w:ascii="Times New Roman" w:hAnsi="Times New Roman" w:cs="Times New Roman"/>
      <w:sz w:val="26"/>
      <w:szCs w:val="26"/>
    </w:rPr>
  </w:style>
  <w:style w:type="character" w:styleId="WW8Num8z4">
    <w:name w:val="WW8Num8z4"/>
    <w:qFormat/>
    <w:rPr/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3z3">
    <w:name w:val="WW8Num3z3"/>
    <w:qFormat/>
    <w:rPr>
      <w:rFonts w:ascii="Symbol" w:hAnsi="Symbol" w:cs="Symbol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0z5">
    <w:name w:val="WW8Num10z5"/>
    <w:qFormat/>
    <w:rPr/>
  </w:style>
  <w:style w:type="character" w:styleId="WW8Num10z3">
    <w:name w:val="WW8Num10z3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color w:val="000000"/>
      <w:spacing w:val="0"/>
      <w:w w:val="100"/>
      <w:kern w:val="0"/>
      <w:sz w:val="24"/>
      <w:u w:val="none"/>
    </w:rPr>
  </w:style>
  <w:style w:type="character" w:styleId="WW8Num10z2">
    <w:name w:val="WW8Num10z2"/>
    <w:qFormat/>
    <w:rPr>
      <w:b w:val="false"/>
      <w:bCs w:val="false"/>
      <w:i w:val="false"/>
      <w:iCs w:val="false"/>
    </w:rPr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5z5">
    <w:name w:val="WW8Num5z5"/>
    <w:qFormat/>
    <w:rPr>
      <w:rFonts w:ascii="Symbol" w:hAnsi="Symbol" w:cs="Symbol"/>
    </w:rPr>
  </w:style>
  <w:style w:type="character" w:styleId="WW8Num5z4">
    <w:name w:val="WW8Num5z4"/>
    <w:qFormat/>
    <w:rPr/>
  </w:style>
  <w:style w:type="character" w:styleId="WW8Num5z3">
    <w:name w:val="WW8Num5z3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sz w:val="24"/>
      <w:u w:val="none"/>
    </w:rPr>
  </w:style>
  <w:style w:type="character" w:styleId="WW8Num5z2">
    <w:name w:val="WW8Num5z2"/>
    <w:qFormat/>
    <w:rPr>
      <w:b w:val="false"/>
      <w:bCs w:val="false"/>
      <w:i w:val="false"/>
      <w:iCs w:val="false"/>
    </w:rPr>
  </w:style>
  <w:style w:type="character" w:styleId="WW8Num5z1">
    <w:name w:val="WW8Num5z1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sz w:val="24"/>
      <w:szCs w:val="24"/>
      <w:u w:val="none"/>
    </w:rPr>
  </w:style>
  <w:style w:type="character" w:styleId="WW8Num11z8">
    <w:name w:val="WW8Num11z8"/>
    <w:qFormat/>
    <w:rPr/>
  </w:style>
  <w:style w:type="character" w:styleId="WW8Num11z7">
    <w:name w:val="WW8Num11z7"/>
    <w:qFormat/>
    <w:rPr/>
  </w:style>
  <w:style w:type="character" w:styleId="WW8Num11z6">
    <w:name w:val="WW8Num11z6"/>
    <w:qFormat/>
    <w:rPr/>
  </w:style>
  <w:style w:type="character" w:styleId="WW8Num11z5">
    <w:name w:val="WW8Num11z5"/>
    <w:qFormat/>
    <w:rPr/>
  </w:style>
  <w:style w:type="character" w:styleId="WW8Num11z3">
    <w:name w:val="WW8Num11z3"/>
    <w:qFormat/>
    <w:rPr/>
  </w:style>
  <w:style w:type="character" w:styleId="WW8Num14z8">
    <w:name w:val="WW8Num14z8"/>
    <w:qFormat/>
    <w:rPr/>
  </w:style>
  <w:style w:type="character" w:styleId="WW8Num14z7">
    <w:name w:val="WW8Num14z7"/>
    <w:qFormat/>
    <w:rPr/>
  </w:style>
  <w:style w:type="character" w:styleId="WW8Num14z6">
    <w:name w:val="WW8Num14z6"/>
    <w:qFormat/>
    <w:rPr/>
  </w:style>
  <w:style w:type="character" w:styleId="WW8Num14z5">
    <w:name w:val="WW8Num14z5"/>
    <w:qFormat/>
    <w:rPr/>
  </w:style>
  <w:style w:type="character" w:styleId="WW8Num14z4">
    <w:name w:val="WW8Num14z4"/>
    <w:qFormat/>
    <w:rPr/>
  </w:style>
  <w:style w:type="character" w:styleId="WW8Num14z3">
    <w:name w:val="WW8Num14z3"/>
    <w:qFormat/>
    <w:rPr/>
  </w:style>
  <w:style w:type="character" w:styleId="WW8Num14z2">
    <w:name w:val="WW8Num14z2"/>
    <w:qFormat/>
    <w:rPr/>
  </w:style>
  <w:style w:type="character" w:styleId="WW8Num14z1">
    <w:name w:val="WW8Num14z1"/>
    <w:qFormat/>
    <w:rPr/>
  </w:style>
  <w:style w:type="character" w:styleId="WW8Num14z0">
    <w:name w:val="WW8Num14z0"/>
    <w:qFormat/>
    <w:rPr/>
  </w:style>
  <w:style w:type="character" w:styleId="WW8Num13z8">
    <w:name w:val="WW8Num13z8"/>
    <w:qFormat/>
    <w:rPr/>
  </w:style>
  <w:style w:type="character" w:styleId="WW8Num13z7">
    <w:name w:val="WW8Num13z7"/>
    <w:qFormat/>
    <w:rPr/>
  </w:style>
  <w:style w:type="character" w:styleId="WW8Num13z6">
    <w:name w:val="WW8Num13z6"/>
    <w:qFormat/>
    <w:rPr/>
  </w:style>
  <w:style w:type="character" w:styleId="WW8Num13z5">
    <w:name w:val="WW8Num13z5"/>
    <w:qFormat/>
    <w:rPr/>
  </w:style>
  <w:style w:type="character" w:styleId="WW8Num13z4">
    <w:name w:val="WW8Num13z4"/>
    <w:qFormat/>
    <w:rPr/>
  </w:style>
  <w:style w:type="character" w:styleId="WW8Num13z3">
    <w:name w:val="WW8Num13z3"/>
    <w:qFormat/>
    <w:rPr/>
  </w:style>
  <w:style w:type="character" w:styleId="WW8Num13z2">
    <w:name w:val="WW8Num13z2"/>
    <w:qFormat/>
    <w:rPr/>
  </w:style>
  <w:style w:type="character" w:styleId="WW8Num13z1">
    <w:name w:val="WW8Num13z1"/>
    <w:qFormat/>
    <w:rPr/>
  </w:style>
  <w:style w:type="character" w:styleId="WW8Num13z0">
    <w:name w:val="WW8Num13z0"/>
    <w:qFormat/>
    <w:rPr/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character" w:styleId="WW8Num12z0">
    <w:name w:val="WW8Num12z0"/>
    <w:qFormat/>
    <w:rPr>
      <w:rFonts w:cs="Times New Roman"/>
    </w:rPr>
  </w:style>
  <w:style w:type="character" w:styleId="WW8Num11z4">
    <w:name w:val="WW8Num11z4"/>
    <w:qFormat/>
    <w:rPr/>
  </w:style>
  <w:style w:type="character" w:styleId="WW8Num11z2">
    <w:name w:val="WW8Num11z2"/>
    <w:qFormat/>
    <w:rPr/>
  </w:style>
  <w:style w:type="character" w:styleId="WW8Num11z1">
    <w:name w:val="WW8Num11z1"/>
    <w:qFormat/>
    <w:rPr>
      <w:rFonts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7z2">
    <w:name w:val="WW8Num7z2"/>
    <w:qFormat/>
    <w:rPr/>
  </w:style>
  <w:style w:type="character" w:styleId="WW8Num7z1">
    <w:name w:val="WW8Num7z1"/>
    <w:qFormat/>
    <w:rPr/>
  </w:style>
  <w:style w:type="character" w:styleId="WW8Num7z0">
    <w:name w:val="WW8Num7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4">
    <w:name w:val="WW8Num1z4"/>
    <w:qFormat/>
    <w:rPr/>
  </w:style>
  <w:style w:type="character" w:styleId="WW8Num1z2">
    <w:name w:val="WW8Num1z2"/>
    <w:qFormat/>
    <w:rPr/>
  </w:style>
  <w:style w:type="character" w:styleId="WW8Num10z1">
    <w:name w:val="WW8Num10z1"/>
    <w:qFormat/>
    <w:rPr>
      <w:rFonts w:cs="Times New Roman"/>
    </w:rPr>
  </w:style>
  <w:style w:type="character" w:styleId="WW8Num10z0">
    <w:name w:val="WW8Num10z0"/>
    <w:qFormat/>
    <w:rPr>
      <w:rFonts w:cs="Times New Roman"/>
      <w:sz w:val="40"/>
      <w:szCs w:val="40"/>
    </w:rPr>
  </w:style>
  <w:style w:type="character" w:styleId="WW8Num9z3">
    <w:name w:val="WW8Num9z3"/>
    <w:qFormat/>
    <w:rPr>
      <w:rFonts w:cs="Times New Roman"/>
    </w:rPr>
  </w:style>
  <w:style w:type="character" w:styleId="WW8Num9z2">
    <w:name w:val="WW8Num9z2"/>
    <w:qFormat/>
    <w:rPr>
      <w:rFonts w:cs="Times New Roman"/>
      <w:b w:val="false"/>
    </w:rPr>
  </w:style>
  <w:style w:type="character" w:styleId="WW8Num9z1">
    <w:name w:val="WW8Num9z1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sz w:val="24"/>
      <w:szCs w:val="24"/>
      <w:u w:val="none"/>
    </w:rPr>
  </w:style>
  <w:style w:type="character" w:styleId="WW8Num9z0">
    <w:name w:val="WW8Num9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sz w:val="24"/>
      <w:u w:val="none"/>
    </w:rPr>
  </w:style>
  <w:style w:type="character" w:styleId="WW8Num8z5">
    <w:name w:val="WW8Num8z5"/>
    <w:qFormat/>
    <w:rPr/>
  </w:style>
  <w:style w:type="character" w:styleId="WW8Num8z3">
    <w:name w:val="WW8Num8z3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color w:val="000000"/>
      <w:spacing w:val="0"/>
      <w:w w:val="100"/>
      <w:kern w:val="0"/>
      <w:sz w:val="24"/>
      <w:u w:val="none"/>
    </w:rPr>
  </w:style>
  <w:style w:type="character" w:styleId="WW8Num8z2">
    <w:name w:val="WW8Num8z2"/>
    <w:qFormat/>
    <w:rPr>
      <w:b w:val="false"/>
      <w:bCs w:val="false"/>
      <w:i w:val="false"/>
      <w:iCs w:val="false"/>
    </w:rPr>
  </w:style>
  <w:style w:type="character" w:styleId="WW8Num8z1">
    <w:name w:val="WW8Num8z1"/>
    <w:qFormat/>
    <w:rPr>
      <w:caps w:val="false"/>
      <w:smallCaps w:val="false"/>
      <w:strike w:val="false"/>
      <w:dstrike w:val="false"/>
      <w:outline w:val="false"/>
      <w:shadow w:val="false"/>
      <w:vanish w:val="false"/>
      <w:color w:val="000000"/>
      <w:spacing w:val="0"/>
      <w:w w:val="100"/>
      <w:kern w:val="0"/>
      <w:sz w:val="24"/>
      <w:u w:val="none"/>
    </w:rPr>
  </w:style>
  <w:style w:type="character" w:styleId="WW8Num8z0">
    <w:name w:val="WW8Num8z0"/>
    <w:qFormat/>
    <w:rPr>
      <w:b/>
      <w:bCs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spacing w:val="0"/>
      <w:kern w:val="0"/>
      <w:sz w:val="24"/>
      <w:u w:val="none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5z0">
    <w:name w:val="WW8Num5z0"/>
    <w:qFormat/>
    <w:rPr>
      <w:rFonts w:cs="Times New Roman"/>
    </w:rPr>
  </w:style>
  <w:style w:type="character" w:styleId="WW8Num4z5">
    <w:name w:val="WW8Num4z5"/>
    <w:qFormat/>
    <w:rPr>
      <w:rFonts w:ascii="Symbol" w:hAnsi="Symbol" w:cs="Symbol"/>
    </w:rPr>
  </w:style>
  <w:style w:type="character" w:styleId="WW8Num4z4">
    <w:name w:val="WW8Num4z4"/>
    <w:qFormat/>
    <w:rPr/>
  </w:style>
  <w:style w:type="character" w:styleId="WW8Num4z3">
    <w:name w:val="WW8Num4z3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sz w:val="24"/>
      <w:u w:val="none"/>
    </w:rPr>
  </w:style>
  <w:style w:type="character" w:styleId="WW8Num4z2">
    <w:name w:val="WW8Num4z2"/>
    <w:qFormat/>
    <w:rPr>
      <w:b w:val="false"/>
      <w:bCs w:val="false"/>
      <w:i w:val="false"/>
      <w:iCs w:val="false"/>
    </w:rPr>
  </w:style>
  <w:style w:type="character" w:styleId="WW8Num4z1">
    <w:name w:val="WW8Num4z1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sz w:val="24"/>
      <w:szCs w:val="24"/>
      <w:u w:val="none"/>
    </w:rPr>
  </w:style>
  <w:style w:type="character" w:styleId="WW8Num4z0">
    <w:name w:val="WW8Num4z0"/>
    <w:qFormat/>
    <w:rPr>
      <w:b/>
      <w:i w:val="false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1z5">
    <w:name w:val="WW8Num1z5"/>
    <w:qFormat/>
    <w:rPr>
      <w:rFonts w:cs="Times New Roman"/>
    </w:rPr>
  </w:style>
  <w:style w:type="character" w:styleId="WW8Num1z3">
    <w:name w:val="WW8Num1z3"/>
    <w:qFormat/>
    <w:rPr>
      <w:rFonts w:ascii="Times New Roman" w:hAnsi="Times New Roman" w:cs="Times New Roman"/>
      <w:i w:val="false"/>
      <w:sz w:val="26"/>
      <w:szCs w:val="26"/>
    </w:rPr>
  </w:style>
  <w:style w:type="character" w:styleId="WW8Num1z1">
    <w:name w:val="WW8Num1z1"/>
    <w:qFormat/>
    <w:rPr>
      <w:rFonts w:cs="Times New Roman"/>
      <w:b w:val="false"/>
      <w:sz w:val="26"/>
      <w:szCs w:val="26"/>
    </w:rPr>
  </w:style>
  <w:style w:type="character" w:styleId="WW8Num1z0">
    <w:name w:val="WW8Num1z0"/>
    <w:qFormat/>
    <w:rPr>
      <w:rFonts w:ascii="Times New Roman" w:hAnsi="Times New Roman" w:cs="Times New Roman"/>
      <w:sz w:val="26"/>
      <w:szCs w:val="26"/>
    </w:rPr>
  </w:style>
  <w:style w:type="paragraph" w:styleId="Style44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45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46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rsid w:val="002f58a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rsid w:val="002f58a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uiPriority w:val="99"/>
    <w:semiHidden/>
    <w:unhideWhenUsed/>
    <w:qFormat/>
    <w:rsid w:val="009f454e"/>
    <w:pPr/>
    <w:rPr>
      <w:rFonts w:ascii="Tahoma" w:hAnsi="Tahoma" w:cs="Tahoma"/>
      <w:sz w:val="16"/>
      <w:szCs w:val="16"/>
    </w:rPr>
  </w:style>
  <w:style w:type="paragraph" w:styleId="Style47" w:customStyle="1">
    <w:name w:val="Содержимое таблицы"/>
    <w:basedOn w:val="Normal"/>
    <w:qFormat/>
    <w:pPr>
      <w:suppressLineNumbers/>
    </w:pPr>
    <w:rPr/>
  </w:style>
  <w:style w:type="paragraph" w:styleId="Style48" w:customStyle="1">
    <w:name w:val="Заголовок таблицы"/>
    <w:basedOn w:val="Style47"/>
    <w:qFormat/>
    <w:pPr/>
    <w:rPr/>
  </w:style>
  <w:style w:type="paragraph" w:styleId="115" w:customStyle="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 w:asciiTheme="minorHAnsi" w:hAnsiTheme="minorHAnsi"/>
      <w:color w:val="auto"/>
      <w:kern w:val="2"/>
      <w:sz w:val="24"/>
      <w:szCs w:val="24"/>
      <w:lang w:val="ru-RU" w:eastAsia="zh-CN" w:bidi="hi-IN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ConsNonformat1">
    <w:name w:val="ConsNonformat"/>
    <w:qFormat/>
    <w:pPr>
      <w:widowControl w:val="false"/>
      <w:suppressAutoHyphens w:val="true"/>
      <w:overflowPunct w:val="true"/>
      <w:bidi w:val="0"/>
      <w:snapToGrid w:val="false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numbering" w:styleId="Style4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e2765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2037F-2ED7-47E3-A8E5-44E8E992B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Application>LibreOffice/24.8.4.2$Linux_X86_64 LibreOffice_project/480$Build-2</Application>
  <AppVersion>15.0000</AppVersion>
  <Pages>3</Pages>
  <Words>728</Words>
  <Characters>4989</Characters>
  <CharactersWithSpaces>5646</CharactersWithSpaces>
  <Paragraphs>123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</dc:creator>
  <dc:description/>
  <dc:language>ru-RU</dc:language>
  <cp:lastModifiedBy/>
  <dcterms:modified xsi:type="dcterms:W3CDTF">2026-10-08T16:23:21Z</dcterms:modified>
  <cp:revision>156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