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jc w:val="center"/>
        <w:rPr>
          <w:rFonts w:ascii="Times New Roman" w:hAnsi="Times New Roman" w:cs="Times New Roman"/>
          <w:szCs w:val="22"/>
        </w:rPr>
      </w:pPr>
      <w:r>
        <w:rPr>
          <w:rFonts w:cs="Times New Roman" w:ascii="Times New Roman" w:hAnsi="Times New Roman"/>
          <w:szCs w:val="22"/>
        </w:rPr>
        <w:t>Договор № ________</w:t>
      </w:r>
    </w:p>
    <w:p>
      <w:pPr>
        <w:pStyle w:val="ConsPlusNormal"/>
        <w:jc w:val="center"/>
        <w:rPr>
          <w:rFonts w:ascii="Times New Roman" w:hAnsi="Times New Roman" w:cs="Times New Roman"/>
          <w:szCs w:val="22"/>
        </w:rPr>
      </w:pPr>
      <w:r>
        <w:rPr>
          <w:rFonts w:cs="Times New Roman" w:ascii="Times New Roman" w:hAnsi="Times New Roman"/>
          <w:szCs w:val="22"/>
        </w:rPr>
        <w:t>на поставку информационных стендов</w:t>
      </w:r>
    </w:p>
    <w:p>
      <w:pPr>
        <w:pStyle w:val="ConsPlusNormal"/>
        <w:jc w:val="both"/>
        <w:rPr>
          <w:rFonts w:ascii="Times New Roman" w:hAnsi="Times New Roman" w:cs="Times New Roman"/>
        </w:rPr>
      </w:pPr>
      <w:r>
        <w:rPr>
          <w:rFonts w:cs="Times New Roman" w:ascii="Times New Roman" w:hAnsi="Times New Roman"/>
        </w:rPr>
      </w:r>
    </w:p>
    <w:p>
      <w:pPr>
        <w:pStyle w:val="ConsPlusNonformat"/>
        <w:jc w:val="both"/>
        <w:rPr>
          <w:rFonts w:ascii="Times New Roman" w:hAnsi="Times New Roman" w:cs="Times New Roman"/>
          <w:sz w:val="22"/>
          <w:szCs w:val="22"/>
        </w:rPr>
      </w:pPr>
      <w:r>
        <w:rPr>
          <w:rFonts w:cs="Times New Roman" w:ascii="Times New Roman" w:hAnsi="Times New Roman"/>
          <w:sz w:val="22"/>
          <w:szCs w:val="22"/>
        </w:rPr>
        <w:t xml:space="preserve">___.___.2026 г. </w:t>
        <w:tab/>
        <w:tab/>
        <w:tab/>
        <w:tab/>
        <w:tab/>
        <w:tab/>
        <w:tab/>
        <w:tab/>
        <w:tab/>
        <w:t xml:space="preserve">       г. Нальчик </w:t>
      </w:r>
    </w:p>
    <w:p>
      <w:pPr>
        <w:pStyle w:val="ConsPlusNormal"/>
        <w:jc w:val="both"/>
        <w:rPr>
          <w:rFonts w:ascii="Times New Roman" w:hAnsi="Times New Roman" w:cs="Times New Roman"/>
        </w:rPr>
      </w:pPr>
      <w:r>
        <w:rPr>
          <w:rFonts w:cs="Times New Roman" w:ascii="Times New Roman" w:hAnsi="Times New Roman"/>
        </w:rPr>
      </w:r>
    </w:p>
    <w:p>
      <w:pPr>
        <w:pStyle w:val="ConsPlusNormal"/>
        <w:ind w:firstLine="540"/>
        <w:jc w:val="both"/>
        <w:rPr>
          <w:rFonts w:ascii="Times New Roman" w:hAnsi="Times New Roman" w:cs="Times New Roman"/>
        </w:rPr>
      </w:pPr>
      <w:r>
        <w:rPr>
          <w:rFonts w:cs="Times New Roman" w:ascii="Times New Roman" w:hAnsi="Times New Roman"/>
        </w:rPr>
        <w:t>Управление Федеральной службы исполнения наказаний России по Кабардино-Балкарской Республике, именуемое в дальнейшем "Заказчик", в лице заместителя начальника Шомахова Тимура Мухамедовича, действующего на основании доверенности, с одной стороны, и __________, в лице _________, действующего на основании _______, именуемый в дальнейшем "Поставщик", с другой стороны, вместе именуемые в дальнейшем "Стороны", на основании пункта 4 части 1 статьи 93 Федерального закона от 05.04.2013 № 44-ФЗ заключили настоящий Договор (далее - Контракт) о нижеследующем.</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r>
        <w:rPr>
          <w:rFonts w:cs="Times New Roman" w:ascii="Times New Roman" w:hAnsi="Times New Roman"/>
        </w:rPr>
        <w:t>I. Предмет Контракта</w:t>
      </w:r>
    </w:p>
    <w:p>
      <w:pPr>
        <w:pStyle w:val="ConsPlusNormal"/>
        <w:ind w:firstLine="540"/>
        <w:jc w:val="both"/>
        <w:rPr>
          <w:rFonts w:ascii="Times New Roman" w:hAnsi="Times New Roman" w:cs="Times New Roman"/>
        </w:rPr>
      </w:pPr>
      <w:r>
        <w:rPr>
          <w:rFonts w:cs="Times New Roman" w:ascii="Times New Roman" w:hAnsi="Times New Roman"/>
        </w:rPr>
        <w:t>1.1. Поставщик обязуется поставить информационные стенды (далее - Товар), а Заказчик обязуется принять и оплатить Товар в порядке и на условиях, предусмотренных Контрактом.</w:t>
      </w:r>
    </w:p>
    <w:p>
      <w:pPr>
        <w:pStyle w:val="ConsPlusNormal"/>
        <w:ind w:firstLine="540"/>
        <w:jc w:val="both"/>
        <w:rPr>
          <w:rFonts w:ascii="Times New Roman" w:hAnsi="Times New Roman" w:cs="Times New Roman"/>
        </w:rPr>
      </w:pPr>
      <w:r>
        <w:rPr>
          <w:rFonts w:cs="Times New Roman" w:ascii="Times New Roman" w:hAnsi="Times New Roman"/>
        </w:rPr>
        <w:t>1.2. Наименование, количество и иные характеристики поставляемого Товара указаны в спецификации (</w:t>
      </w:r>
      <w:hyperlink w:anchor="P1909">
        <w:r>
          <w:rPr>
            <w:rStyle w:val="Style9"/>
            <w:rFonts w:cs="Times New Roman" w:ascii="Times New Roman" w:hAnsi="Times New Roman"/>
            <w:color w:val="0000FF"/>
          </w:rPr>
          <w:t>приложение</w:t>
        </w:r>
      </w:hyperlink>
      <w:r>
        <w:rPr>
          <w:rFonts w:cs="Times New Roman" w:ascii="Times New Roman" w:hAnsi="Times New Roman"/>
        </w:rPr>
        <w:t xml:space="preserve"> к Контракту), являющейся неотъемлемой частью Контракта.</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r>
        <w:rPr>
          <w:rFonts w:cs="Times New Roman" w:ascii="Times New Roman" w:hAnsi="Times New Roman"/>
        </w:rPr>
        <w:t>II. Цена Контракта и порядок расчетов</w:t>
      </w:r>
    </w:p>
    <w:p>
      <w:pPr>
        <w:pStyle w:val="ConsPlusNonformat"/>
        <w:ind w:firstLine="567"/>
        <w:jc w:val="both"/>
        <w:rPr>
          <w:rFonts w:ascii="Times New Roman" w:hAnsi="Times New Roman" w:cs="Times New Roman"/>
          <w:sz w:val="22"/>
          <w:szCs w:val="22"/>
        </w:rPr>
      </w:pPr>
      <w:bookmarkStart w:id="0" w:name="P1440"/>
      <w:bookmarkEnd w:id="0"/>
      <w:r>
        <w:rPr>
          <w:rFonts w:cs="Times New Roman" w:ascii="Times New Roman" w:hAnsi="Times New Roman"/>
          <w:sz w:val="22"/>
          <w:szCs w:val="22"/>
        </w:rPr>
        <w:t>2.1. Цена Контракта составляет ________ (___________) рублей __ копеек, (в т.ч. НДС _____ либо НДС не облагается (УСН)).</w:t>
      </w:r>
    </w:p>
    <w:p>
      <w:pPr>
        <w:pStyle w:val="ConsPlusNormal"/>
        <w:ind w:firstLine="540"/>
        <w:jc w:val="both"/>
        <w:rPr>
          <w:rFonts w:ascii="Times New Roman" w:hAnsi="Times New Roman" w:cs="Times New Roman"/>
        </w:rPr>
      </w:pPr>
      <w:bookmarkStart w:id="1" w:name="P1445"/>
      <w:bookmarkStart w:id="2" w:name="P1457"/>
      <w:bookmarkEnd w:id="1"/>
      <w:bookmarkEnd w:id="2"/>
      <w:r>
        <w:rPr>
          <w:rFonts w:cs="Times New Roman" w:ascii="Times New Roman" w:hAnsi="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ConsPlusNormal"/>
        <w:ind w:firstLine="540"/>
        <w:jc w:val="both"/>
        <w:rPr>
          <w:rFonts w:ascii="Times New Roman" w:hAnsi="Times New Roman" w:cs="Times New Roman"/>
        </w:rPr>
      </w:pPr>
      <w:bookmarkStart w:id="3" w:name="P1458"/>
      <w:bookmarkEnd w:id="3"/>
      <w:r>
        <w:rPr>
          <w:rFonts w:cs="Times New Roman" w:ascii="Times New Roman" w:hAnsi="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pPr>
        <w:pStyle w:val="ConsPlusNormal"/>
        <w:ind w:firstLine="540"/>
        <w:jc w:val="both"/>
        <w:rPr>
          <w:rFonts w:ascii="Times New Roman" w:hAnsi="Times New Roman" w:cs="Times New Roman"/>
        </w:rPr>
      </w:pPr>
      <w:bookmarkStart w:id="4" w:name="P1459"/>
      <w:bookmarkEnd w:id="4"/>
      <w:r>
        <w:rPr>
          <w:rFonts w:cs="Times New Roman" w:ascii="Times New Roman" w:hAnsi="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Контрактом.</w:t>
      </w:r>
    </w:p>
    <w:p>
      <w:pPr>
        <w:pStyle w:val="ConsPlusNormal"/>
        <w:ind w:firstLine="540"/>
        <w:jc w:val="both"/>
        <w:rPr>
          <w:rFonts w:ascii="Times New Roman" w:hAnsi="Times New Roman" w:cs="Times New Roman"/>
        </w:rPr>
      </w:pPr>
      <w:bookmarkStart w:id="5" w:name="P1460"/>
      <w:bookmarkEnd w:id="5"/>
      <w:r>
        <w:rPr>
          <w:rFonts w:cs="Times New Roman" w:ascii="Times New Roman" w:hAnsi="Times New Roman"/>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pPr>
        <w:pStyle w:val="ConsPlusNormal"/>
        <w:ind w:firstLine="540"/>
        <w:jc w:val="both"/>
        <w:rPr>
          <w:rFonts w:ascii="Times New Roman" w:hAnsi="Times New Roman" w:cs="Times New Roman"/>
        </w:rPr>
      </w:pPr>
      <w:r>
        <w:rPr>
          <w:rFonts w:cs="Times New Roman" w:ascii="Times New Roman" w:hAnsi="Times New Roman"/>
        </w:rPr>
        <w:t xml:space="preserve">2.5. Источник финансирования Контракта – федеральный бюджет. </w:t>
      </w:r>
    </w:p>
    <w:p>
      <w:pPr>
        <w:pStyle w:val="ConsPlusNormal"/>
        <w:ind w:firstLine="540"/>
        <w:jc w:val="both"/>
        <w:rPr>
          <w:rFonts w:ascii="Times New Roman" w:hAnsi="Times New Roman" w:cs="Times New Roman"/>
        </w:rPr>
      </w:pPr>
      <w:bookmarkStart w:id="6" w:name="P1462"/>
      <w:bookmarkEnd w:id="6"/>
      <w:r>
        <w:rPr>
          <w:rFonts w:cs="Times New Roman" w:ascii="Times New Roman" w:hAnsi="Times New Roman"/>
        </w:rPr>
        <w:t>2.7. Расчеты между Заказчиком и Поставщиком производятся не позднее 7 рабочих дней с даты подписания Заказчиком документа о приемке поставленного Товара.</w:t>
      </w:r>
    </w:p>
    <w:p>
      <w:pPr>
        <w:pStyle w:val="ConsPlusNormal"/>
        <w:ind w:firstLine="540"/>
        <w:jc w:val="both"/>
        <w:rPr>
          <w:rFonts w:ascii="Times New Roman" w:hAnsi="Times New Roman" w:cs="Times New Roman"/>
        </w:rPr>
      </w:pPr>
      <w:bookmarkStart w:id="7" w:name="P1475"/>
      <w:bookmarkEnd w:id="7"/>
      <w:r>
        <w:rPr>
          <w:rFonts w:cs="Times New Roman" w:ascii="Times New Roman" w:hAnsi="Times New Roman"/>
        </w:rPr>
        <w:t xml:space="preserve">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bookmarkStart w:id="8" w:name="P1477"/>
      <w:bookmarkEnd w:id="8"/>
      <w:r>
        <w:rPr>
          <w:rFonts w:cs="Times New Roman" w:ascii="Times New Roman" w:hAnsi="Times New Roman"/>
        </w:rPr>
        <w:t>III. Порядок, сроки и условия поставки и приемки Товара</w:t>
      </w:r>
    </w:p>
    <w:p>
      <w:pPr>
        <w:pStyle w:val="ConsPlusNormal"/>
        <w:numPr>
          <w:ilvl w:val="0"/>
          <w:numId w:val="0"/>
        </w:numPr>
        <w:ind w:hanging="0" w:left="0"/>
        <w:jc w:val="center"/>
        <w:outlineLvl w:val="1"/>
        <w:rPr>
          <w:rFonts w:ascii="Times New Roman" w:hAnsi="Times New Roman" w:cs="Times New Roman"/>
        </w:rPr>
      </w:pPr>
      <w:r>
        <w:rPr>
          <w:rFonts w:cs="Times New Roman" w:ascii="Times New Roman" w:hAnsi="Times New Roman"/>
        </w:rPr>
      </w:r>
    </w:p>
    <w:p>
      <w:pPr>
        <w:pStyle w:val="ConsPlusNormal"/>
        <w:ind w:firstLine="540"/>
        <w:jc w:val="both"/>
        <w:rPr>
          <w:rFonts w:ascii="Times New Roman" w:hAnsi="Times New Roman" w:cs="Times New Roman"/>
        </w:rPr>
      </w:pPr>
      <w:bookmarkStart w:id="9" w:name="P1480"/>
      <w:bookmarkEnd w:id="9"/>
      <w:r>
        <w:rPr>
          <w:rFonts w:cs="Times New Roman" w:ascii="Times New Roman" w:hAnsi="Times New Roman"/>
        </w:rPr>
        <w:t>3.1. Поставщик самостоятельно доставляет Товар Заказчику: УФСИН России по Кабардино-Балкарской Республике по адресу КБР, г. Нальчик, ул. Абидова, 2А (далее - место доставки), в течение 20 календарных дней со дня заключения государственного контракта.</w:t>
      </w:r>
    </w:p>
    <w:p>
      <w:pPr>
        <w:pStyle w:val="ConsPlusNormal"/>
        <w:ind w:firstLine="540"/>
        <w:jc w:val="both"/>
        <w:rPr>
          <w:rFonts w:ascii="Times New Roman" w:hAnsi="Times New Roman" w:cs="Times New Roman"/>
        </w:rPr>
      </w:pPr>
      <w:r>
        <w:rPr>
          <w:rFonts w:cs="Times New Roman" w:ascii="Times New Roman" w:hAnsi="Times New Roman"/>
        </w:rPr>
        <w:t>Поставщик не менее чем за 3 рабочих дня до осуществления поставки Товара направляет в адрес Заказчика уведомление о времени и дате доставки Товара в место доставки.</w:t>
      </w:r>
    </w:p>
    <w:p>
      <w:pPr>
        <w:pStyle w:val="ConsPlusNormal"/>
        <w:ind w:firstLine="540"/>
        <w:jc w:val="both"/>
        <w:rPr>
          <w:rFonts w:ascii="Times New Roman" w:hAnsi="Times New Roman" w:cs="Times New Roman"/>
        </w:rPr>
      </w:pPr>
      <w:bookmarkStart w:id="10" w:name="P1482"/>
      <w:bookmarkStart w:id="11" w:name="P1485"/>
      <w:bookmarkEnd w:id="10"/>
      <w:bookmarkEnd w:id="11"/>
      <w:r>
        <w:rPr>
          <w:rFonts w:cs="Times New Roman" w:ascii="Times New Roman" w:hAnsi="Times New Roman"/>
        </w:rPr>
        <w:t>3.3. Приемка Товара осуществляется путем передачи Поставщиком Товара и платежных документов.</w:t>
      </w:r>
    </w:p>
    <w:p>
      <w:pPr>
        <w:pStyle w:val="ConsPlusNormal"/>
        <w:ind w:firstLine="540"/>
        <w:jc w:val="both"/>
        <w:rPr>
          <w:rFonts w:ascii="Times New Roman" w:hAnsi="Times New Roman" w:cs="Times New Roman"/>
        </w:rPr>
      </w:pPr>
      <w:r>
        <w:rPr>
          <w:rFonts w:cs="Times New Roman" w:ascii="Times New Roman" w:hAnsi="Times New Roman"/>
        </w:rP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pPr>
        <w:pStyle w:val="ConsPlusNormal"/>
        <w:ind w:firstLine="540"/>
        <w:jc w:val="both"/>
        <w:rPr>
          <w:rFonts w:ascii="Times New Roman" w:hAnsi="Times New Roman" w:cs="Times New Roman"/>
        </w:rPr>
      </w:pPr>
      <w:r>
        <w:rPr>
          <w:rFonts w:cs="Times New Roman" w:ascii="Times New Roman" w:hAnsi="Times New Roman"/>
        </w:rP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2">
        <w:r>
          <w:rPr>
            <w:rStyle w:val="Style9"/>
            <w:rFonts w:cs="Times New Roman" w:ascii="Times New Roman" w:hAnsi="Times New Roman"/>
            <w:color w:val="0000FF"/>
          </w:rPr>
          <w:t>законом</w:t>
        </w:r>
      </w:hyperlink>
      <w:r>
        <w:rPr>
          <w:rFonts w:cs="Times New Roman" w:ascii="Times New Roman" w:hAnsi="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pPr>
        <w:pStyle w:val="ConsPlusNormal"/>
        <w:ind w:firstLine="540"/>
        <w:jc w:val="both"/>
        <w:rPr>
          <w:rFonts w:ascii="Times New Roman" w:hAnsi="Times New Roman" w:cs="Times New Roman"/>
        </w:rPr>
      </w:pPr>
      <w:bookmarkStart w:id="12" w:name="P1489"/>
      <w:bookmarkEnd w:id="12"/>
      <w:r>
        <w:rPr>
          <w:rFonts w:cs="Times New Roman" w:ascii="Times New Roman" w:hAnsi="Times New Roman"/>
        </w:rPr>
        <w:t>3.6. При отсутствии у Заказчика претензий по количеству и качеству поставленного Товара Заказчик в течение 20 рабочих дней с даты доставки Товара Поставщиком подписывает документ о приемке Товара. После этого Товар считается переданным Поставщиком Заказчику.</w:t>
      </w:r>
    </w:p>
    <w:p>
      <w:pPr>
        <w:pStyle w:val="ConsPlusNormal"/>
        <w:ind w:firstLine="540"/>
        <w:jc w:val="both"/>
        <w:rPr>
          <w:rFonts w:ascii="Times New Roman" w:hAnsi="Times New Roman" w:cs="Times New Roman"/>
        </w:rPr>
      </w:pPr>
      <w:r>
        <w:rPr>
          <w:rFonts w:cs="Times New Roman" w:ascii="Times New Roman" w:hAnsi="Times New Roman"/>
        </w:rPr>
        <w:t xml:space="preserve">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r>
          <w:rPr>
            <w:rStyle w:val="Style9"/>
            <w:rFonts w:cs="Times New Roman" w:ascii="Times New Roman" w:hAnsi="Times New Roman"/>
            <w:color w:val="0000FF"/>
          </w:rPr>
          <w:t>пункте 3.6</w:t>
        </w:r>
      </w:hyperlink>
      <w:r>
        <w:rPr>
          <w:rFonts w:cs="Times New Roman" w:ascii="Times New Roman" w:hAnsi="Times New Roman"/>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pPr>
        <w:pStyle w:val="ConsPlusNormal"/>
        <w:ind w:firstLine="540"/>
        <w:jc w:val="both"/>
        <w:rPr>
          <w:rFonts w:ascii="Times New Roman" w:hAnsi="Times New Roman" w:cs="Times New Roman"/>
        </w:rPr>
      </w:pPr>
      <w:r>
        <w:rPr>
          <w:rFonts w:cs="Times New Roman" w:ascii="Times New Roman" w:hAnsi="Times New Roman"/>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pPr>
        <w:pStyle w:val="ConsPlusNormal"/>
        <w:ind w:firstLine="540"/>
        <w:jc w:val="both"/>
        <w:rPr>
          <w:rFonts w:ascii="Times New Roman" w:hAnsi="Times New Roman" w:cs="Times New Roman"/>
        </w:rPr>
      </w:pPr>
      <w:r>
        <w:rPr>
          <w:rFonts w:cs="Times New Roman" w:ascii="Times New Roman" w:hAnsi="Times New Roman"/>
        </w:rPr>
        <w:t xml:space="preserve">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r>
          <w:rPr>
            <w:rStyle w:val="Style9"/>
            <w:rFonts w:cs="Times New Roman" w:ascii="Times New Roman" w:hAnsi="Times New Roman"/>
            <w:color w:val="0000FF"/>
          </w:rPr>
          <w:t>пункте 3.6</w:t>
        </w:r>
      </w:hyperlink>
      <w:r>
        <w:rPr>
          <w:rFonts w:cs="Times New Roman" w:ascii="Times New Roman" w:hAnsi="Times New Roman"/>
        </w:rPr>
        <w:t xml:space="preserve"> Контракта.</w:t>
      </w:r>
    </w:p>
    <w:p>
      <w:pPr>
        <w:pStyle w:val="ConsPlusNormal"/>
        <w:ind w:firstLine="540"/>
        <w:jc w:val="both"/>
        <w:rPr>
          <w:rFonts w:ascii="Times New Roman" w:hAnsi="Times New Roman" w:cs="Times New Roman"/>
        </w:rPr>
      </w:pPr>
      <w:r>
        <w:rPr>
          <w:rFonts w:cs="Times New Roman" w:ascii="Times New Roman" w:hAnsi="Times New Roman"/>
        </w:rP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r>
        <w:rPr>
          <w:rFonts w:cs="Times New Roman" w:ascii="Times New Roman" w:hAnsi="Times New Roman"/>
        </w:rPr>
        <w:t>IV. Взаимодействие Сторон</w:t>
      </w:r>
    </w:p>
    <w:p>
      <w:pPr>
        <w:pStyle w:val="ConsPlusNormal"/>
        <w:ind w:firstLine="540"/>
        <w:jc w:val="both"/>
        <w:rPr>
          <w:rFonts w:ascii="Times New Roman" w:hAnsi="Times New Roman" w:cs="Times New Roman"/>
        </w:rPr>
      </w:pPr>
      <w:bookmarkStart w:id="13" w:name="P1497"/>
      <w:bookmarkEnd w:id="13"/>
      <w:r>
        <w:rPr>
          <w:rFonts w:cs="Times New Roman" w:ascii="Times New Roman" w:hAnsi="Times New Roman"/>
        </w:rPr>
        <w:t xml:space="preserve">4.1. Поставщик обязан: </w:t>
      </w:r>
    </w:p>
    <w:p>
      <w:pPr>
        <w:pStyle w:val="ConsPlusNormal"/>
        <w:ind w:firstLine="540"/>
        <w:jc w:val="both"/>
        <w:rPr>
          <w:rFonts w:ascii="Times New Roman" w:hAnsi="Times New Roman" w:cs="Times New Roman"/>
        </w:rPr>
      </w:pPr>
      <w:r>
        <w:rPr>
          <w:rFonts w:cs="Times New Roman" w:ascii="Times New Roman" w:hAnsi="Times New Roman"/>
        </w:rPr>
        <w:t>4.1.1. поставить Товар в порядке, количестве, в срок и на условиях, предусмотренных Контрактом и спецификацией;</w:t>
      </w:r>
    </w:p>
    <w:p>
      <w:pPr>
        <w:pStyle w:val="ConsPlusNormal"/>
        <w:ind w:firstLine="540"/>
        <w:jc w:val="both"/>
        <w:rPr>
          <w:rFonts w:ascii="Times New Roman" w:hAnsi="Times New Roman" w:cs="Times New Roman"/>
        </w:rPr>
      </w:pPr>
      <w:bookmarkStart w:id="14" w:name="P1499"/>
      <w:bookmarkEnd w:id="14"/>
      <w:r>
        <w:rPr>
          <w:rFonts w:cs="Times New Roman" w:ascii="Times New Roman" w:hAnsi="Times New Roman"/>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pPr>
        <w:pStyle w:val="ConsPlusNormal"/>
        <w:ind w:firstLine="540"/>
        <w:jc w:val="both"/>
        <w:rPr>
          <w:rFonts w:ascii="Times New Roman" w:hAnsi="Times New Roman" w:cs="Times New Roman"/>
        </w:rPr>
      </w:pPr>
      <w:r>
        <w:rPr>
          <w:rFonts w:cs="Times New Roman" w:ascii="Times New Roman" w:hAnsi="Times New Roman"/>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pPr>
        <w:pStyle w:val="ConsPlusNormal"/>
        <w:ind w:firstLine="540"/>
        <w:jc w:val="both"/>
        <w:rPr>
          <w:rFonts w:ascii="Times New Roman" w:hAnsi="Times New Roman" w:cs="Times New Roman"/>
        </w:rPr>
      </w:pPr>
      <w:bookmarkStart w:id="15" w:name="P1502"/>
      <w:bookmarkStart w:id="16" w:name="P1504"/>
      <w:bookmarkEnd w:id="15"/>
      <w:bookmarkEnd w:id="16"/>
      <w:r>
        <w:rPr>
          <w:rFonts w:cs="Times New Roman" w:ascii="Times New Roman" w:hAnsi="Times New Roman"/>
        </w:rPr>
        <w:t xml:space="preserve">4.1.6.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pPr>
        <w:pStyle w:val="ConsPlusNormal"/>
        <w:ind w:firstLine="540"/>
        <w:jc w:val="both"/>
        <w:rPr>
          <w:rFonts w:ascii="Times New Roman" w:hAnsi="Times New Roman" w:cs="Times New Roman"/>
        </w:rPr>
      </w:pPr>
      <w:bookmarkStart w:id="17" w:name="P1505"/>
      <w:bookmarkEnd w:id="17"/>
      <w:r>
        <w:rPr>
          <w:rFonts w:cs="Times New Roman" w:ascii="Times New Roman" w:hAnsi="Times New Roman"/>
        </w:rPr>
        <w:t>4.1.8.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pPr>
        <w:pStyle w:val="ConsPlusNormal"/>
        <w:ind w:firstLine="540"/>
        <w:jc w:val="both"/>
        <w:rPr>
          <w:rFonts w:ascii="Times New Roman" w:hAnsi="Times New Roman" w:cs="Times New Roman"/>
        </w:rPr>
      </w:pPr>
      <w:bookmarkStart w:id="18" w:name="P1507"/>
      <w:bookmarkStart w:id="19" w:name="P1515"/>
      <w:bookmarkEnd w:id="18"/>
      <w:bookmarkEnd w:id="19"/>
      <w:r>
        <w:rPr>
          <w:rFonts w:cs="Times New Roman" w:ascii="Times New Roman" w:hAnsi="Times New Roman"/>
        </w:rPr>
        <w:t>4.2. Поставщик вправе:</w:t>
      </w:r>
    </w:p>
    <w:p>
      <w:pPr>
        <w:pStyle w:val="ConsPlusNormal"/>
        <w:ind w:firstLine="540"/>
        <w:jc w:val="both"/>
        <w:rPr>
          <w:rFonts w:ascii="Times New Roman" w:hAnsi="Times New Roman" w:cs="Times New Roman"/>
        </w:rPr>
      </w:pPr>
      <w:r>
        <w:rPr>
          <w:rFonts w:cs="Times New Roman" w:ascii="Times New Roman" w:hAnsi="Times New Roman"/>
        </w:rPr>
        <w:t>4.2.1. требовать от Заказчика произвести приемку Товара в порядке и в сроки, предусмотренные Контрактом;</w:t>
      </w:r>
    </w:p>
    <w:p>
      <w:pPr>
        <w:pStyle w:val="ConsPlusNormal"/>
        <w:ind w:firstLine="540"/>
        <w:jc w:val="both"/>
        <w:rPr>
          <w:rFonts w:ascii="Times New Roman" w:hAnsi="Times New Roman" w:cs="Times New Roman"/>
        </w:rPr>
      </w:pPr>
      <w:bookmarkStart w:id="20" w:name="P1518"/>
      <w:bookmarkEnd w:id="20"/>
      <w:r>
        <w:rPr>
          <w:rFonts w:cs="Times New Roman" w:ascii="Times New Roman" w:hAnsi="Times New Roman"/>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pPr>
        <w:pStyle w:val="ConsPlusNormal"/>
        <w:ind w:firstLine="540"/>
        <w:jc w:val="both"/>
        <w:rPr>
          <w:rFonts w:ascii="Times New Roman" w:hAnsi="Times New Roman" w:cs="Times New Roman"/>
        </w:rPr>
      </w:pPr>
      <w:bookmarkStart w:id="21" w:name="P1519"/>
      <w:bookmarkEnd w:id="21"/>
      <w:r>
        <w:rPr>
          <w:rFonts w:cs="Times New Roman" w:ascii="Times New Roman" w:hAnsi="Times New Roman"/>
        </w:rPr>
        <w:t xml:space="preserve">4.2.3. принять решение об одностороннем отказе от исполнения Контракта в соответствии с гражданским законодательством; </w:t>
      </w:r>
    </w:p>
    <w:p>
      <w:pPr>
        <w:pStyle w:val="ConsPlusNormal"/>
        <w:ind w:firstLine="540"/>
        <w:jc w:val="both"/>
        <w:rPr>
          <w:rFonts w:ascii="Times New Roman" w:hAnsi="Times New Roman" w:cs="Times New Roman"/>
        </w:rPr>
      </w:pPr>
      <w:r>
        <w:rPr>
          <w:rFonts w:cs="Times New Roman" w:ascii="Times New Roman" w:hAnsi="Times New Roman"/>
        </w:rPr>
        <w:t xml:space="preserve">4.2.4. требовать возмещения убытков, уплаты неустоек (штрафов, пеней) в соответствии с </w:t>
      </w:r>
      <w:hyperlink w:anchor="P1550">
        <w:r>
          <w:rPr>
            <w:rStyle w:val="Style9"/>
            <w:rFonts w:cs="Times New Roman" w:ascii="Times New Roman" w:hAnsi="Times New Roman"/>
            <w:color w:val="0000FF"/>
          </w:rPr>
          <w:t>разделом VI</w:t>
        </w:r>
      </w:hyperlink>
      <w:r>
        <w:rPr>
          <w:rFonts w:cs="Times New Roman" w:ascii="Times New Roman" w:hAnsi="Times New Roman"/>
        </w:rPr>
        <w:t xml:space="preserve"> Контракта;</w:t>
      </w:r>
    </w:p>
    <w:p>
      <w:pPr>
        <w:pStyle w:val="ConsPlusNormal"/>
        <w:ind w:firstLine="540"/>
        <w:jc w:val="both"/>
        <w:rPr>
          <w:rFonts w:ascii="Times New Roman" w:hAnsi="Times New Roman" w:cs="Times New Roman"/>
        </w:rPr>
      </w:pPr>
      <w:bookmarkStart w:id="22" w:name="P1521"/>
      <w:bookmarkEnd w:id="22"/>
      <w:r>
        <w:rPr>
          <w:rFonts w:cs="Times New Roman" w:ascii="Times New Roman" w:hAnsi="Times New Roman"/>
        </w:rPr>
        <w:t xml:space="preserve">4.2.6.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3">
        <w:r>
          <w:rPr>
            <w:rStyle w:val="Style9"/>
            <w:rFonts w:cs="Times New Roman" w:ascii="Times New Roman" w:hAnsi="Times New Roman"/>
            <w:color w:val="0000FF"/>
          </w:rPr>
          <w:t>частью 6 статьи 14</w:t>
        </w:r>
      </w:hyperlink>
      <w:r>
        <w:rPr>
          <w:rFonts w:cs="Times New Roman" w:ascii="Times New Roman" w:hAnsi="Times New Roman"/>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pPr>
        <w:pStyle w:val="ConsPlusNormal"/>
        <w:ind w:firstLine="540"/>
        <w:jc w:val="both"/>
        <w:rPr>
          <w:rFonts w:ascii="Times New Roman" w:hAnsi="Times New Roman" w:cs="Times New Roman"/>
        </w:rPr>
      </w:pPr>
      <w:r>
        <w:rPr>
          <w:rFonts w:cs="Times New Roman" w:ascii="Times New Roman" w:hAnsi="Times New Roman"/>
        </w:rPr>
        <w:t>4.3. Заказчик обязуется:</w:t>
      </w:r>
    </w:p>
    <w:p>
      <w:pPr>
        <w:pStyle w:val="ConsPlusNormal"/>
        <w:ind w:firstLine="540"/>
        <w:jc w:val="both"/>
        <w:rPr>
          <w:rFonts w:ascii="Times New Roman" w:hAnsi="Times New Roman" w:cs="Times New Roman"/>
        </w:rPr>
      </w:pPr>
      <w:r>
        <w:rPr>
          <w:rFonts w:cs="Times New Roman" w:ascii="Times New Roman" w:hAnsi="Times New Roman"/>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pPr>
        <w:pStyle w:val="ConsPlusNormal"/>
        <w:ind w:firstLine="540"/>
        <w:jc w:val="both"/>
        <w:rPr>
          <w:rFonts w:ascii="Times New Roman" w:hAnsi="Times New Roman" w:cs="Times New Roman"/>
        </w:rPr>
      </w:pPr>
      <w:bookmarkStart w:id="23" w:name="P1525"/>
      <w:bookmarkEnd w:id="23"/>
      <w:r>
        <w:rPr>
          <w:rFonts w:cs="Times New Roman" w:ascii="Times New Roman" w:hAnsi="Times New Roman"/>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pPr>
        <w:pStyle w:val="ConsPlusNormal"/>
        <w:ind w:firstLine="540"/>
        <w:jc w:val="both"/>
        <w:rPr>
          <w:rFonts w:ascii="Times New Roman" w:hAnsi="Times New Roman" w:cs="Times New Roman"/>
        </w:rPr>
      </w:pPr>
      <w:bookmarkStart w:id="24" w:name="P1526"/>
      <w:bookmarkEnd w:id="24"/>
      <w:r>
        <w:rPr>
          <w:rFonts w:cs="Times New Roman" w:ascii="Times New Roman" w:hAnsi="Times New Roman"/>
        </w:rPr>
        <w:t xml:space="preserve">4.3.3.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pPr>
        <w:pStyle w:val="ConsPlusNormal"/>
        <w:ind w:firstLine="540"/>
        <w:jc w:val="both"/>
        <w:rPr>
          <w:rFonts w:ascii="Times New Roman" w:hAnsi="Times New Roman" w:cs="Times New Roman"/>
        </w:rPr>
      </w:pPr>
      <w:r>
        <w:rPr>
          <w:rFonts w:cs="Times New Roman" w:ascii="Times New Roman" w:hAnsi="Times New Roman"/>
        </w:rPr>
        <w:t xml:space="preserve">4.3.4. требовать уплаты неустоек (штрафов, пеней) в соответствии с </w:t>
      </w:r>
      <w:hyperlink w:anchor="P1550">
        <w:r>
          <w:rPr>
            <w:rStyle w:val="Style9"/>
            <w:rFonts w:cs="Times New Roman" w:ascii="Times New Roman" w:hAnsi="Times New Roman"/>
            <w:color w:val="0000FF"/>
          </w:rPr>
          <w:t>разделом VI</w:t>
        </w:r>
      </w:hyperlink>
      <w:r>
        <w:rPr>
          <w:rFonts w:cs="Times New Roman" w:ascii="Times New Roman" w:hAnsi="Times New Roman"/>
        </w:rPr>
        <w:t xml:space="preserve"> Контракта;</w:t>
      </w:r>
    </w:p>
    <w:p>
      <w:pPr>
        <w:pStyle w:val="ConsPlusNormal"/>
        <w:ind w:firstLine="540"/>
        <w:jc w:val="both"/>
        <w:rPr>
          <w:rFonts w:ascii="Times New Roman" w:hAnsi="Times New Roman" w:cs="Times New Roman"/>
        </w:rPr>
      </w:pPr>
      <w:r>
        <w:rPr>
          <w:rFonts w:cs="Times New Roman" w:ascii="Times New Roman" w:hAnsi="Times New Roman"/>
        </w:rPr>
        <w:t xml:space="preserve">4.3.5. провести экспертизу поставленного Товара для проверки его соответствия условиям Контракта в соответствии с Федеральным </w:t>
      </w:r>
      <w:hyperlink r:id="rId4">
        <w:r>
          <w:rPr>
            <w:rStyle w:val="Style9"/>
            <w:rFonts w:cs="Times New Roman" w:ascii="Times New Roman" w:hAnsi="Times New Roman"/>
            <w:color w:val="0000FF"/>
          </w:rPr>
          <w:t>законом</w:t>
        </w:r>
      </w:hyperlink>
      <w:r>
        <w:rPr>
          <w:rFonts w:cs="Times New Roman" w:ascii="Times New Roman" w:hAnsi="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pPr>
        <w:pStyle w:val="ConsPlusNormal"/>
        <w:ind w:firstLine="540"/>
        <w:jc w:val="both"/>
        <w:rPr>
          <w:rFonts w:ascii="Times New Roman" w:hAnsi="Times New Roman" w:cs="Times New Roman"/>
        </w:rPr>
      </w:pPr>
      <w:bookmarkStart w:id="25" w:name="P1529"/>
      <w:bookmarkEnd w:id="25"/>
      <w:r>
        <w:rPr>
          <w:rFonts w:cs="Times New Roman" w:ascii="Times New Roman" w:hAnsi="Times New Roman"/>
        </w:rPr>
        <w:t>4.4. Заказчик вправе:</w:t>
      </w:r>
    </w:p>
    <w:p>
      <w:pPr>
        <w:pStyle w:val="ConsPlusNormal"/>
        <w:ind w:firstLine="540"/>
        <w:jc w:val="both"/>
        <w:rPr>
          <w:rFonts w:ascii="Times New Roman" w:hAnsi="Times New Roman" w:cs="Times New Roman"/>
        </w:rPr>
      </w:pPr>
      <w:r>
        <w:rPr>
          <w:rFonts w:cs="Times New Roman" w:ascii="Times New Roman" w:hAnsi="Times New Roman"/>
        </w:rPr>
        <w:t>4.4.1. требовать от Поставщика надлежащего исполнения обязательств по Контракту;</w:t>
      </w:r>
    </w:p>
    <w:p>
      <w:pPr>
        <w:pStyle w:val="ConsPlusNormal"/>
        <w:ind w:firstLine="540"/>
        <w:jc w:val="both"/>
        <w:rPr>
          <w:rFonts w:ascii="Times New Roman" w:hAnsi="Times New Roman" w:cs="Times New Roman"/>
        </w:rPr>
      </w:pPr>
      <w:r>
        <w:rPr>
          <w:rFonts w:cs="Times New Roman" w:ascii="Times New Roman" w:hAnsi="Times New Roman"/>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pPr>
        <w:pStyle w:val="ConsPlusNormal"/>
        <w:ind w:firstLine="540"/>
        <w:jc w:val="both"/>
        <w:rPr>
          <w:rFonts w:ascii="Times New Roman" w:hAnsi="Times New Roman" w:cs="Times New Roman"/>
        </w:rPr>
      </w:pPr>
      <w:r>
        <w:rPr>
          <w:rFonts w:cs="Times New Roman" w:ascii="Times New Roman" w:hAnsi="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pPr>
        <w:pStyle w:val="ConsPlusNormal"/>
        <w:ind w:firstLine="540"/>
        <w:jc w:val="both"/>
        <w:rPr>
          <w:rFonts w:ascii="Times New Roman" w:hAnsi="Times New Roman" w:cs="Times New Roman"/>
        </w:rPr>
      </w:pPr>
      <w:r>
        <w:rPr>
          <w:rFonts w:cs="Times New Roman" w:ascii="Times New Roman" w:hAnsi="Times New Roman"/>
        </w:rPr>
        <w:t xml:space="preserve">4.4.4. требовать возмещения убытков в соответствии с </w:t>
      </w:r>
      <w:hyperlink w:anchor="P1550">
        <w:r>
          <w:rPr>
            <w:rStyle w:val="Style9"/>
            <w:rFonts w:cs="Times New Roman" w:ascii="Times New Roman" w:hAnsi="Times New Roman"/>
            <w:color w:val="0000FF"/>
          </w:rPr>
          <w:t>разделом VI</w:t>
        </w:r>
      </w:hyperlink>
      <w:r>
        <w:rPr>
          <w:rFonts w:cs="Times New Roman" w:ascii="Times New Roman" w:hAnsi="Times New Roman"/>
        </w:rPr>
        <w:t xml:space="preserve"> Контракта, причиненных по вине Поставщика;</w:t>
      </w:r>
    </w:p>
    <w:p>
      <w:pPr>
        <w:pStyle w:val="ConsPlusNormal"/>
        <w:ind w:firstLine="540"/>
        <w:jc w:val="both"/>
        <w:rPr>
          <w:rFonts w:ascii="Times New Roman" w:hAnsi="Times New Roman" w:cs="Times New Roman"/>
        </w:rPr>
      </w:pPr>
      <w:bookmarkStart w:id="26" w:name="P1534"/>
      <w:bookmarkEnd w:id="26"/>
      <w:r>
        <w:rPr>
          <w:rFonts w:cs="Times New Roman" w:ascii="Times New Roman" w:hAnsi="Times New Roman"/>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5">
        <w:r>
          <w:rPr>
            <w:rStyle w:val="Style9"/>
            <w:rFonts w:cs="Times New Roman" w:ascii="Times New Roman" w:hAnsi="Times New Roman"/>
            <w:color w:val="0000FF"/>
          </w:rPr>
          <w:t>законом</w:t>
        </w:r>
      </w:hyperlink>
      <w:r>
        <w:rPr>
          <w:rFonts w:cs="Times New Roman" w:ascii="Times New Roman" w:hAnsi="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w:t>
      </w:r>
    </w:p>
    <w:p>
      <w:pPr>
        <w:pStyle w:val="ConsPlusNormal"/>
        <w:ind w:firstLine="540"/>
        <w:jc w:val="both"/>
        <w:rPr>
          <w:rFonts w:ascii="Times New Roman" w:hAnsi="Times New Roman" w:cs="Times New Roman"/>
        </w:rPr>
      </w:pPr>
      <w:r>
        <w:rPr>
          <w:rFonts w:cs="Times New Roman" w:ascii="Times New Roman" w:hAnsi="Times New Roman"/>
        </w:rPr>
        <w:t>4.4.6. отказаться от приемки и оплаты Товара, не соответствующего условиям Контракта;</w:t>
      </w:r>
    </w:p>
    <w:p>
      <w:pPr>
        <w:pStyle w:val="ConsPlusNormal"/>
        <w:ind w:firstLine="540"/>
        <w:jc w:val="both"/>
        <w:rPr>
          <w:rFonts w:ascii="Times New Roman" w:hAnsi="Times New Roman" w:cs="Times New Roman"/>
        </w:rPr>
      </w:pPr>
      <w:bookmarkStart w:id="27" w:name="P1536"/>
      <w:bookmarkEnd w:id="27"/>
      <w:r>
        <w:rPr>
          <w:rFonts w:cs="Times New Roman" w:ascii="Times New Roman" w:hAnsi="Times New Roman"/>
        </w:rPr>
        <w:t xml:space="preserve">4.4.7. принять решение об одностороннем отказе от исполнения Контракта в соответствии с гражданским законодательством; </w:t>
      </w:r>
    </w:p>
    <w:p>
      <w:pPr>
        <w:pStyle w:val="ConsPlusNormal"/>
        <w:ind w:firstLine="540"/>
        <w:jc w:val="both"/>
        <w:rPr>
          <w:rFonts w:ascii="Times New Roman" w:hAnsi="Times New Roman" w:cs="Times New Roman"/>
        </w:rPr>
      </w:pPr>
      <w:bookmarkStart w:id="28" w:name="P1537"/>
      <w:bookmarkEnd w:id="28"/>
      <w:r>
        <w:rPr>
          <w:rFonts w:cs="Times New Roman" w:ascii="Times New Roman" w:hAnsi="Times New Roman"/>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bookmarkStart w:id="29" w:name="P1539"/>
      <w:bookmarkEnd w:id="29"/>
      <w:r>
        <w:rPr>
          <w:rFonts w:cs="Times New Roman" w:ascii="Times New Roman" w:hAnsi="Times New Roman"/>
        </w:rPr>
        <w:t>V. Качество Товара</w:t>
      </w:r>
    </w:p>
    <w:p>
      <w:pPr>
        <w:pStyle w:val="ConsPlusNormal"/>
        <w:ind w:firstLine="540"/>
        <w:jc w:val="both"/>
        <w:rPr>
          <w:rFonts w:ascii="Times New Roman" w:hAnsi="Times New Roman" w:cs="Times New Roman"/>
        </w:rPr>
      </w:pPr>
      <w:r>
        <w:rPr>
          <w:rFonts w:cs="Times New Roman" w:ascii="Times New Roman" w:hAnsi="Times New Roman"/>
        </w:rPr>
        <w:t>5.1. Поставщик гарантирует, что поставляемый Товар соответствует требованиям, установленным Контрактом.</w:t>
      </w:r>
    </w:p>
    <w:p>
      <w:pPr>
        <w:pStyle w:val="ConsPlusNormal"/>
        <w:ind w:firstLine="540"/>
        <w:jc w:val="both"/>
        <w:rPr>
          <w:rFonts w:ascii="Times New Roman" w:hAnsi="Times New Roman" w:cs="Times New Roman"/>
        </w:rPr>
      </w:pPr>
      <w:r>
        <w:rPr>
          <w:rFonts w:cs="Times New Roman" w:ascii="Times New Roman" w:hAnsi="Times New Roman"/>
        </w:rPr>
        <w:t>5.2. Товар должен быть упакован и замаркирован в соответствии с действующими стандартами.</w:t>
      </w:r>
    </w:p>
    <w:p>
      <w:pPr>
        <w:pStyle w:val="ConsPlusNormal"/>
        <w:ind w:firstLine="540"/>
        <w:jc w:val="both"/>
        <w:rPr>
          <w:rFonts w:ascii="Times New Roman" w:hAnsi="Times New Roman" w:cs="Times New Roman"/>
        </w:rPr>
      </w:pPr>
      <w:r>
        <w:rPr>
          <w:rFonts w:cs="Times New Roman" w:ascii="Times New Roman" w:hAnsi="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pPr>
        <w:pStyle w:val="ConsPlusNormal"/>
        <w:ind w:firstLine="540"/>
        <w:jc w:val="both"/>
        <w:rPr>
          <w:rFonts w:ascii="Times New Roman" w:hAnsi="Times New Roman" w:cs="Times New Roman"/>
        </w:rPr>
      </w:pPr>
      <w:r>
        <w:rPr>
          <w:rFonts w:cs="Times New Roman" w:ascii="Times New Roman" w:hAnsi="Times New Roman"/>
        </w:rPr>
        <w:t>5.3.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w:t>
      </w:r>
    </w:p>
    <w:p>
      <w:pPr>
        <w:pStyle w:val="ConsPlusNormal"/>
        <w:ind w:firstLine="540"/>
        <w:jc w:val="both"/>
        <w:rPr>
          <w:rFonts w:ascii="Times New Roman" w:hAnsi="Times New Roman" w:cs="Times New Roman"/>
        </w:rPr>
      </w:pPr>
      <w:bookmarkStart w:id="30" w:name="P1546"/>
      <w:bookmarkEnd w:id="30"/>
      <w:r>
        <w:rPr>
          <w:rFonts w:cs="Times New Roman" w:ascii="Times New Roman" w:hAnsi="Times New Roman"/>
        </w:rPr>
        <w:t>5.4. Требования к предоставлению гарантии производителя и (или) Поставщика Товара и к сроку действия такой гарантии указаны в спецификации.</w:t>
      </w:r>
    </w:p>
    <w:p>
      <w:pPr>
        <w:pStyle w:val="ConsPlusNormal"/>
        <w:jc w:val="both"/>
        <w:rPr>
          <w:rFonts w:ascii="Times New Roman" w:hAnsi="Times New Roman" w:cs="Times New Roman"/>
        </w:rPr>
      </w:pPr>
      <w:r>
        <w:rPr>
          <w:rFonts w:cs="Times New Roman" w:ascii="Times New Roman" w:hAnsi="Times New Roman"/>
        </w:rPr>
      </w:r>
      <w:bookmarkStart w:id="31" w:name="P1547"/>
      <w:bookmarkStart w:id="32" w:name="P1548"/>
      <w:bookmarkStart w:id="33" w:name="P1547"/>
      <w:bookmarkStart w:id="34" w:name="P1548"/>
      <w:bookmarkEnd w:id="33"/>
      <w:bookmarkEnd w:id="34"/>
    </w:p>
    <w:p>
      <w:pPr>
        <w:pStyle w:val="ConsPlusNormal"/>
        <w:numPr>
          <w:ilvl w:val="0"/>
          <w:numId w:val="0"/>
        </w:numPr>
        <w:ind w:hanging="0" w:left="0"/>
        <w:jc w:val="center"/>
        <w:outlineLvl w:val="1"/>
        <w:rPr>
          <w:rFonts w:ascii="Times New Roman" w:hAnsi="Times New Roman" w:cs="Times New Roman"/>
        </w:rPr>
      </w:pPr>
      <w:bookmarkStart w:id="35" w:name="P1550"/>
      <w:bookmarkEnd w:id="35"/>
      <w:r>
        <w:rPr>
          <w:rFonts w:cs="Times New Roman" w:ascii="Times New Roman" w:hAnsi="Times New Roman"/>
        </w:rPr>
        <w:t xml:space="preserve">VI. Ответственность Сторон </w:t>
      </w:r>
    </w:p>
    <w:p>
      <w:pPr>
        <w:pStyle w:val="ConsPlusNormal"/>
        <w:ind w:firstLine="540"/>
        <w:jc w:val="both"/>
        <w:rPr>
          <w:rFonts w:ascii="Times New Roman" w:hAnsi="Times New Roman" w:cs="Times New Roman"/>
        </w:rPr>
      </w:pPr>
      <w:r>
        <w:rPr>
          <w:rFonts w:cs="Times New Roman" w:ascii="Times New Roman" w:hAnsi="Times New Roman"/>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pPr>
        <w:pStyle w:val="ConsPlusNormal"/>
        <w:ind w:firstLine="540"/>
        <w:jc w:val="both"/>
        <w:rPr>
          <w:rFonts w:ascii="Times New Roman" w:hAnsi="Times New Roman" w:cs="Times New Roman"/>
        </w:rPr>
      </w:pPr>
      <w:r>
        <w:rPr>
          <w:rFonts w:cs="Times New Roman" w:ascii="Times New Roman" w:hAnsi="Times New Roman"/>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pPr>
        <w:pStyle w:val="ConsPlusNormal"/>
        <w:ind w:firstLine="540"/>
        <w:jc w:val="both"/>
        <w:rPr>
          <w:rFonts w:ascii="Times New Roman" w:hAnsi="Times New Roman" w:cs="Times New Roman"/>
        </w:rPr>
      </w:pPr>
      <w:bookmarkStart w:id="36" w:name="P1554"/>
      <w:bookmarkEnd w:id="36"/>
      <w:r>
        <w:rPr>
          <w:rFonts w:cs="Times New Roman" w:ascii="Times New Roman" w:hAnsi="Times New Roman"/>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pPr>
        <w:pStyle w:val="ConsPlusNormal"/>
        <w:ind w:firstLine="540"/>
        <w:jc w:val="both"/>
        <w:rPr>
          <w:rFonts w:ascii="Times New Roman" w:hAnsi="Times New Roman" w:cs="Times New Roman"/>
        </w:rPr>
      </w:pPr>
      <w:r>
        <w:rPr>
          <w:rFonts w:cs="Times New Roman" w:ascii="Times New Roman" w:hAnsi="Times New Roman"/>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6">
        <w:r>
          <w:rPr>
            <w:rStyle w:val="Style9"/>
            <w:rFonts w:cs="Times New Roman" w:ascii="Times New Roman" w:hAnsi="Times New Roman"/>
            <w:color w:val="0000FF"/>
          </w:rPr>
          <w:t>Правилами</w:t>
        </w:r>
      </w:hyperlink>
      <w:r>
        <w:rPr>
          <w:rFonts w:cs="Times New Roman" w:ascii="Times New Roman" w:hAnsi="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цены государственного контракта.</w:t>
      </w:r>
    </w:p>
    <w:p>
      <w:pPr>
        <w:pStyle w:val="ConsPlusNormal"/>
        <w:ind w:firstLine="540"/>
        <w:jc w:val="both"/>
        <w:rPr>
          <w:rFonts w:ascii="Times New Roman" w:hAnsi="Times New Roman" w:cs="Times New Roman"/>
        </w:rPr>
      </w:pPr>
      <w:bookmarkStart w:id="37" w:name="P1556"/>
      <w:bookmarkEnd w:id="37"/>
      <w:r>
        <w:rPr>
          <w:rFonts w:cs="Times New Roman" w:ascii="Times New Roman" w:hAnsi="Times New Roman"/>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7">
        <w:r>
          <w:rPr>
            <w:rStyle w:val="Style9"/>
            <w:rFonts w:cs="Times New Roman" w:ascii="Times New Roman" w:hAnsi="Times New Roman"/>
            <w:color w:val="0000FF"/>
          </w:rPr>
          <w:t>Правилами</w:t>
        </w:r>
      </w:hyperlink>
      <w:r>
        <w:rPr>
          <w:rFonts w:cs="Times New Roman" w:ascii="Times New Roman" w:hAnsi="Times New Roman"/>
        </w:rPr>
        <w:t xml:space="preserve"> и составляет 1 000 (одну тысячу) рублей.</w:t>
      </w:r>
    </w:p>
    <w:p>
      <w:pPr>
        <w:pStyle w:val="ConsPlusNormal"/>
        <w:ind w:firstLine="540"/>
        <w:jc w:val="both"/>
        <w:rPr>
          <w:rFonts w:ascii="Times New Roman" w:hAnsi="Times New Roman" w:cs="Times New Roman"/>
        </w:rPr>
      </w:pPr>
      <w:bookmarkStart w:id="38" w:name="P1557"/>
      <w:bookmarkStart w:id="39" w:name="P1558"/>
      <w:bookmarkEnd w:id="38"/>
      <w:bookmarkEnd w:id="39"/>
      <w:r>
        <w:rPr>
          <w:rFonts w:cs="Times New Roman" w:ascii="Times New Roman" w:hAnsi="Times New Roman"/>
        </w:rPr>
        <w:t>6.8.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pPr>
        <w:pStyle w:val="ConsPlusNormal"/>
        <w:ind w:firstLine="540"/>
        <w:jc w:val="both"/>
        <w:rPr>
          <w:rFonts w:ascii="Times New Roman" w:hAnsi="Times New Roman" w:cs="Times New Roman"/>
        </w:rPr>
      </w:pPr>
      <w:r>
        <w:rPr>
          <w:rFonts w:cs="Times New Roman" w:ascii="Times New Roman" w:hAnsi="Times New Roman"/>
        </w:rPr>
        <w:t xml:space="preserve">6.9.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8">
        <w:r>
          <w:rPr>
            <w:rStyle w:val="Style9"/>
            <w:rFonts w:cs="Times New Roman" w:ascii="Times New Roman" w:hAnsi="Times New Roman"/>
            <w:color w:val="0000FF"/>
          </w:rPr>
          <w:t>Правилами</w:t>
        </w:r>
      </w:hyperlink>
      <w:r>
        <w:rPr>
          <w:rFonts w:cs="Times New Roman" w:ascii="Times New Roman" w:hAnsi="Times New Roman"/>
        </w:rPr>
        <w:t xml:space="preserve"> и составляет 1 000 (одну тысячу) рублей.</w:t>
      </w:r>
    </w:p>
    <w:p>
      <w:pPr>
        <w:pStyle w:val="ConsPlusNormal"/>
        <w:ind w:firstLine="540"/>
        <w:jc w:val="both"/>
        <w:rPr>
          <w:rFonts w:ascii="Times New Roman" w:hAnsi="Times New Roman" w:cs="Times New Roman"/>
        </w:rPr>
      </w:pPr>
      <w:bookmarkStart w:id="40" w:name="P1561"/>
      <w:bookmarkEnd w:id="40"/>
      <w:r>
        <w:rPr>
          <w:rFonts w:cs="Times New Roman" w:ascii="Times New Roman" w:hAnsi="Times New Roman"/>
        </w:rPr>
        <w:t xml:space="preserve">6.11. За каждый день просрочки исполнения Поставщиком обязательства по предоставлению нового обеспечение исполнения Контракта, предусмотренного </w:t>
      </w:r>
      <w:hyperlink w:anchor="P1581">
        <w:r>
          <w:rPr>
            <w:rStyle w:val="Style9"/>
            <w:rFonts w:cs="Times New Roman" w:ascii="Times New Roman" w:hAnsi="Times New Roman"/>
            <w:color w:val="0000FF"/>
          </w:rPr>
          <w:t>пунктом 7.8</w:t>
        </w:r>
      </w:hyperlink>
      <w:r>
        <w:rPr>
          <w:rFonts w:cs="Times New Roman" w:ascii="Times New Roman" w:hAnsi="Times New Roman"/>
        </w:rPr>
        <w:t xml:space="preserve"> Контракта, начисляется пеня в размере, определенном в порядке, установленном в соответствии с </w:t>
      </w:r>
      <w:hyperlink w:anchor="P1554">
        <w:r>
          <w:rPr>
            <w:rStyle w:val="Style9"/>
            <w:rFonts w:cs="Times New Roman" w:ascii="Times New Roman" w:hAnsi="Times New Roman"/>
            <w:color w:val="0000FF"/>
          </w:rPr>
          <w:t>пунктом 6.3</w:t>
        </w:r>
      </w:hyperlink>
      <w:r>
        <w:rPr>
          <w:rFonts w:cs="Times New Roman" w:ascii="Times New Roman" w:hAnsi="Times New Roman"/>
        </w:rPr>
        <w:t xml:space="preserve"> Контракта.</w:t>
      </w:r>
    </w:p>
    <w:p>
      <w:pPr>
        <w:pStyle w:val="ConsPlusNormal"/>
        <w:ind w:firstLine="540"/>
        <w:jc w:val="both"/>
        <w:rPr>
          <w:rFonts w:ascii="Times New Roman" w:hAnsi="Times New Roman" w:cs="Times New Roman"/>
        </w:rPr>
      </w:pPr>
      <w:r>
        <w:rPr>
          <w:rFonts w:cs="Times New Roman" w:ascii="Times New Roman" w:hAnsi="Times New Roman"/>
        </w:rPr>
        <w:t>6.12. Применение неустойки (штрафа, пени) не освобождает Стороны от исполнения обязательств по Контракту.</w:t>
      </w:r>
    </w:p>
    <w:p>
      <w:pPr>
        <w:pStyle w:val="ConsPlusNormal"/>
        <w:ind w:firstLine="540"/>
        <w:jc w:val="both"/>
        <w:rPr>
          <w:rFonts w:ascii="Times New Roman" w:hAnsi="Times New Roman" w:cs="Times New Roman"/>
        </w:rPr>
      </w:pPr>
      <w:r>
        <w:rPr>
          <w:rFonts w:cs="Times New Roman" w:ascii="Times New Roman" w:hAnsi="Times New Roman"/>
        </w:rPr>
        <w:t>6.13.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pPr>
        <w:pStyle w:val="ConsPlusNormal"/>
        <w:ind w:firstLine="540"/>
        <w:jc w:val="both"/>
        <w:rPr>
          <w:rFonts w:ascii="Times New Roman" w:hAnsi="Times New Roman" w:cs="Times New Roman"/>
        </w:rPr>
      </w:pPr>
      <w:r>
        <w:rPr>
          <w:rFonts w:cs="Times New Roman" w:ascii="Times New Roman" w:hAnsi="Times New Roman"/>
        </w:rPr>
        <w:t>6.14.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ConsPlusNormal"/>
        <w:ind w:firstLine="540"/>
        <w:jc w:val="both"/>
        <w:rPr>
          <w:rFonts w:ascii="Times New Roman" w:hAnsi="Times New Roman" w:cs="Times New Roman"/>
        </w:rPr>
      </w:pPr>
      <w:r>
        <w:rPr>
          <w:rFonts w:cs="Times New Roman" w:ascii="Times New Roman" w:hAnsi="Times New Roman"/>
        </w:rPr>
        <w:t>6.15.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r>
        <w:rPr>
          <w:rFonts w:cs="Times New Roman" w:ascii="Times New Roman" w:hAnsi="Times New Roman"/>
        </w:rPr>
        <w:t>VII. Обеспечение исполнения Контракта</w:t>
      </w:r>
    </w:p>
    <w:p>
      <w:pPr>
        <w:pStyle w:val="NoSpacing"/>
        <w:numPr>
          <w:ilvl w:val="1"/>
          <w:numId w:val="1"/>
        </w:numPr>
        <w:ind w:firstLine="567" w:left="0"/>
        <w:jc w:val="both"/>
        <w:rPr>
          <w:rFonts w:ascii="Times New Roman" w:hAnsi="Times New Roman"/>
        </w:rPr>
      </w:pPr>
      <w:bookmarkStart w:id="41" w:name="P1570"/>
      <w:bookmarkEnd w:id="41"/>
      <w:r>
        <w:rPr>
          <w:rFonts w:ascii="Times New Roman" w:hAnsi="Times New Roman"/>
        </w:rPr>
        <w:t>Не установлено.</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bookmarkStart w:id="42" w:name="P1587"/>
      <w:bookmarkEnd w:id="42"/>
      <w:r>
        <w:rPr>
          <w:rFonts w:cs="Times New Roman" w:ascii="Times New Roman" w:hAnsi="Times New Roman"/>
        </w:rPr>
        <w:t xml:space="preserve">VIII. Обеспечение гарантийных обязательств </w:t>
      </w:r>
    </w:p>
    <w:p>
      <w:pPr>
        <w:pStyle w:val="ConsPlusNormal"/>
        <w:ind w:firstLine="540"/>
        <w:jc w:val="both"/>
        <w:rPr>
          <w:rFonts w:ascii="Times New Roman" w:hAnsi="Times New Roman" w:cs="Times New Roman"/>
        </w:rPr>
      </w:pPr>
      <w:r>
        <w:rPr>
          <w:rFonts w:cs="Times New Roman" w:ascii="Times New Roman" w:hAnsi="Times New Roman"/>
        </w:rPr>
        <w:t>8.1. Обеспечение гарантийных обязательств не устанавливается.</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bookmarkStart w:id="43" w:name="P1600"/>
      <w:bookmarkEnd w:id="43"/>
      <w:r>
        <w:rPr>
          <w:rFonts w:cs="Times New Roman" w:ascii="Times New Roman" w:hAnsi="Times New Roman"/>
        </w:rPr>
        <w:t xml:space="preserve">IX. Исключительные права </w:t>
      </w:r>
    </w:p>
    <w:p>
      <w:pPr>
        <w:pStyle w:val="ConsPlusNormal"/>
        <w:ind w:firstLine="540"/>
        <w:jc w:val="both"/>
        <w:rPr>
          <w:rFonts w:ascii="Times New Roman" w:hAnsi="Times New Roman" w:cs="Times New Roman"/>
        </w:rPr>
      </w:pPr>
      <w:r>
        <w:rPr>
          <w:rFonts w:cs="Times New Roman" w:ascii="Times New Roman" w:hAnsi="Times New Roman"/>
        </w:rPr>
        <w:t>9.1. Поставщик гарантирует отсутствие нарушения исключительных прав третьих лиц, связанных с поставкой и использованием Товара.</w:t>
      </w:r>
    </w:p>
    <w:p>
      <w:pPr>
        <w:pStyle w:val="ConsPlusNormal"/>
        <w:ind w:firstLine="540"/>
        <w:jc w:val="both"/>
        <w:rPr>
          <w:rFonts w:ascii="Times New Roman" w:hAnsi="Times New Roman" w:cs="Times New Roman"/>
        </w:rPr>
      </w:pPr>
      <w:r>
        <w:rPr>
          <w:rFonts w:cs="Times New Roman" w:ascii="Times New Roman" w:hAnsi="Times New Roman"/>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r>
        <w:rPr>
          <w:rFonts w:cs="Times New Roman" w:ascii="Times New Roman" w:hAnsi="Times New Roman"/>
        </w:rPr>
        <w:t>X. Обстоятельства непреодолимой силы</w:t>
      </w:r>
    </w:p>
    <w:p>
      <w:pPr>
        <w:pStyle w:val="ConsPlusNormal"/>
        <w:ind w:firstLine="540"/>
        <w:jc w:val="both"/>
        <w:rPr>
          <w:rFonts w:ascii="Times New Roman" w:hAnsi="Times New Roman" w:cs="Times New Roman"/>
        </w:rPr>
      </w:pPr>
      <w:r>
        <w:rPr>
          <w:rFonts w:cs="Times New Roman" w:ascii="Times New Roman" w:hAnsi="Times New Roman"/>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pPr>
        <w:pStyle w:val="ConsPlusNormal"/>
        <w:ind w:firstLine="540"/>
        <w:jc w:val="both"/>
        <w:rPr>
          <w:rFonts w:ascii="Times New Roman" w:hAnsi="Times New Roman" w:cs="Times New Roman"/>
        </w:rPr>
      </w:pPr>
      <w:r>
        <w:rPr>
          <w:rFonts w:cs="Times New Roman" w:ascii="Times New Roman" w:hAnsi="Times New Roman"/>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pPr>
        <w:pStyle w:val="ConsPlusNormal"/>
        <w:ind w:firstLine="540"/>
        <w:jc w:val="both"/>
        <w:rPr>
          <w:rFonts w:ascii="Times New Roman" w:hAnsi="Times New Roman" w:cs="Times New Roman"/>
        </w:rPr>
      </w:pPr>
      <w:r>
        <w:rPr>
          <w:rFonts w:cs="Times New Roman" w:ascii="Times New Roman" w:hAnsi="Times New Roman"/>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pPr>
        <w:pStyle w:val="ConsPlusNormal"/>
        <w:ind w:firstLine="540"/>
        <w:jc w:val="both"/>
        <w:rPr>
          <w:rFonts w:ascii="Times New Roman" w:hAnsi="Times New Roman" w:cs="Times New Roman"/>
        </w:rPr>
      </w:pPr>
      <w:r>
        <w:rPr>
          <w:rFonts w:cs="Times New Roman" w:ascii="Times New Roman" w:hAnsi="Times New Roman"/>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r>
        <w:rPr>
          <w:rFonts w:cs="Times New Roman" w:ascii="Times New Roman" w:hAnsi="Times New Roman"/>
        </w:rPr>
        <w:t>XI. Рассмотрение и разрешение споров</w:t>
      </w:r>
    </w:p>
    <w:p>
      <w:pPr>
        <w:pStyle w:val="ConsPlusNormal"/>
        <w:ind w:firstLine="540"/>
        <w:jc w:val="both"/>
        <w:rPr>
          <w:rFonts w:ascii="Times New Roman" w:hAnsi="Times New Roman" w:cs="Times New Roman"/>
        </w:rPr>
      </w:pPr>
      <w:r>
        <w:rPr>
          <w:rFonts w:cs="Times New Roman" w:ascii="Times New Roman" w:hAnsi="Times New Roman"/>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pPr>
        <w:pStyle w:val="ConsPlusNormal"/>
        <w:ind w:firstLine="540"/>
        <w:jc w:val="both"/>
        <w:rPr>
          <w:rFonts w:ascii="Times New Roman" w:hAnsi="Times New Roman" w:cs="Times New Roman"/>
        </w:rPr>
      </w:pPr>
      <w:r>
        <w:rPr>
          <w:rFonts w:cs="Times New Roman" w:ascii="Times New Roman" w:hAnsi="Times New Roman"/>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ConsPlusNormal"/>
        <w:ind w:firstLine="540"/>
        <w:jc w:val="both"/>
        <w:rPr>
          <w:rFonts w:ascii="Times New Roman" w:hAnsi="Times New Roman" w:cs="Times New Roman"/>
        </w:rPr>
      </w:pPr>
      <w:r>
        <w:rPr>
          <w:rFonts w:cs="Times New Roman" w:ascii="Times New Roman" w:hAnsi="Times New Roman"/>
        </w:rPr>
        <w:t>11.3. Срок рассмотрения претензии не может превышать 7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pPr>
        <w:pStyle w:val="ConsPlusNormal"/>
        <w:ind w:firstLine="540"/>
        <w:jc w:val="both"/>
        <w:rPr>
          <w:rFonts w:ascii="Times New Roman" w:hAnsi="Times New Roman" w:cs="Times New Roman"/>
        </w:rPr>
      </w:pPr>
      <w:r>
        <w:rPr>
          <w:rFonts w:cs="Times New Roman" w:ascii="Times New Roman" w:hAnsi="Times New Roman"/>
        </w:rPr>
        <w:t>11.4. При неурегулировании Сторонами спора в досудебном порядке, спор разрешается в судебном порядке в Арбитражном суде КБР.</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r>
        <w:rPr>
          <w:rFonts w:cs="Times New Roman" w:ascii="Times New Roman" w:hAnsi="Times New Roman"/>
        </w:rPr>
        <w:t>XII. Срок действия и порядок расторжения Контракта</w:t>
      </w:r>
    </w:p>
    <w:p>
      <w:pPr>
        <w:pStyle w:val="ConsPlusNormal"/>
        <w:ind w:firstLine="540"/>
        <w:jc w:val="both"/>
        <w:rPr>
          <w:rFonts w:ascii="Times New Roman" w:hAnsi="Times New Roman" w:cs="Times New Roman"/>
        </w:rPr>
      </w:pPr>
      <w:r>
        <w:rPr>
          <w:rFonts w:cs="Times New Roman" w:ascii="Times New Roman" w:hAnsi="Times New Roman"/>
        </w:rPr>
        <w:t xml:space="preserve">12.1. Контракт вступает в силу с момента его подписания обеими Сторонами и действует по 31.12.2026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pPr>
        <w:pStyle w:val="ConsPlusNormal"/>
        <w:ind w:firstLine="540"/>
        <w:jc w:val="both"/>
        <w:rPr>
          <w:rFonts w:ascii="Times New Roman" w:hAnsi="Times New Roman" w:cs="Times New Roman"/>
        </w:rPr>
      </w:pPr>
      <w:r>
        <w:rPr>
          <w:rFonts w:cs="Times New Roman" w:ascii="Times New Roman" w:hAnsi="Times New Roman"/>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9">
        <w:r>
          <w:rPr>
            <w:rStyle w:val="Style9"/>
            <w:rFonts w:cs="Times New Roman" w:ascii="Times New Roman" w:hAnsi="Times New Roman"/>
            <w:color w:val="0000FF"/>
          </w:rPr>
          <w:t>частями 9</w:t>
        </w:r>
      </w:hyperlink>
      <w:r>
        <w:rPr>
          <w:rFonts w:cs="Times New Roman" w:ascii="Times New Roman" w:hAnsi="Times New Roman"/>
        </w:rPr>
        <w:t xml:space="preserve"> - </w:t>
      </w:r>
      <w:hyperlink r:id="rId10">
        <w:r>
          <w:rPr>
            <w:rStyle w:val="Style9"/>
            <w:rFonts w:cs="Times New Roman" w:ascii="Times New Roman" w:hAnsi="Times New Roman"/>
            <w:color w:val="0000FF"/>
          </w:rPr>
          <w:t>23 статьи 95</w:t>
        </w:r>
      </w:hyperlink>
      <w:r>
        <w:rPr>
          <w:rFonts w:cs="Times New Roman" w:ascii="Times New Roman" w:hAnsi="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r>
        <w:rPr>
          <w:rFonts w:cs="Times New Roman" w:ascii="Times New Roman" w:hAnsi="Times New Roman"/>
        </w:rPr>
        <w:t xml:space="preserve">XIII. Прочие положения </w:t>
      </w:r>
    </w:p>
    <w:p>
      <w:pPr>
        <w:pStyle w:val="ConsPlusNormal"/>
        <w:ind w:firstLine="540"/>
        <w:jc w:val="both"/>
        <w:rPr>
          <w:rFonts w:ascii="Times New Roman" w:hAnsi="Times New Roman" w:cs="Times New Roman"/>
        </w:rPr>
      </w:pPr>
      <w:r>
        <w:rPr>
          <w:rFonts w:cs="Times New Roman" w:ascii="Times New Roman" w:hAnsi="Times New Roman"/>
        </w:rPr>
        <w:t>13.1. Во всем, что не предусмотрено Контрактом, Стороны руководствуются законодательством Российской Федерации.</w:t>
      </w:r>
    </w:p>
    <w:p>
      <w:pPr>
        <w:pStyle w:val="ConsPlusNormal"/>
        <w:ind w:firstLine="540"/>
        <w:jc w:val="both"/>
        <w:rPr>
          <w:rFonts w:ascii="Times New Roman" w:hAnsi="Times New Roman" w:cs="Times New Roman"/>
        </w:rPr>
      </w:pPr>
      <w:r>
        <w:rPr>
          <w:rFonts w:cs="Times New Roman" w:ascii="Times New Roman" w:hAnsi="Times New Roman"/>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pPr>
        <w:pStyle w:val="ConsPlusNormal"/>
        <w:ind w:firstLine="540"/>
        <w:jc w:val="both"/>
        <w:rPr>
          <w:rFonts w:ascii="Times New Roman" w:hAnsi="Times New Roman" w:cs="Times New Roman"/>
        </w:rPr>
      </w:pPr>
      <w:r>
        <w:rPr>
          <w:rFonts w:cs="Times New Roman" w:ascii="Times New Roman" w:hAnsi="Times New Roman"/>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pPr>
        <w:pStyle w:val="ConsPlusNormal"/>
        <w:ind w:firstLine="540"/>
        <w:jc w:val="both"/>
        <w:rPr>
          <w:rFonts w:ascii="Times New Roman" w:hAnsi="Times New Roman" w:cs="Times New Roman"/>
        </w:rPr>
      </w:pPr>
      <w:r>
        <w:rPr>
          <w:rFonts w:cs="Times New Roman" w:ascii="Times New Roman" w:hAnsi="Times New Roman"/>
        </w:rPr>
        <w:t xml:space="preserve">13.4. Изменение условий Контракта при его исполнении не допускается, за исключением случаев, предусмотренных </w:t>
      </w:r>
      <w:hyperlink r:id="rId11">
        <w:r>
          <w:rPr>
            <w:rStyle w:val="Style9"/>
            <w:rFonts w:cs="Times New Roman" w:ascii="Times New Roman" w:hAnsi="Times New Roman"/>
            <w:color w:val="0000FF"/>
          </w:rPr>
          <w:t>статьей 95</w:t>
        </w:r>
      </w:hyperlink>
      <w:r>
        <w:rPr>
          <w:rFonts w:cs="Times New Roman" w:ascii="Times New Roman" w:hAnsi="Times New Roman"/>
        </w:rPr>
        <w:t xml:space="preserve"> Федерального закона от 05 апреля 2013 г. N 44-ФЗ "О контрактной системе в сфере закупок товаров, работ, услуг для обеспечения государственных и муниципальных нужд".</w:t>
      </w:r>
    </w:p>
    <w:p>
      <w:pPr>
        <w:pStyle w:val="ConsPlusNormal"/>
        <w:ind w:firstLine="540"/>
        <w:jc w:val="both"/>
        <w:rPr>
          <w:rFonts w:ascii="Times New Roman" w:hAnsi="Times New Roman" w:cs="Times New Roman"/>
        </w:rPr>
      </w:pPr>
      <w:r>
        <w:rPr>
          <w:rFonts w:cs="Times New Roman" w:ascii="Times New Roman" w:hAnsi="Times New Roman"/>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pPr>
        <w:pStyle w:val="ConsPlusNormal"/>
        <w:ind w:firstLine="540"/>
        <w:jc w:val="both"/>
        <w:rPr>
          <w:rFonts w:ascii="Times New Roman" w:hAnsi="Times New Roman" w:cs="Times New Roman"/>
        </w:rPr>
      </w:pPr>
      <w:r>
        <w:rPr>
          <w:rFonts w:cs="Times New Roman" w:ascii="Times New Roman" w:hAnsi="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pPr>
        <w:pStyle w:val="ConsPlusNormal"/>
        <w:ind w:firstLine="540"/>
        <w:jc w:val="both"/>
        <w:rPr>
          <w:rFonts w:ascii="Times New Roman" w:hAnsi="Times New Roman" w:cs="Times New Roman"/>
        </w:rPr>
      </w:pPr>
      <w:r>
        <w:rPr>
          <w:rFonts w:cs="Times New Roman" w:ascii="Times New Roman" w:hAnsi="Times New Roman"/>
        </w:rP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pPr>
        <w:pStyle w:val="ConsPlusNormal"/>
        <w:ind w:firstLine="540"/>
        <w:jc w:val="both"/>
        <w:rPr>
          <w:rFonts w:ascii="Times New Roman" w:hAnsi="Times New Roman" w:cs="Times New Roman"/>
        </w:rPr>
      </w:pPr>
      <w:bookmarkStart w:id="44" w:name="P1633"/>
      <w:bookmarkEnd w:id="44"/>
      <w:r>
        <w:rPr>
          <w:rFonts w:cs="Times New Roman" w:ascii="Times New Roman" w:hAnsi="Times New Roman"/>
        </w:rPr>
        <w:t>13.7. Контракт составлен в форме электронного документа, подписанного усиленными электронными подписями Сторон (либо в простой письменной форме).</w:t>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ind w:hanging="0" w:left="0"/>
        <w:jc w:val="center"/>
        <w:outlineLvl w:val="1"/>
        <w:rPr>
          <w:rFonts w:ascii="Times New Roman" w:hAnsi="Times New Roman" w:cs="Times New Roman"/>
        </w:rPr>
      </w:pPr>
      <w:r>
        <w:rPr>
          <w:rFonts w:cs="Times New Roman" w:ascii="Times New Roman" w:hAnsi="Times New Roman"/>
        </w:rPr>
        <w:t>XIV. Перечень приложений</w:t>
      </w:r>
    </w:p>
    <w:p>
      <w:pPr>
        <w:pStyle w:val="ConsPlusNormal"/>
        <w:ind w:firstLine="540"/>
        <w:jc w:val="both"/>
        <w:rPr>
          <w:rFonts w:ascii="Times New Roman" w:hAnsi="Times New Roman" w:cs="Times New Roman"/>
        </w:rPr>
      </w:pPr>
      <w:r>
        <w:rPr>
          <w:rFonts w:cs="Times New Roman" w:ascii="Times New Roman" w:hAnsi="Times New Roman"/>
        </w:rPr>
        <w:t>14.1. Неотъемлемой частью Контракта является следующее приложение: спецификация.</w:t>
      </w:r>
    </w:p>
    <w:p>
      <w:pPr>
        <w:pStyle w:val="ConsPlusNormal"/>
        <w:jc w:val="both"/>
        <w:rPr>
          <w:rFonts w:ascii="Times New Roman" w:hAnsi="Times New Roman" w:cs="Times New Roman"/>
        </w:rPr>
      </w:pPr>
      <w:r>
        <w:rPr>
          <w:rFonts w:cs="Times New Roman" w:ascii="Times New Roman" w:hAnsi="Times New Roman"/>
        </w:rPr>
      </w:r>
      <w:bookmarkStart w:id="45" w:name="P1639"/>
      <w:bookmarkStart w:id="46" w:name="P1642"/>
      <w:bookmarkStart w:id="47" w:name="P1645"/>
      <w:bookmarkStart w:id="48" w:name="P1639"/>
      <w:bookmarkStart w:id="49" w:name="P1642"/>
      <w:bookmarkStart w:id="50" w:name="P1645"/>
      <w:bookmarkEnd w:id="48"/>
      <w:bookmarkEnd w:id="49"/>
      <w:bookmarkEnd w:id="50"/>
    </w:p>
    <w:p>
      <w:pPr>
        <w:pStyle w:val="ConsPlusNormal"/>
        <w:numPr>
          <w:ilvl w:val="0"/>
          <w:numId w:val="0"/>
        </w:numPr>
        <w:ind w:hanging="0" w:left="0"/>
        <w:jc w:val="center"/>
        <w:outlineLvl w:val="1"/>
        <w:rPr>
          <w:rFonts w:ascii="Times New Roman" w:hAnsi="Times New Roman" w:cs="Times New Roman"/>
        </w:rPr>
      </w:pPr>
      <w:r>
        <w:rPr>
          <w:rFonts w:cs="Times New Roman" w:ascii="Times New Roman" w:hAnsi="Times New Roman"/>
        </w:rPr>
        <w:t>XV. Адреса и банковские реквизиты Сторон</w:t>
      </w:r>
    </w:p>
    <w:p>
      <w:pPr>
        <w:pStyle w:val="ConsPlusNormal"/>
        <w:numPr>
          <w:ilvl w:val="0"/>
          <w:numId w:val="0"/>
        </w:numPr>
        <w:ind w:hanging="0" w:left="0"/>
        <w:jc w:val="center"/>
        <w:outlineLvl w:val="1"/>
        <w:rPr>
          <w:rFonts w:ascii="Times New Roman" w:hAnsi="Times New Roman" w:cs="Times New Roman"/>
        </w:rPr>
      </w:pPr>
      <w:r>
        <w:rPr>
          <w:rFonts w:cs="Times New Roman" w:ascii="Times New Roman" w:hAnsi="Times New Roman"/>
        </w:rPr>
      </w:r>
    </w:p>
    <w:tbl>
      <w:tblPr>
        <w:tblW w:w="9606" w:type="dxa"/>
        <w:jc w:val="left"/>
        <w:tblInd w:w="108" w:type="dxa"/>
        <w:tblLayout w:type="fixed"/>
        <w:tblCellMar>
          <w:top w:w="0" w:type="dxa"/>
          <w:left w:w="108" w:type="dxa"/>
          <w:bottom w:w="0" w:type="dxa"/>
          <w:right w:w="108" w:type="dxa"/>
        </w:tblCellMar>
        <w:tblLook w:val="04a0"/>
      </w:tblPr>
      <w:tblGrid>
        <w:gridCol w:w="2375"/>
        <w:gridCol w:w="2764"/>
        <w:gridCol w:w="2341"/>
        <w:gridCol w:w="2125"/>
      </w:tblGrid>
      <w:tr>
        <w:trPr/>
        <w:tc>
          <w:tcPr>
            <w:tcW w:w="5139" w:type="dxa"/>
            <w:gridSpan w:val="2"/>
            <w:tcBorders/>
          </w:tcPr>
          <w:p>
            <w:pPr>
              <w:pStyle w:val="Normal"/>
              <w:widowControl w:val="false"/>
              <w:spacing w:lineRule="auto" w:line="240" w:before="0" w:after="0"/>
              <w:rPr>
                <w:rFonts w:ascii="Times New Roman" w:hAnsi="Times New Roman" w:eastAsia="Times New Roman"/>
                <w:lang w:eastAsia="ru-RU"/>
              </w:rPr>
            </w:pPr>
            <w:r>
              <w:rPr>
                <w:rFonts w:eastAsia="Times New Roman" w:ascii="Times New Roman" w:hAnsi="Times New Roman"/>
                <w:lang w:eastAsia="ru-RU"/>
              </w:rPr>
              <w:t>Заказчик:</w:t>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360016, КБР, г. Нальчик, ул. Абидова, 2А</w:t>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ИНН 0711008511, КПП 072601001</w:t>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ОКПО - 08560678</w:t>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ОКТМО - 83701000001</w:t>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Тел. / факс: (8-8662) 22-98-18, 75-27-54</w:t>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Банковские реквизиты:</w:t>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л/с № 03041471050</w:t>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КС: 03211643000000013219,</w:t>
            </w:r>
          </w:p>
          <w:p>
            <w:pPr>
              <w:pStyle w:val="Normal"/>
              <w:widowControl w:val="false"/>
              <w:spacing w:lineRule="auto" w:line="240" w:before="0" w:after="0"/>
              <w:rPr>
                <w:rFonts w:ascii="Times New Roman" w:hAnsi="Times New Roman" w:eastAsia="Times New Roman"/>
                <w:lang w:eastAsia="ru-RU"/>
              </w:rPr>
            </w:pPr>
            <w:r>
              <w:rPr>
                <w:rFonts w:eastAsia="Times New Roman" w:ascii="Times New Roman" w:hAnsi="Times New Roman"/>
                <w:lang w:eastAsia="ru-RU"/>
              </w:rPr>
              <w:t>ЕКС: 40102810745370000024,</w:t>
            </w:r>
          </w:p>
          <w:p>
            <w:pPr>
              <w:pStyle w:val="Normal"/>
              <w:widowControl w:val="false"/>
              <w:spacing w:lineRule="auto" w:line="240" w:before="0" w:after="0"/>
              <w:rPr>
                <w:rFonts w:ascii="Times New Roman" w:hAnsi="Times New Roman" w:eastAsia="Times New Roman"/>
                <w:lang w:eastAsia="ru-RU"/>
              </w:rPr>
            </w:pPr>
            <w:r>
              <w:rPr>
                <w:rFonts w:eastAsia="Times New Roman" w:ascii="Times New Roman" w:hAnsi="Times New Roman"/>
                <w:lang w:eastAsia="ru-RU"/>
              </w:rPr>
              <w:t>наименование Банка: ОКЦ №1 ВОЛГО-ВЯТСКОГО ГУ БАНКА РОССИИ//УФК по Нижегородской области, г. Нижний Новгород, БИК: 012202102</w:t>
            </w:r>
          </w:p>
          <w:p>
            <w:pPr>
              <w:pStyle w:val="Normal"/>
              <w:widowControl w:val="false"/>
              <w:spacing w:lineRule="auto" w:line="240" w:before="0" w:after="0"/>
              <w:rPr>
                <w:rFonts w:ascii="Times New Roman" w:hAnsi="Times New Roman" w:eastAsia="Times New Roman"/>
                <w:lang w:eastAsia="ru-RU"/>
              </w:rPr>
            </w:pPr>
            <w:r>
              <w:rPr>
                <w:rFonts w:eastAsia="Times New Roman" w:ascii="Times New Roman" w:hAnsi="Times New Roman"/>
                <w:lang w:eastAsia="ru-RU"/>
              </w:rPr>
            </w:r>
          </w:p>
        </w:tc>
        <w:tc>
          <w:tcPr>
            <w:tcW w:w="4466" w:type="dxa"/>
            <w:gridSpan w:val="2"/>
            <w:tcBorders/>
          </w:tcPr>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Поставщик</w:t>
            </w:r>
            <w:r>
              <w:rPr>
                <w:rFonts w:eastAsia="Times New Roman" w:ascii="Times New Roman" w:hAnsi="Times New Roman"/>
                <w:bCs/>
                <w:lang w:eastAsia="ru-RU"/>
              </w:rPr>
              <w:t>:</w:t>
            </w:r>
          </w:p>
          <w:p>
            <w:pPr>
              <w:pStyle w:val="Normal"/>
              <w:widowControl w:val="false"/>
              <w:spacing w:lineRule="auto" w:line="240" w:before="0" w:after="0"/>
              <w:rPr>
                <w:rFonts w:ascii="Times New Roman" w:hAnsi="Times New Roman" w:eastAsia="Times New Roman"/>
                <w:bCs/>
                <w:lang w:eastAsia="ru-RU"/>
              </w:rPr>
            </w:pPr>
            <w:r>
              <w:rPr>
                <w:rFonts w:ascii="Times New Roman" w:hAnsi="Times New Roman"/>
              </w:rPr>
              <w:t>Индивидуальный предприниматель</w:t>
            </w:r>
          </w:p>
        </w:tc>
      </w:tr>
      <w:tr>
        <w:trPr/>
        <w:tc>
          <w:tcPr>
            <w:tcW w:w="2375" w:type="dxa"/>
            <w:tcBorders/>
          </w:tcPr>
          <w:p>
            <w:pPr>
              <w:pStyle w:val="Normal"/>
              <w:widowControl w:val="false"/>
              <w:spacing w:lineRule="auto" w:line="240" w:before="0" w:after="0"/>
              <w:rPr>
                <w:rFonts w:ascii="Times New Roman" w:hAnsi="Times New Roman" w:eastAsia="Times New Roman"/>
                <w:bCs/>
                <w:lang w:eastAsia="ru-RU"/>
              </w:rPr>
            </w:pPr>
            <w:r>
              <w:rPr>
                <w:rFonts w:eastAsia="Times New Roman" w:ascii="Times New Roman" w:hAnsi="Times New Roman"/>
                <w:lang w:eastAsia="ru-RU"/>
              </w:rPr>
              <w:t>_________________</w:t>
            </w:r>
          </w:p>
        </w:tc>
        <w:tc>
          <w:tcPr>
            <w:tcW w:w="2764" w:type="dxa"/>
            <w:tcBorders/>
          </w:tcPr>
          <w:p>
            <w:pPr>
              <w:pStyle w:val="Normal"/>
              <w:widowControl w:val="false"/>
              <w:spacing w:lineRule="auto" w:line="240" w:before="0" w:after="0"/>
              <w:rPr>
                <w:rFonts w:ascii="Times New Roman" w:hAnsi="Times New Roman" w:eastAsia="Times New Roman"/>
                <w:bCs/>
                <w:lang w:eastAsia="ru-RU"/>
              </w:rPr>
            </w:pPr>
            <w:r>
              <w:rPr>
                <w:rFonts w:eastAsia="Times New Roman" w:ascii="Times New Roman" w:hAnsi="Times New Roman"/>
                <w:bCs/>
                <w:lang w:eastAsia="ru-RU"/>
              </w:rPr>
              <w:t>Т.М. Шомахов</w:t>
            </w:r>
          </w:p>
        </w:tc>
        <w:tc>
          <w:tcPr>
            <w:tcW w:w="2341" w:type="dxa"/>
            <w:tcBorders/>
          </w:tcPr>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_________________</w:t>
            </w:r>
          </w:p>
        </w:tc>
        <w:tc>
          <w:tcPr>
            <w:tcW w:w="2125" w:type="dxa"/>
            <w:tcBorders/>
          </w:tcPr>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r>
          </w:p>
        </w:tc>
      </w:tr>
    </w:tbl>
    <w:p>
      <w:pPr>
        <w:pStyle w:val="ConsPlusNormal"/>
        <w:numPr>
          <w:ilvl w:val="0"/>
          <w:numId w:val="0"/>
        </w:numPr>
        <w:ind w:hanging="0" w:left="0"/>
        <w:jc w:val="right"/>
        <w:outlineLvl w:val="1"/>
        <w:rPr>
          <w:rFonts w:ascii="Times New Roman" w:hAnsi="Times New Roman" w:cs="Times New Roman"/>
        </w:rPr>
      </w:pPr>
      <w:r>
        <w:br w:type="column"/>
      </w:r>
      <w:r>
        <w:rPr>
          <w:rFonts w:cs="Times New Roman" w:ascii="Times New Roman" w:hAnsi="Times New Roman"/>
        </w:rPr>
        <w:t xml:space="preserve">Приложение к контракту </w:t>
      </w:r>
    </w:p>
    <w:p>
      <w:pPr>
        <w:pStyle w:val="ConsPlusNormal"/>
        <w:jc w:val="right"/>
        <w:rPr>
          <w:rFonts w:ascii="Times New Roman" w:hAnsi="Times New Roman" w:cs="Times New Roman"/>
          <w:szCs w:val="22"/>
        </w:rPr>
      </w:pPr>
      <w:r>
        <w:rPr>
          <w:rFonts w:cs="Times New Roman" w:ascii="Times New Roman" w:hAnsi="Times New Roman"/>
        </w:rPr>
        <w:t xml:space="preserve">от ________ 2026 г. № </w:t>
      </w:r>
    </w:p>
    <w:p>
      <w:pPr>
        <w:pStyle w:val="ConsPlusNormal"/>
        <w:jc w:val="both"/>
        <w:rPr>
          <w:rFonts w:ascii="Times New Roman" w:hAnsi="Times New Roman" w:cs="Times New Roman"/>
        </w:rPr>
      </w:pPr>
      <w:r>
        <w:rPr>
          <w:rFonts w:cs="Times New Roman" w:ascii="Times New Roman" w:hAnsi="Times New Roman"/>
        </w:rPr>
      </w:r>
    </w:p>
    <w:p>
      <w:pPr>
        <w:pStyle w:val="ConsPlusNormal"/>
        <w:jc w:val="center"/>
        <w:rPr>
          <w:rFonts w:ascii="Times New Roman" w:hAnsi="Times New Roman" w:cs="Times New Roman"/>
        </w:rPr>
      </w:pPr>
      <w:bookmarkStart w:id="51" w:name="P1909"/>
      <w:bookmarkEnd w:id="51"/>
      <w:r>
        <w:rPr>
          <w:rFonts w:cs="Times New Roman" w:ascii="Times New Roman" w:hAnsi="Times New Roman"/>
        </w:rPr>
        <w:t>Спецификация</w:t>
      </w:r>
    </w:p>
    <w:p>
      <w:pPr>
        <w:pStyle w:val="ConsPlusNormal"/>
        <w:jc w:val="center"/>
        <w:rPr>
          <w:rFonts w:ascii="Times New Roman" w:hAnsi="Times New Roman" w:cs="Times New Roman"/>
        </w:rPr>
      </w:pPr>
      <w:r>
        <w:rPr>
          <w:rFonts w:cs="Times New Roman" w:ascii="Times New Roman" w:hAnsi="Times New Roman"/>
        </w:rPr>
        <w:t>на поставку информационных стендов</w:t>
      </w:r>
    </w:p>
    <w:p>
      <w:pPr>
        <w:pStyle w:val="ConsPlusNormal"/>
        <w:rPr>
          <w:rFonts w:ascii="Times New Roman" w:hAnsi="Times New Roman"/>
        </w:rPr>
      </w:pPr>
      <w:r>
        <w:rPr>
          <w:rFonts w:ascii="Times New Roman" w:hAnsi="Times New Roman"/>
        </w:rPr>
      </w:r>
    </w:p>
    <w:tbl>
      <w:tblPr>
        <w:tblW w:w="9356" w:type="dxa"/>
        <w:jc w:val="center"/>
        <w:tblInd w:w="0" w:type="dxa"/>
        <w:tblLayout w:type="fixed"/>
        <w:tblCellMar>
          <w:top w:w="0" w:type="dxa"/>
          <w:left w:w="108" w:type="dxa"/>
          <w:bottom w:w="0" w:type="dxa"/>
          <w:right w:w="108" w:type="dxa"/>
        </w:tblCellMar>
        <w:tblLook w:val="0000"/>
      </w:tblPr>
      <w:tblGrid>
        <w:gridCol w:w="3969"/>
        <w:gridCol w:w="1419"/>
        <w:gridCol w:w="1983"/>
        <w:gridCol w:w="1984"/>
      </w:tblGrid>
      <w:tr>
        <w:trPr>
          <w:trHeight w:val="340" w:hRule="atLeast"/>
          <w:cantSplit w:val="true"/>
        </w:trPr>
        <w:tc>
          <w:tcPr>
            <w:tcW w:w="396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Times New Roman" w:hAnsi="Times New Roman"/>
                <w:b/>
                <w:szCs w:val="22"/>
              </w:rPr>
            </w:pPr>
            <w:r>
              <w:rPr>
                <w:rFonts w:ascii="Times New Roman" w:hAnsi="Times New Roman"/>
                <w:b/>
                <w:szCs w:val="22"/>
              </w:rPr>
              <w:t>Наименование товара, страна происхождения</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Times New Roman" w:hAnsi="Times New Roman"/>
                <w:b/>
                <w:szCs w:val="22"/>
              </w:rPr>
            </w:pPr>
            <w:r>
              <w:rPr>
                <w:rFonts w:ascii="Times New Roman" w:hAnsi="Times New Roman"/>
                <w:b/>
                <w:szCs w:val="22"/>
              </w:rPr>
              <w:t>Количество товара, шт.</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Times New Roman" w:hAnsi="Times New Roman"/>
                <w:b/>
                <w:szCs w:val="22"/>
              </w:rPr>
            </w:pPr>
            <w:r>
              <w:rPr>
                <w:rFonts w:ascii="Times New Roman" w:hAnsi="Times New Roman"/>
                <w:b/>
                <w:szCs w:val="22"/>
              </w:rPr>
              <w:t>Цена за шт, руб.</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Times New Roman" w:hAnsi="Times New Roman"/>
                <w:b/>
                <w:szCs w:val="22"/>
              </w:rPr>
            </w:pPr>
            <w:r>
              <w:rPr>
                <w:rFonts w:ascii="Times New Roman" w:hAnsi="Times New Roman"/>
                <w:b/>
                <w:szCs w:val="22"/>
              </w:rPr>
              <w:t>Сумма, руб.</w:t>
            </w:r>
          </w:p>
        </w:tc>
      </w:tr>
      <w:tr>
        <w:trPr>
          <w:trHeight w:val="56" w:hRule="atLeast"/>
        </w:trPr>
        <w:tc>
          <w:tcPr>
            <w:tcW w:w="396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Times New Roman" w:hAnsi="Times New Roman" w:cs="Times New Roman"/>
                <w:szCs w:val="22"/>
              </w:rPr>
            </w:pPr>
            <w:r>
              <w:rPr>
                <w:rFonts w:cs="Times New Roman" w:ascii="Times New Roman" w:hAnsi="Times New Roman"/>
                <w:szCs w:val="22"/>
              </w:rPr>
              <w:t>Информационные стенды 1600*1200</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olor w:val="000000"/>
                <w:lang w:val="en-US"/>
              </w:rPr>
            </w:pPr>
            <w:r>
              <w:rPr>
                <w:rFonts w:ascii="Times New Roman" w:hAnsi="Times New Roman"/>
                <w:color w:val="000000"/>
                <w:lang w:val="en-US"/>
              </w:rPr>
              <w:t>3</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olor w:val="000000"/>
                <w:lang w:val="en-US"/>
              </w:rPr>
            </w:pPr>
            <w:r>
              <w:rPr>
                <w:rFonts w:ascii="Times New Roman" w:hAnsi="Times New Roman"/>
                <w:color w:val="000000"/>
                <w:lang w:val="en-US"/>
              </w:rPr>
              <w:t>4 000,00</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olor w:val="000000"/>
                <w:lang w:val="en-US"/>
              </w:rPr>
            </w:pPr>
            <w:r>
              <w:rPr>
                <w:rFonts w:ascii="Times New Roman" w:hAnsi="Times New Roman"/>
                <w:color w:val="000000"/>
                <w:lang w:val="en-US"/>
              </w:rPr>
              <w:t>12 000,00</w:t>
            </w:r>
          </w:p>
        </w:tc>
      </w:tr>
      <w:tr>
        <w:trPr>
          <w:trHeight w:val="56" w:hRule="atLeast"/>
        </w:trPr>
        <w:tc>
          <w:tcPr>
            <w:tcW w:w="396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Times New Roman" w:hAnsi="Times New Roman" w:cs="Times New Roman"/>
                <w:szCs w:val="22"/>
              </w:rPr>
            </w:pPr>
            <w:r>
              <w:rPr>
                <w:rFonts w:cs="Times New Roman" w:ascii="Times New Roman" w:hAnsi="Times New Roman"/>
                <w:szCs w:val="22"/>
              </w:rPr>
              <w:t>Информационные стенды 1600*1600</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olor w:val="000000"/>
              </w:rPr>
            </w:pPr>
            <w:r>
              <w:rPr>
                <w:rFonts w:ascii="Times New Roman" w:hAnsi="Times New Roman"/>
                <w:color w:val="000000"/>
              </w:rPr>
              <w:t>2</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olor w:val="000000"/>
              </w:rPr>
            </w:pPr>
            <w:r>
              <w:rPr>
                <w:rFonts w:ascii="Times New Roman" w:hAnsi="Times New Roman"/>
                <w:color w:val="000000"/>
              </w:rPr>
              <w:t>3 710,305</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olor w:val="000000"/>
              </w:rPr>
            </w:pPr>
            <w:r>
              <w:rPr>
                <w:rFonts w:ascii="Times New Roman" w:hAnsi="Times New Roman"/>
                <w:color w:val="000000"/>
              </w:rPr>
              <w:t>7 420,61</w:t>
            </w:r>
          </w:p>
        </w:tc>
      </w:tr>
      <w:tr>
        <w:trPr>
          <w:trHeight w:val="56" w:hRule="atLeast"/>
        </w:trPr>
        <w:tc>
          <w:tcPr>
            <w:tcW w:w="3969"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rFonts w:ascii="Times New Roman" w:hAnsi="Times New Roman" w:cs="Times New Roman"/>
                <w:szCs w:val="22"/>
              </w:rPr>
            </w:pPr>
            <w:r>
              <w:rPr>
                <w:rFonts w:cs="Times New Roman" w:ascii="Times New Roman" w:hAnsi="Times New Roman"/>
                <w:szCs w:val="22"/>
              </w:rPr>
              <w:t>Итого</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olor w:val="000000"/>
              </w:rPr>
            </w:pPr>
            <w:r>
              <w:rPr>
                <w:rFonts w:ascii="Times New Roman" w:hAnsi="Times New Roman"/>
                <w:color w:val="000000"/>
              </w:rPr>
              <w:t>5</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olor w:val="000000"/>
              </w:rPr>
            </w:pPr>
            <w:r>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olor w:val="000000"/>
              </w:rPr>
            </w:pPr>
            <w:r>
              <w:rPr>
                <w:rFonts w:ascii="Times New Roman" w:hAnsi="Times New Roman"/>
                <w:color w:val="000000"/>
              </w:rPr>
              <w:t>19 420,61</w:t>
            </w:r>
          </w:p>
        </w:tc>
      </w:tr>
    </w:tbl>
    <w:p>
      <w:pPr>
        <w:pStyle w:val="Normal"/>
        <w:numPr>
          <w:ilvl w:val="0"/>
          <w:numId w:val="0"/>
        </w:numPr>
        <w:spacing w:lineRule="auto" w:line="240" w:before="0" w:after="0"/>
        <w:ind w:firstLine="708" w:left="0"/>
        <w:outlineLvl w:val="0"/>
        <w:rPr>
          <w:rFonts w:ascii="Times New Roman" w:hAnsi="Times New Roman" w:eastAsia="Times New Roman"/>
          <w:b/>
          <w:lang w:eastAsia="ru-RU"/>
        </w:rPr>
      </w:pPr>
      <w:r>
        <w:rPr>
          <w:rFonts w:eastAsia="Times New Roman" w:ascii="Times New Roman" w:hAnsi="Times New Roman"/>
          <w:b/>
          <w:lang w:eastAsia="ru-RU"/>
        </w:rPr>
      </w:r>
    </w:p>
    <w:p>
      <w:pPr>
        <w:pStyle w:val="Normal"/>
        <w:numPr>
          <w:ilvl w:val="0"/>
          <w:numId w:val="0"/>
        </w:numPr>
        <w:spacing w:lineRule="auto" w:line="240" w:before="0" w:after="0"/>
        <w:ind w:firstLine="708" w:left="0"/>
        <w:outlineLvl w:val="0"/>
        <w:rPr>
          <w:rFonts w:ascii="Times New Roman" w:hAnsi="Times New Roman" w:eastAsia="Times New Roman"/>
          <w:b/>
          <w:lang w:eastAsia="ru-RU"/>
        </w:rPr>
      </w:pPr>
      <w:r>
        <w:rPr>
          <w:rFonts w:eastAsia="Times New Roman" w:ascii="Times New Roman" w:hAnsi="Times New Roman"/>
          <w:b/>
          <w:lang w:eastAsia="ru-RU"/>
        </w:rPr>
        <w:t>1) Наименование и описание объекта закупки:</w:t>
      </w:r>
    </w:p>
    <w:p>
      <w:pPr>
        <w:pStyle w:val="Normal"/>
        <w:spacing w:lineRule="auto" w:line="240" w:before="0" w:after="0"/>
        <w:ind w:firstLine="567"/>
        <w:jc w:val="both"/>
        <w:rPr>
          <w:rFonts w:ascii="Times New Roman" w:hAnsi="Times New Roman" w:eastAsia="Times New Roman"/>
          <w:lang w:eastAsia="ru-RU"/>
        </w:rPr>
      </w:pPr>
      <w:r>
        <w:rPr>
          <w:rFonts w:eastAsia="Times New Roman" w:ascii="Times New Roman" w:hAnsi="Times New Roman"/>
          <w:lang w:eastAsia="ru-RU"/>
        </w:rPr>
        <w:t>Информационные стенды 1600*1600 мм, без карманов, ПВХ, информационные стенды 1600*1200 мм, с 18 карманами формата А4, ПВХ (ОКПД</w:t>
        <w:noBreakHyphen/>
        <w:t>2 - 32.99.53.190),</w:t>
      </w:r>
    </w:p>
    <w:p>
      <w:pPr>
        <w:pStyle w:val="Normal"/>
        <w:numPr>
          <w:ilvl w:val="0"/>
          <w:numId w:val="0"/>
        </w:numPr>
        <w:spacing w:lineRule="auto" w:line="240" w:before="0" w:after="0"/>
        <w:ind w:hanging="0" w:left="0"/>
        <w:jc w:val="center"/>
        <w:outlineLvl w:val="0"/>
        <w:rPr>
          <w:rFonts w:ascii="Times New Roman" w:hAnsi="Times New Roman" w:eastAsia="Times New Roman"/>
          <w:b/>
          <w:lang w:eastAsia="ru-RU"/>
        </w:rPr>
      </w:pPr>
      <w:r>
        <w:rPr>
          <w:rFonts w:eastAsia="Times New Roman" w:ascii="Times New Roman" w:hAnsi="Times New Roman"/>
          <w:b/>
          <w:lang w:eastAsia="ru-RU"/>
        </w:rPr>
        <w:t>2) Информация о количестве, месте доставки товара, сроки поставки товара:</w:t>
      </w:r>
    </w:p>
    <w:p>
      <w:pPr>
        <w:pStyle w:val="Normal"/>
        <w:tabs>
          <w:tab w:val="clear" w:pos="708"/>
          <w:tab w:val="left" w:pos="10992" w:leader="none"/>
          <w:tab w:val="left" w:pos="11908" w:leader="none"/>
          <w:tab w:val="left" w:pos="12824" w:leader="none"/>
          <w:tab w:val="left" w:pos="13740" w:leader="none"/>
          <w:tab w:val="left" w:pos="14656" w:leader="none"/>
        </w:tabs>
        <w:spacing w:lineRule="auto" w:line="240" w:before="0" w:after="0"/>
        <w:ind w:firstLine="567"/>
        <w:jc w:val="both"/>
        <w:rPr>
          <w:rFonts w:ascii="Times New Roman" w:hAnsi="Times New Roman" w:eastAsia="Times New Roman"/>
          <w:lang w:eastAsia="ru-RU"/>
        </w:rPr>
      </w:pPr>
      <w:r>
        <w:rPr>
          <w:rFonts w:eastAsia="Times New Roman" w:ascii="Times New Roman" w:hAnsi="Times New Roman"/>
          <w:lang w:eastAsia="ru-RU"/>
        </w:rPr>
        <w:t>Срок поставки товара – в течение 20 календарных дней со дня подписания Государственного контракта.</w:t>
      </w:r>
    </w:p>
    <w:p>
      <w:pPr>
        <w:pStyle w:val="Normal"/>
        <w:numPr>
          <w:ilvl w:val="0"/>
          <w:numId w:val="0"/>
        </w:numPr>
        <w:spacing w:lineRule="auto" w:line="240" w:before="0" w:after="0"/>
        <w:ind w:firstLine="708" w:left="0"/>
        <w:outlineLvl w:val="0"/>
        <w:rPr>
          <w:rFonts w:ascii="Times New Roman" w:hAnsi="Times New Roman" w:eastAsia="Times New Roman"/>
          <w:b/>
          <w:bCs/>
          <w:lang w:eastAsia="ru-RU"/>
        </w:rPr>
      </w:pPr>
      <w:r>
        <w:rPr>
          <w:rFonts w:eastAsia="Times New Roman" w:ascii="Times New Roman" w:hAnsi="Times New Roman"/>
          <w:b/>
          <w:bCs/>
          <w:lang w:eastAsia="ru-RU"/>
        </w:rPr>
        <w:t>3) Требования к качеству, характеристикам товара:</w:t>
      </w:r>
    </w:p>
    <w:tbl>
      <w:tblPr>
        <w:tblW w:w="9952" w:type="dxa"/>
        <w:jc w:val="left"/>
        <w:tblInd w:w="226" w:type="dxa"/>
        <w:tblLayout w:type="fixed"/>
        <w:tblCellMar>
          <w:top w:w="0" w:type="dxa"/>
          <w:left w:w="108" w:type="dxa"/>
          <w:bottom w:w="0" w:type="dxa"/>
          <w:right w:w="108" w:type="dxa"/>
        </w:tblCellMar>
        <w:tblLook w:val="04a0"/>
      </w:tblPr>
      <w:tblGrid>
        <w:gridCol w:w="424"/>
        <w:gridCol w:w="2270"/>
        <w:gridCol w:w="567"/>
        <w:gridCol w:w="3825"/>
        <w:gridCol w:w="2866"/>
      </w:tblGrid>
      <w:tr>
        <w:trPr>
          <w:tblHeader w:val="true"/>
          <w:trHeight w:val="1411" w:hRule="atLeast"/>
          <w:cantSplit w:val="true"/>
        </w:trPr>
        <w:tc>
          <w:tcPr>
            <w:tcW w:w="424" w:type="dxa"/>
            <w:tcBorders>
              <w:top w:val="single" w:sz="8" w:space="0" w:color="000000"/>
              <w:left w:val="single" w:sz="8" w:space="0" w:color="000000"/>
              <w:bottom w:val="single" w:sz="8" w:space="0" w:color="000000"/>
              <w:right w:val="single" w:sz="4" w:space="0" w:color="000000"/>
            </w:tcBorders>
            <w:textDirection w:val="btLr"/>
            <w:vAlign w:val="center"/>
          </w:tcPr>
          <w:p>
            <w:pPr>
              <w:pStyle w:val="Normal"/>
              <w:overflowPunct w:val="false"/>
              <w:spacing w:lineRule="auto" w:line="240" w:before="0" w:after="0"/>
              <w:jc w:val="center"/>
              <w:textAlignment w:val="baseline"/>
              <w:rPr>
                <w:rFonts w:ascii="Times New Roman" w:hAnsi="Times New Roman" w:eastAsia="Times New Roman"/>
                <w:b/>
                <w:color w:val="000000"/>
                <w:lang w:eastAsia="ru-RU"/>
              </w:rPr>
            </w:pPr>
            <w:r>
              <w:rPr>
                <w:rFonts w:eastAsia="Times New Roman" w:ascii="Times New Roman" w:hAnsi="Times New Roman"/>
                <w:b/>
                <w:color w:val="000000"/>
                <w:lang w:eastAsia="ru-RU"/>
              </w:rPr>
              <w:t xml:space="preserve">№ </w:t>
            </w:r>
            <w:r>
              <w:rPr>
                <w:rFonts w:eastAsia="Times New Roman" w:ascii="Times New Roman" w:hAnsi="Times New Roman"/>
                <w:b/>
                <w:color w:val="000000"/>
                <w:lang w:eastAsia="ru-RU"/>
              </w:rPr>
              <w:t>п/п</w:t>
            </w:r>
          </w:p>
        </w:tc>
        <w:tc>
          <w:tcPr>
            <w:tcW w:w="2270" w:type="dxa"/>
            <w:tcBorders>
              <w:top w:val="single" w:sz="8" w:space="0" w:color="000000"/>
              <w:left w:val="single" w:sz="4" w:space="0" w:color="000000"/>
              <w:bottom w:val="single" w:sz="8"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b/>
                <w:color w:val="000000"/>
                <w:lang w:eastAsia="ru-RU"/>
              </w:rPr>
            </w:pPr>
            <w:r>
              <w:rPr>
                <w:rFonts w:eastAsia="Times New Roman" w:ascii="Times New Roman" w:hAnsi="Times New Roman"/>
                <w:b/>
                <w:color w:val="000000"/>
                <w:lang w:eastAsia="ru-RU"/>
              </w:rPr>
              <w:t>Наименование товара</w:t>
            </w:r>
          </w:p>
        </w:tc>
        <w:tc>
          <w:tcPr>
            <w:tcW w:w="567" w:type="dxa"/>
            <w:tcBorders>
              <w:top w:val="single" w:sz="8" w:space="0" w:color="000000"/>
              <w:left w:val="single" w:sz="4" w:space="0" w:color="000000"/>
              <w:bottom w:val="single" w:sz="8" w:space="0" w:color="000000"/>
              <w:right w:val="single" w:sz="4" w:space="0" w:color="000000"/>
            </w:tcBorders>
            <w:textDirection w:val="btLr"/>
            <w:vAlign w:val="center"/>
          </w:tcPr>
          <w:p>
            <w:pPr>
              <w:pStyle w:val="Normal"/>
              <w:overflowPunct w:val="false"/>
              <w:spacing w:lineRule="auto" w:line="240" w:before="0" w:after="0"/>
              <w:jc w:val="center"/>
              <w:textAlignment w:val="baseline"/>
              <w:rPr>
                <w:rFonts w:ascii="Times New Roman" w:hAnsi="Times New Roman" w:eastAsia="Times New Roman"/>
                <w:b/>
                <w:color w:val="000000"/>
                <w:lang w:eastAsia="ru-RU"/>
              </w:rPr>
            </w:pPr>
            <w:r>
              <w:rPr>
                <w:rFonts w:eastAsia="Times New Roman" w:ascii="Times New Roman" w:hAnsi="Times New Roman"/>
                <w:b/>
                <w:color w:val="000000"/>
                <w:lang w:eastAsia="ru-RU"/>
              </w:rPr>
              <w:t>Количество, шт.</w:t>
            </w:r>
          </w:p>
        </w:tc>
        <w:tc>
          <w:tcPr>
            <w:tcW w:w="3825" w:type="dxa"/>
            <w:tcBorders>
              <w:top w:val="single" w:sz="8" w:space="0" w:color="000000"/>
              <w:left w:val="single" w:sz="4" w:space="0" w:color="000000"/>
              <w:bottom w:val="single" w:sz="8"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b/>
                <w:color w:val="000000"/>
                <w:lang w:eastAsia="ru-RU"/>
              </w:rPr>
            </w:pPr>
            <w:r>
              <w:rPr>
                <w:rFonts w:eastAsia="Times New Roman" w:ascii="Times New Roman" w:hAnsi="Times New Roman"/>
                <w:b/>
                <w:color w:val="000000"/>
                <w:lang w:eastAsia="ru-RU"/>
              </w:rPr>
              <w:t>Показатели</w:t>
            </w:r>
          </w:p>
        </w:tc>
        <w:tc>
          <w:tcPr>
            <w:tcW w:w="2866" w:type="dxa"/>
            <w:tcBorders>
              <w:top w:val="single" w:sz="8" w:space="0" w:color="000000"/>
              <w:left w:val="single" w:sz="4" w:space="0" w:color="000000"/>
              <w:bottom w:val="single" w:sz="8" w:space="0" w:color="000000"/>
              <w:right w:val="single" w:sz="8"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b/>
                <w:color w:val="000000"/>
                <w:lang w:eastAsia="ru-RU"/>
              </w:rPr>
            </w:pPr>
            <w:r>
              <w:rPr>
                <w:rFonts w:eastAsia="Times New Roman" w:ascii="Times New Roman" w:hAnsi="Times New Roman"/>
                <w:b/>
                <w:color w:val="000000"/>
                <w:lang w:eastAsia="ru-RU"/>
              </w:rPr>
              <w:t>Значение показателя</w:t>
            </w:r>
          </w:p>
        </w:tc>
      </w:tr>
      <w:tr>
        <w:trPr>
          <w:trHeight w:val="20" w:hRule="atLeast"/>
        </w:trPr>
        <w:tc>
          <w:tcPr>
            <w:tcW w:w="424" w:type="dxa"/>
            <w:vMerge w:val="restart"/>
            <w:tcBorders>
              <w:top w:val="single" w:sz="8" w:space="0" w:color="000000"/>
              <w:left w:val="single" w:sz="8" w:space="0" w:color="000000"/>
              <w:bottom w:val="single" w:sz="4" w:space="0" w:color="000000"/>
              <w:right w:val="single" w:sz="4" w:space="0" w:color="000000"/>
            </w:tcBorders>
            <w:vAlign w:val="center"/>
          </w:tcPr>
          <w:p>
            <w:pPr>
              <w:pStyle w:val="Normal"/>
              <w:numPr>
                <w:ilvl w:val="0"/>
                <w:numId w:val="2"/>
              </w:numPr>
              <w:suppressAutoHyphens w:val="true"/>
              <w:overflowPunct w:val="false"/>
              <w:spacing w:lineRule="auto" w:line="240" w:before="0" w:after="0"/>
              <w:contextualSpacing/>
              <w:jc w:val="center"/>
              <w:textAlignment w:val="baseline"/>
              <w:rPr>
                <w:rFonts w:ascii="Times New Roman" w:hAnsi="Times New Roman"/>
                <w:color w:val="000000"/>
                <w:lang w:val="en-US" w:eastAsia="ru-RU"/>
              </w:rPr>
            </w:pPr>
            <w:r>
              <w:rPr>
                <w:rFonts w:ascii="Times New Roman" w:hAnsi="Times New Roman"/>
                <w:color w:val="000000"/>
                <w:lang w:val="en-US" w:eastAsia="ru-RU"/>
              </w:rPr>
            </w:r>
          </w:p>
        </w:tc>
        <w:tc>
          <w:tcPr>
            <w:tcW w:w="2270" w:type="dxa"/>
            <w:vMerge w:val="restart"/>
            <w:tcBorders>
              <w:top w:val="single" w:sz="8"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t>Информационные стенды</w:t>
            </w:r>
          </w:p>
        </w:tc>
        <w:tc>
          <w:tcPr>
            <w:tcW w:w="567" w:type="dxa"/>
            <w:vMerge w:val="restart"/>
            <w:tcBorders>
              <w:top w:val="single" w:sz="8"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t>3</w:t>
            </w:r>
          </w:p>
        </w:tc>
        <w:tc>
          <w:tcPr>
            <w:tcW w:w="3825" w:type="dxa"/>
            <w:tcBorders>
              <w:top w:val="single" w:sz="8"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t>Размер</w:t>
            </w:r>
          </w:p>
        </w:tc>
        <w:tc>
          <w:tcPr>
            <w:tcW w:w="2866" w:type="dxa"/>
            <w:tcBorders>
              <w:top w:val="single" w:sz="8" w:space="0" w:color="000000"/>
              <w:left w:val="single" w:sz="4" w:space="0" w:color="000000"/>
              <w:bottom w:val="single" w:sz="4" w:space="0" w:color="000000"/>
              <w:right w:val="single" w:sz="8"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lang w:val="en-US" w:eastAsia="ru-RU"/>
              </w:rPr>
            </w:pPr>
            <w:r>
              <w:rPr>
                <w:rFonts w:eastAsia="Times New Roman" w:ascii="Times New Roman" w:hAnsi="Times New Roman"/>
                <w:lang w:eastAsia="ru-RU"/>
              </w:rPr>
              <w:t>1600*1200</w:t>
            </w:r>
          </w:p>
        </w:tc>
      </w:tr>
      <w:tr>
        <w:trPr>
          <w:trHeight w:val="20" w:hRule="atLeast"/>
        </w:trPr>
        <w:tc>
          <w:tcPr>
            <w:tcW w:w="424" w:type="dxa"/>
            <w:vMerge w:val="continue"/>
            <w:tcBorders>
              <w:top w:val="single" w:sz="4" w:space="0" w:color="000000"/>
              <w:left w:val="single" w:sz="8" w:space="0" w:color="000000"/>
              <w:bottom w:val="single" w:sz="4" w:space="0" w:color="000000"/>
              <w:right w:val="single" w:sz="4" w:space="0" w:color="000000"/>
            </w:tcBorders>
            <w:vAlign w:val="center"/>
          </w:tcPr>
          <w:p>
            <w:pPr>
              <w:pStyle w:val="Normal"/>
              <w:numPr>
                <w:ilvl w:val="0"/>
                <w:numId w:val="0"/>
              </w:numPr>
              <w:suppressAutoHyphens w:val="true"/>
              <w:overflowPunct w:val="false"/>
              <w:spacing w:lineRule="auto" w:line="240" w:before="0" w:after="0"/>
              <w:ind w:hanging="0" w:left="360"/>
              <w:contextualSpacing/>
              <w:jc w:val="center"/>
              <w:textAlignment w:val="baseline"/>
              <w:rPr>
                <w:rFonts w:ascii="Times New Roman" w:hAnsi="Times New Roman"/>
                <w:color w:val="000000"/>
                <w:lang w:val="en-US" w:eastAsia="ru-RU"/>
              </w:rPr>
            </w:pPr>
            <w:r>
              <w:rPr>
                <w:rFonts w:ascii="Times New Roman" w:hAnsi="Times New Roman"/>
                <w:color w:val="000000"/>
                <w:lang w:val="en-US" w:eastAsia="ru-RU"/>
              </w:rPr>
            </w:r>
          </w:p>
        </w:tc>
        <w:tc>
          <w:tcPr>
            <w:tcW w:w="22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val="en-US" w:eastAsia="ru-RU"/>
              </w:rPr>
            </w:pPr>
            <w:r>
              <w:rPr>
                <w:rFonts w:eastAsia="Times New Roman" w:ascii="Times New Roman" w:hAnsi="Times New Roman"/>
                <w:color w:val="000000"/>
                <w:lang w:val="en-US" w:eastAsia="ru-RU"/>
              </w:rPr>
            </w:r>
          </w:p>
        </w:tc>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val="en-US" w:eastAsia="ru-RU"/>
              </w:rPr>
            </w:pPr>
            <w:r>
              <w:rPr>
                <w:rFonts w:eastAsia="Times New Roman" w:ascii="Times New Roman" w:hAnsi="Times New Roman"/>
                <w:color w:val="000000"/>
                <w:lang w:val="en-US" w:eastAsia="ru-RU"/>
              </w:rPr>
            </w:r>
          </w:p>
        </w:tc>
        <w:tc>
          <w:tcPr>
            <w:tcW w:w="3825"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t>Материал</w:t>
            </w:r>
          </w:p>
        </w:tc>
        <w:tc>
          <w:tcPr>
            <w:tcW w:w="2866" w:type="dxa"/>
            <w:tcBorders>
              <w:top w:val="single" w:sz="4" w:space="0" w:color="000000"/>
              <w:left w:val="single" w:sz="4" w:space="0" w:color="000000"/>
              <w:bottom w:val="single" w:sz="4" w:space="0" w:color="000000"/>
              <w:right w:val="single" w:sz="8"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lang w:eastAsia="ru-RU"/>
              </w:rPr>
            </w:pPr>
            <w:r>
              <w:rPr>
                <w:rFonts w:eastAsia="Times New Roman" w:ascii="Times New Roman" w:hAnsi="Times New Roman"/>
                <w:lang w:eastAsia="ru-RU"/>
              </w:rPr>
              <w:t>ПВХ</w:t>
            </w:r>
          </w:p>
        </w:tc>
      </w:tr>
      <w:tr>
        <w:trPr>
          <w:trHeight w:val="663" w:hRule="atLeast"/>
        </w:trPr>
        <w:tc>
          <w:tcPr>
            <w:tcW w:w="424" w:type="dxa"/>
            <w:vMerge w:val="continue"/>
            <w:tcBorders>
              <w:top w:val="single" w:sz="4" w:space="0" w:color="000000"/>
              <w:left w:val="single" w:sz="8" w:space="0" w:color="000000"/>
              <w:bottom w:val="single" w:sz="4" w:space="0" w:color="000000"/>
              <w:right w:val="single" w:sz="4" w:space="0" w:color="000000"/>
            </w:tcBorders>
            <w:vAlign w:val="center"/>
          </w:tcPr>
          <w:p>
            <w:pPr>
              <w:pStyle w:val="Normal"/>
              <w:numPr>
                <w:ilvl w:val="0"/>
                <w:numId w:val="0"/>
              </w:numPr>
              <w:suppressAutoHyphens w:val="true"/>
              <w:overflowPunct w:val="false"/>
              <w:spacing w:lineRule="auto" w:line="240" w:before="0" w:after="0"/>
              <w:ind w:hanging="0" w:left="360"/>
              <w:contextualSpacing/>
              <w:jc w:val="center"/>
              <w:textAlignment w:val="baseline"/>
              <w:rPr>
                <w:rFonts w:ascii="Times New Roman" w:hAnsi="Times New Roman"/>
                <w:color w:val="000000"/>
                <w:lang w:val="en-US" w:eastAsia="ru-RU"/>
              </w:rPr>
            </w:pPr>
            <w:r>
              <w:rPr>
                <w:rFonts w:ascii="Times New Roman" w:hAnsi="Times New Roman"/>
                <w:color w:val="000000"/>
                <w:lang w:val="en-US" w:eastAsia="ru-RU"/>
              </w:rPr>
            </w:r>
          </w:p>
        </w:tc>
        <w:tc>
          <w:tcPr>
            <w:tcW w:w="22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val="en-US" w:eastAsia="ru-RU"/>
              </w:rPr>
            </w:pPr>
            <w:r>
              <w:rPr>
                <w:rFonts w:eastAsia="Times New Roman" w:ascii="Times New Roman" w:hAnsi="Times New Roman"/>
                <w:color w:val="000000"/>
                <w:lang w:val="en-US" w:eastAsia="ru-RU"/>
              </w:rPr>
            </w:r>
          </w:p>
        </w:tc>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val="en-US" w:eastAsia="ru-RU"/>
              </w:rPr>
            </w:pPr>
            <w:r>
              <w:rPr>
                <w:rFonts w:eastAsia="Times New Roman" w:ascii="Times New Roman" w:hAnsi="Times New Roman"/>
                <w:color w:val="000000"/>
                <w:lang w:val="en-US" w:eastAsia="ru-RU"/>
              </w:rPr>
            </w:r>
          </w:p>
        </w:tc>
        <w:tc>
          <w:tcPr>
            <w:tcW w:w="3825"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t>Наименование стендов</w:t>
            </w:r>
          </w:p>
        </w:tc>
        <w:tc>
          <w:tcPr>
            <w:tcW w:w="2866" w:type="dxa"/>
            <w:tcBorders>
              <w:top w:val="single" w:sz="4" w:space="0" w:color="000000"/>
              <w:left w:val="single" w:sz="4" w:space="0" w:color="000000"/>
              <w:bottom w:val="single" w:sz="4" w:space="0" w:color="000000"/>
              <w:right w:val="single" w:sz="8"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lang w:eastAsia="ru-RU"/>
              </w:rPr>
            </w:pPr>
            <w:r>
              <w:rPr>
                <w:rFonts w:eastAsia="Times New Roman" w:ascii="Times New Roman" w:hAnsi="Times New Roman"/>
                <w:lang w:eastAsia="ru-RU"/>
              </w:rPr>
              <w:t xml:space="preserve">наносится на стенд </w:t>
              <w:br/>
              <w:t>по заявке заказчика</w:t>
            </w:r>
          </w:p>
        </w:tc>
      </w:tr>
      <w:tr>
        <w:trPr>
          <w:trHeight w:val="595" w:hRule="atLeast"/>
        </w:trPr>
        <w:tc>
          <w:tcPr>
            <w:tcW w:w="424" w:type="dxa"/>
            <w:vMerge w:val="continue"/>
            <w:tcBorders>
              <w:top w:val="single" w:sz="4" w:space="0" w:color="000000"/>
              <w:left w:val="single" w:sz="8" w:space="0" w:color="000000"/>
              <w:bottom w:val="single" w:sz="4" w:space="0" w:color="000000"/>
              <w:right w:val="single" w:sz="4" w:space="0" w:color="000000"/>
            </w:tcBorders>
            <w:vAlign w:val="center"/>
          </w:tcPr>
          <w:p>
            <w:pPr>
              <w:pStyle w:val="Normal"/>
              <w:numPr>
                <w:ilvl w:val="0"/>
                <w:numId w:val="0"/>
              </w:numPr>
              <w:suppressAutoHyphens w:val="true"/>
              <w:overflowPunct w:val="false"/>
              <w:spacing w:lineRule="auto" w:line="240" w:before="0" w:after="0"/>
              <w:ind w:hanging="0" w:left="360"/>
              <w:contextualSpacing/>
              <w:jc w:val="center"/>
              <w:textAlignment w:val="baseline"/>
              <w:rPr>
                <w:rFonts w:ascii="Times New Roman" w:hAnsi="Times New Roman"/>
                <w:color w:val="000000"/>
                <w:lang w:val="en-US" w:eastAsia="ru-RU"/>
              </w:rPr>
            </w:pPr>
            <w:r>
              <w:rPr>
                <w:rFonts w:ascii="Times New Roman" w:hAnsi="Times New Roman"/>
                <w:color w:val="000000"/>
                <w:lang w:val="en-US" w:eastAsia="ru-RU"/>
              </w:rPr>
            </w:r>
          </w:p>
        </w:tc>
        <w:tc>
          <w:tcPr>
            <w:tcW w:w="22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val="en-US" w:eastAsia="ru-RU"/>
              </w:rPr>
            </w:pPr>
            <w:r>
              <w:rPr>
                <w:rFonts w:eastAsia="Times New Roman" w:ascii="Times New Roman" w:hAnsi="Times New Roman"/>
                <w:color w:val="000000"/>
                <w:lang w:val="en-US" w:eastAsia="ru-RU"/>
              </w:rPr>
            </w:r>
          </w:p>
        </w:tc>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val="en-US" w:eastAsia="ru-RU"/>
              </w:rPr>
            </w:pPr>
            <w:r>
              <w:rPr>
                <w:rFonts w:eastAsia="Times New Roman" w:ascii="Times New Roman" w:hAnsi="Times New Roman"/>
                <w:color w:val="000000"/>
                <w:lang w:val="en-US" w:eastAsia="ru-RU"/>
              </w:rPr>
            </w:r>
          </w:p>
        </w:tc>
        <w:tc>
          <w:tcPr>
            <w:tcW w:w="3825"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t>Карманы А4</w:t>
            </w:r>
          </w:p>
        </w:tc>
        <w:tc>
          <w:tcPr>
            <w:tcW w:w="2866" w:type="dxa"/>
            <w:tcBorders>
              <w:top w:val="single" w:sz="4" w:space="0" w:color="000000"/>
              <w:left w:val="single" w:sz="4" w:space="0" w:color="000000"/>
              <w:bottom w:val="single" w:sz="4" w:space="0" w:color="000000"/>
              <w:right w:val="single" w:sz="8"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lang w:eastAsia="ru-RU"/>
              </w:rPr>
            </w:pPr>
            <w:r>
              <w:rPr>
                <w:rFonts w:eastAsia="Times New Roman" w:ascii="Times New Roman" w:hAnsi="Times New Roman"/>
                <w:lang w:eastAsia="ru-RU"/>
              </w:rPr>
              <w:t>18 штук</w:t>
            </w:r>
          </w:p>
        </w:tc>
      </w:tr>
      <w:tr>
        <w:trPr>
          <w:trHeight w:val="218" w:hRule="atLeast"/>
        </w:trPr>
        <w:tc>
          <w:tcPr>
            <w:tcW w:w="424" w:type="dxa"/>
            <w:vMerge w:val="restart"/>
            <w:tcBorders>
              <w:top w:val="single" w:sz="4" w:space="0" w:color="000000"/>
              <w:left w:val="single" w:sz="8" w:space="0" w:color="000000"/>
              <w:bottom w:val="single" w:sz="4" w:space="0" w:color="000000"/>
              <w:right w:val="single" w:sz="4" w:space="0" w:color="000000"/>
            </w:tcBorders>
            <w:vAlign w:val="center"/>
          </w:tcPr>
          <w:p>
            <w:pPr>
              <w:pStyle w:val="Normal"/>
              <w:numPr>
                <w:ilvl w:val="0"/>
                <w:numId w:val="2"/>
              </w:numPr>
              <w:suppressAutoHyphens w:val="true"/>
              <w:overflowPunct w:val="false"/>
              <w:spacing w:lineRule="auto" w:line="240" w:before="0" w:after="0"/>
              <w:contextualSpacing/>
              <w:jc w:val="center"/>
              <w:textAlignment w:val="baseline"/>
              <w:rPr>
                <w:rFonts w:ascii="Times New Roman" w:hAnsi="Times New Roman"/>
                <w:color w:val="000000"/>
                <w:lang w:eastAsia="ru-RU"/>
              </w:rPr>
            </w:pPr>
            <w:r>
              <w:rPr>
                <w:rFonts w:ascii="Times New Roman" w:hAnsi="Times New Roman"/>
                <w:color w:val="000000"/>
                <w:lang w:eastAsia="ru-RU"/>
              </w:rPr>
            </w:r>
          </w:p>
        </w:tc>
        <w:tc>
          <w:tcPr>
            <w:tcW w:w="227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val="en-US" w:eastAsia="ru-RU"/>
              </w:rPr>
            </w:pPr>
            <w:r>
              <w:rPr>
                <w:rFonts w:eastAsia="Times New Roman" w:ascii="Times New Roman" w:hAnsi="Times New Roman"/>
                <w:color w:val="000000"/>
                <w:lang w:eastAsia="ru-RU"/>
              </w:rPr>
              <w:t>Информационные стенды</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t>2</w:t>
            </w:r>
          </w:p>
        </w:tc>
        <w:tc>
          <w:tcPr>
            <w:tcW w:w="3825"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t>Размер</w:t>
            </w:r>
          </w:p>
        </w:tc>
        <w:tc>
          <w:tcPr>
            <w:tcW w:w="2866" w:type="dxa"/>
            <w:tcBorders>
              <w:top w:val="single" w:sz="4" w:space="0" w:color="000000"/>
              <w:left w:val="single" w:sz="4" w:space="0" w:color="000000"/>
              <w:bottom w:val="single" w:sz="4" w:space="0" w:color="000000"/>
              <w:right w:val="single" w:sz="8"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lang w:eastAsia="ru-RU"/>
              </w:rPr>
            </w:pPr>
            <w:r>
              <w:rPr>
                <w:rFonts w:eastAsia="Times New Roman" w:ascii="Times New Roman" w:hAnsi="Times New Roman"/>
                <w:lang w:eastAsia="ru-RU"/>
              </w:rPr>
              <w:t>1600*1600</w:t>
            </w:r>
          </w:p>
        </w:tc>
      </w:tr>
      <w:tr>
        <w:trPr>
          <w:trHeight w:val="300" w:hRule="atLeast"/>
        </w:trPr>
        <w:tc>
          <w:tcPr>
            <w:tcW w:w="424" w:type="dxa"/>
            <w:vMerge w:val="continue"/>
            <w:tcBorders>
              <w:top w:val="single" w:sz="4" w:space="0" w:color="000000"/>
              <w:left w:val="single" w:sz="8" w:space="0" w:color="000000"/>
              <w:bottom w:val="single" w:sz="4" w:space="0" w:color="000000"/>
              <w:right w:val="single" w:sz="4" w:space="0" w:color="000000"/>
            </w:tcBorders>
            <w:vAlign w:val="center"/>
          </w:tcPr>
          <w:p>
            <w:pPr>
              <w:pStyle w:val="Normal"/>
              <w:numPr>
                <w:ilvl w:val="0"/>
                <w:numId w:val="0"/>
              </w:numPr>
              <w:suppressAutoHyphens w:val="true"/>
              <w:overflowPunct w:val="false"/>
              <w:spacing w:lineRule="auto" w:line="240" w:before="0" w:after="0"/>
              <w:ind w:hanging="0" w:left="360"/>
              <w:contextualSpacing/>
              <w:jc w:val="center"/>
              <w:textAlignment w:val="baseline"/>
              <w:rPr>
                <w:rFonts w:ascii="Times New Roman" w:hAnsi="Times New Roman"/>
                <w:color w:val="000000"/>
                <w:lang w:val="en-US" w:eastAsia="ru-RU"/>
              </w:rPr>
            </w:pPr>
            <w:r>
              <w:rPr>
                <w:rFonts w:ascii="Times New Roman" w:hAnsi="Times New Roman"/>
                <w:color w:val="000000"/>
                <w:lang w:val="en-US" w:eastAsia="ru-RU"/>
              </w:rPr>
            </w:r>
          </w:p>
        </w:tc>
        <w:tc>
          <w:tcPr>
            <w:tcW w:w="22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r>
          </w:p>
        </w:tc>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r>
          </w:p>
        </w:tc>
        <w:tc>
          <w:tcPr>
            <w:tcW w:w="3825"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t>Материал</w:t>
            </w:r>
          </w:p>
        </w:tc>
        <w:tc>
          <w:tcPr>
            <w:tcW w:w="2866" w:type="dxa"/>
            <w:tcBorders>
              <w:top w:val="single" w:sz="4" w:space="0" w:color="000000"/>
              <w:left w:val="single" w:sz="4" w:space="0" w:color="000000"/>
              <w:bottom w:val="single" w:sz="4" w:space="0" w:color="000000"/>
              <w:right w:val="single" w:sz="8"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lang w:eastAsia="ru-RU"/>
              </w:rPr>
            </w:pPr>
            <w:r>
              <w:rPr>
                <w:rFonts w:eastAsia="Times New Roman" w:ascii="Times New Roman" w:hAnsi="Times New Roman"/>
                <w:lang w:eastAsia="ru-RU"/>
              </w:rPr>
              <w:t>ПВХ</w:t>
            </w:r>
          </w:p>
        </w:tc>
      </w:tr>
      <w:tr>
        <w:trPr>
          <w:trHeight w:val="363" w:hRule="atLeast"/>
        </w:trPr>
        <w:tc>
          <w:tcPr>
            <w:tcW w:w="424" w:type="dxa"/>
            <w:vMerge w:val="continue"/>
            <w:tcBorders>
              <w:top w:val="single" w:sz="4" w:space="0" w:color="000000"/>
              <w:left w:val="single" w:sz="8" w:space="0" w:color="000000"/>
              <w:bottom w:val="single" w:sz="4" w:space="0" w:color="000000"/>
              <w:right w:val="single" w:sz="4" w:space="0" w:color="000000"/>
            </w:tcBorders>
            <w:vAlign w:val="center"/>
          </w:tcPr>
          <w:p>
            <w:pPr>
              <w:pStyle w:val="Normal"/>
              <w:numPr>
                <w:ilvl w:val="0"/>
                <w:numId w:val="0"/>
              </w:numPr>
              <w:suppressAutoHyphens w:val="true"/>
              <w:overflowPunct w:val="false"/>
              <w:spacing w:lineRule="auto" w:line="240" w:before="0" w:after="0"/>
              <w:ind w:hanging="0" w:left="360"/>
              <w:contextualSpacing/>
              <w:jc w:val="center"/>
              <w:textAlignment w:val="baseline"/>
              <w:rPr>
                <w:rFonts w:ascii="Times New Roman" w:hAnsi="Times New Roman"/>
                <w:color w:val="000000"/>
                <w:lang w:val="en-US" w:eastAsia="ru-RU"/>
              </w:rPr>
            </w:pPr>
            <w:r>
              <w:rPr>
                <w:rFonts w:ascii="Times New Roman" w:hAnsi="Times New Roman"/>
                <w:color w:val="000000"/>
                <w:lang w:val="en-US" w:eastAsia="ru-RU"/>
              </w:rPr>
            </w:r>
          </w:p>
        </w:tc>
        <w:tc>
          <w:tcPr>
            <w:tcW w:w="22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r>
          </w:p>
        </w:tc>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r>
          </w:p>
        </w:tc>
        <w:tc>
          <w:tcPr>
            <w:tcW w:w="3825"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t>Наименование стендов</w:t>
            </w:r>
          </w:p>
        </w:tc>
        <w:tc>
          <w:tcPr>
            <w:tcW w:w="2866" w:type="dxa"/>
            <w:tcBorders>
              <w:top w:val="single" w:sz="4" w:space="0" w:color="000000"/>
              <w:left w:val="single" w:sz="4" w:space="0" w:color="000000"/>
              <w:bottom w:val="single" w:sz="4" w:space="0" w:color="000000"/>
              <w:right w:val="single" w:sz="8"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lang w:eastAsia="ru-RU"/>
              </w:rPr>
            </w:pPr>
            <w:r>
              <w:rPr>
                <w:rFonts w:eastAsia="Times New Roman" w:ascii="Times New Roman" w:hAnsi="Times New Roman"/>
                <w:lang w:eastAsia="ru-RU"/>
              </w:rPr>
              <w:t xml:space="preserve">наносится на стенд </w:t>
              <w:br/>
              <w:t>по заявке заказчика</w:t>
            </w:r>
          </w:p>
        </w:tc>
      </w:tr>
      <w:tr>
        <w:trPr>
          <w:trHeight w:val="363" w:hRule="atLeast"/>
        </w:trPr>
        <w:tc>
          <w:tcPr>
            <w:tcW w:w="424" w:type="dxa"/>
            <w:vMerge w:val="continue"/>
            <w:tcBorders>
              <w:top w:val="single" w:sz="4" w:space="0" w:color="000000"/>
              <w:left w:val="single" w:sz="8" w:space="0" w:color="000000"/>
              <w:bottom w:val="single" w:sz="4" w:space="0" w:color="000000"/>
              <w:right w:val="single" w:sz="4" w:space="0" w:color="000000"/>
            </w:tcBorders>
            <w:vAlign w:val="center"/>
          </w:tcPr>
          <w:p>
            <w:pPr>
              <w:pStyle w:val="Normal"/>
              <w:numPr>
                <w:ilvl w:val="0"/>
                <w:numId w:val="0"/>
              </w:numPr>
              <w:suppressAutoHyphens w:val="true"/>
              <w:overflowPunct w:val="false"/>
              <w:spacing w:lineRule="auto" w:line="240" w:before="0" w:after="0"/>
              <w:ind w:hanging="0" w:left="360"/>
              <w:contextualSpacing/>
              <w:jc w:val="center"/>
              <w:textAlignment w:val="baseline"/>
              <w:rPr>
                <w:rFonts w:ascii="Times New Roman" w:hAnsi="Times New Roman"/>
                <w:color w:val="000000"/>
                <w:lang w:val="en-US" w:eastAsia="ru-RU"/>
              </w:rPr>
            </w:pPr>
            <w:r>
              <w:rPr>
                <w:rFonts w:ascii="Times New Roman" w:hAnsi="Times New Roman"/>
                <w:color w:val="000000"/>
                <w:lang w:val="en-US" w:eastAsia="ru-RU"/>
              </w:rPr>
            </w:r>
          </w:p>
        </w:tc>
        <w:tc>
          <w:tcPr>
            <w:tcW w:w="22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r>
          </w:p>
        </w:tc>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r>
          </w:p>
        </w:tc>
        <w:tc>
          <w:tcPr>
            <w:tcW w:w="3825"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color w:val="000000"/>
                <w:lang w:eastAsia="ru-RU"/>
              </w:rPr>
            </w:pPr>
            <w:r>
              <w:rPr>
                <w:rFonts w:eastAsia="Times New Roman" w:ascii="Times New Roman" w:hAnsi="Times New Roman"/>
                <w:color w:val="000000"/>
                <w:lang w:eastAsia="ru-RU"/>
              </w:rPr>
              <w:t>Карманы А4</w:t>
            </w:r>
          </w:p>
        </w:tc>
        <w:tc>
          <w:tcPr>
            <w:tcW w:w="2866" w:type="dxa"/>
            <w:tcBorders>
              <w:top w:val="single" w:sz="4" w:space="0" w:color="000000"/>
              <w:left w:val="single" w:sz="4" w:space="0" w:color="000000"/>
              <w:bottom w:val="single" w:sz="4" w:space="0" w:color="000000"/>
              <w:right w:val="single" w:sz="8" w:space="0" w:color="000000"/>
            </w:tcBorders>
            <w:vAlign w:val="center"/>
          </w:tcPr>
          <w:p>
            <w:pPr>
              <w:pStyle w:val="Normal"/>
              <w:overflowPunct w:val="false"/>
              <w:spacing w:lineRule="auto" w:line="240" w:before="0" w:after="0"/>
              <w:jc w:val="center"/>
              <w:textAlignment w:val="baseline"/>
              <w:rPr>
                <w:rFonts w:ascii="Times New Roman" w:hAnsi="Times New Roman" w:eastAsia="Times New Roman"/>
                <w:lang w:eastAsia="ru-RU"/>
              </w:rPr>
            </w:pPr>
            <w:r>
              <w:rPr>
                <w:rFonts w:eastAsia="Times New Roman" w:ascii="Times New Roman" w:hAnsi="Times New Roman"/>
                <w:lang w:eastAsia="ru-RU"/>
              </w:rPr>
              <w:t>Без карманов</w:t>
            </w:r>
          </w:p>
        </w:tc>
      </w:tr>
    </w:tbl>
    <w:p>
      <w:pPr>
        <w:pStyle w:val="Normal"/>
        <w:spacing w:lineRule="auto" w:line="240" w:before="0" w:after="0"/>
        <w:ind w:firstLine="708"/>
        <w:jc w:val="both"/>
        <w:rPr>
          <w:rFonts w:ascii="Times New Roman" w:hAnsi="Times New Roman" w:eastAsia="Times New Roman"/>
          <w:bCs/>
          <w:lang w:eastAsia="ru-RU"/>
        </w:rPr>
      </w:pPr>
      <w:r>
        <w:rPr>
          <w:rFonts w:eastAsia="Times New Roman" w:ascii="Times New Roman" w:hAnsi="Times New Roman"/>
          <w:bCs/>
          <w:lang w:eastAsia="ru-RU"/>
        </w:rPr>
        <w:t>Гарантийный срок эксплуатации: Гарантийный срок: вся поставленная Продукция подлежит замене, ремонту за счет Поставщика в сроки, указанные в паспортах каждого наименования Продукции, но не менее чем в течение 12 (двенадцати) месяцев. Гарантия отдельным Гарантийным письмом Поставщика не подтверждается.</w:t>
      </w:r>
    </w:p>
    <w:p>
      <w:pPr>
        <w:pStyle w:val="Normal"/>
        <w:spacing w:lineRule="auto" w:line="240" w:before="0" w:after="0"/>
        <w:ind w:firstLine="708"/>
        <w:jc w:val="both"/>
        <w:rPr>
          <w:rFonts w:ascii="Times New Roman" w:hAnsi="Times New Roman" w:eastAsia="Times New Roman"/>
          <w:bCs/>
          <w:lang w:eastAsia="ru-RU"/>
        </w:rPr>
      </w:pPr>
      <w:r>
        <w:rPr>
          <w:rFonts w:eastAsia="Times New Roman" w:ascii="Times New Roman" w:hAnsi="Times New Roman"/>
          <w:bCs/>
          <w:lang w:eastAsia="ru-RU"/>
        </w:rPr>
        <w:t>Поставляемый товар должен быть новым, не должен ранее быть в эксплуатации, не должен иметь дефектов, связанных с материалами и/или работой по их изготовлению, либо проявляющихся в результате действия или упущения производителя и/или «Поставщика» при соблюдении «Государственным заказчиком» правил хранения и/или использования поставляемых товаров.</w:t>
      </w:r>
    </w:p>
    <w:p>
      <w:pPr>
        <w:pStyle w:val="Normal"/>
        <w:spacing w:lineRule="auto" w:line="240" w:before="0" w:after="0"/>
        <w:jc w:val="center"/>
        <w:rPr>
          <w:rFonts w:ascii="Times New Roman" w:hAnsi="Times New Roman" w:eastAsia="Times New Roman"/>
          <w:b/>
          <w:lang w:eastAsia="ru-RU"/>
        </w:rPr>
      </w:pPr>
      <w:r>
        <w:rPr>
          <w:rFonts w:eastAsia="Times New Roman" w:ascii="Times New Roman" w:hAnsi="Times New Roman"/>
          <w:b/>
          <w:lang w:eastAsia="ru-RU"/>
        </w:rPr>
        <w:t>4) Требования к безопасности:</w:t>
      </w:r>
    </w:p>
    <w:p>
      <w:pPr>
        <w:pStyle w:val="Normal"/>
        <w:spacing w:lineRule="auto" w:line="240" w:before="0" w:after="0"/>
        <w:ind w:firstLine="709"/>
        <w:jc w:val="both"/>
        <w:rPr>
          <w:rFonts w:ascii="Times New Roman" w:hAnsi="Times New Roman" w:eastAsia="Times New Roman"/>
          <w:spacing w:val="1"/>
          <w:shd w:fill="FFFFFF" w:val="clear"/>
          <w:lang w:eastAsia="ru-RU"/>
        </w:rPr>
      </w:pPr>
      <w:r>
        <w:rPr>
          <w:rFonts w:eastAsia="Times New Roman" w:ascii="Times New Roman" w:hAnsi="Times New Roman"/>
          <w:lang w:eastAsia="ru-RU"/>
        </w:rPr>
        <w:t>Поставщик обязан гарантировать Заказчику безопасность товара для здоровья людей, а так же окружающей среды при обычных условиях его использования.</w:t>
      </w:r>
      <w:r>
        <w:rPr>
          <w:rFonts w:eastAsia="Times New Roman" w:ascii="Times New Roman" w:hAnsi="Times New Roman"/>
          <w:spacing w:val="1"/>
          <w:shd w:fill="FFFFFF" w:val="clear"/>
          <w:lang w:eastAsia="ru-RU"/>
        </w:rPr>
        <w:t xml:space="preserve"> По показателям безопасности товар должен соответствовать правилам, нормативам и гигиеническим нормативам, действующим на территории стран СНГ.</w:t>
      </w:r>
    </w:p>
    <w:p>
      <w:pPr>
        <w:pStyle w:val="Normal"/>
        <w:spacing w:lineRule="auto" w:line="240" w:before="0" w:after="0"/>
        <w:jc w:val="center"/>
        <w:rPr>
          <w:rFonts w:ascii="Times New Roman" w:hAnsi="Times New Roman" w:eastAsia="Times New Roman"/>
          <w:b/>
          <w:lang w:eastAsia="ru-RU"/>
        </w:rPr>
      </w:pPr>
      <w:r>
        <w:rPr>
          <w:rFonts w:eastAsia="Times New Roman" w:ascii="Times New Roman" w:hAnsi="Times New Roman"/>
          <w:b/>
          <w:lang w:eastAsia="ru-RU"/>
        </w:rPr>
        <w:t>5) Требования к отгрузке:</w:t>
      </w:r>
    </w:p>
    <w:p>
      <w:pPr>
        <w:pStyle w:val="Normal"/>
        <w:spacing w:lineRule="auto" w:line="240" w:before="0" w:after="0"/>
        <w:ind w:firstLine="669"/>
        <w:jc w:val="both"/>
        <w:rPr>
          <w:rFonts w:ascii="Times New Roman" w:hAnsi="Times New Roman" w:eastAsia="Times New Roman"/>
          <w:lang w:eastAsia="ru-RU"/>
        </w:rPr>
      </w:pPr>
      <w:r>
        <w:rPr>
          <w:rFonts w:eastAsia="Times New Roman" w:ascii="Times New Roman" w:hAnsi="Times New Roman"/>
          <w:lang w:eastAsia="ru-RU"/>
        </w:rPr>
        <w:t xml:space="preserve">Поставляемый товар должен быть упакован и замаркирован в соответствии с действующими стандартами и техническими условиями. </w:t>
      </w:r>
    </w:p>
    <w:p>
      <w:pPr>
        <w:pStyle w:val="Normal"/>
        <w:widowControl w:val="false"/>
        <w:spacing w:lineRule="auto" w:line="240" w:before="0" w:after="0"/>
        <w:ind w:firstLine="708"/>
        <w:jc w:val="both"/>
        <w:rPr>
          <w:rFonts w:ascii="Times New Roman" w:hAnsi="Times New Roman" w:eastAsia="Times New Roman"/>
          <w:lang w:eastAsia="ru-RU"/>
        </w:rPr>
      </w:pPr>
      <w:r>
        <w:rPr>
          <w:rFonts w:eastAsia="Times New Roman" w:ascii="Times New Roman" w:hAnsi="Times New Roman"/>
          <w:lang w:eastAsia="ru-RU"/>
        </w:rPr>
        <w:t>Упаковка поставляемого товара должна соответствовать требованиям НТД на поставленный товар. Товар должен быть упакован в упаковку, обеспечивающую его целостность и сохранность при перевозке и хранении.</w:t>
      </w:r>
    </w:p>
    <w:tbl>
      <w:tblPr>
        <w:tblW w:w="9606" w:type="dxa"/>
        <w:jc w:val="left"/>
        <w:tblInd w:w="108" w:type="dxa"/>
        <w:tblLayout w:type="fixed"/>
        <w:tblCellMar>
          <w:top w:w="0" w:type="dxa"/>
          <w:left w:w="108" w:type="dxa"/>
          <w:bottom w:w="0" w:type="dxa"/>
          <w:right w:w="108" w:type="dxa"/>
        </w:tblCellMar>
        <w:tblLook w:val="04a0"/>
      </w:tblPr>
      <w:tblGrid>
        <w:gridCol w:w="2375"/>
        <w:gridCol w:w="2764"/>
        <w:gridCol w:w="2341"/>
        <w:gridCol w:w="2125"/>
      </w:tblGrid>
      <w:tr>
        <w:trPr/>
        <w:tc>
          <w:tcPr>
            <w:tcW w:w="5139" w:type="dxa"/>
            <w:gridSpan w:val="2"/>
            <w:tcBorders/>
          </w:tcPr>
          <w:p>
            <w:pPr>
              <w:pStyle w:val="Normal"/>
              <w:widowControl w:val="false"/>
              <w:spacing w:lineRule="auto" w:line="240" w:before="0" w:after="0"/>
              <w:rPr>
                <w:rFonts w:ascii="Times New Roman" w:hAnsi="Times New Roman" w:eastAsia="Times New Roman"/>
                <w:lang w:eastAsia="ru-RU"/>
              </w:rPr>
            </w:pPr>
            <w:r>
              <w:rPr>
                <w:rFonts w:eastAsia="Times New Roman" w:ascii="Times New Roman" w:hAnsi="Times New Roman"/>
                <w:lang w:eastAsia="ru-RU"/>
              </w:rPr>
              <w:t>Заказчик:</w:t>
            </w:r>
          </w:p>
          <w:p>
            <w:pPr>
              <w:pStyle w:val="Normal"/>
              <w:widowControl w:val="false"/>
              <w:spacing w:lineRule="auto" w:line="240" w:before="0" w:after="0"/>
              <w:rPr>
                <w:rFonts w:ascii="Times New Roman" w:hAnsi="Times New Roman" w:eastAsia="Times New Roman"/>
                <w:lang w:eastAsia="ru-RU"/>
              </w:rPr>
            </w:pPr>
            <w:r>
              <w:rPr>
                <w:rFonts w:eastAsia="Times New Roman" w:ascii="Times New Roman" w:hAnsi="Times New Roman"/>
                <w:lang w:eastAsia="ru-RU"/>
              </w:rPr>
              <w:t>УФСИН России по Кабардино-Балкарской Республике</w:t>
            </w:r>
          </w:p>
          <w:p>
            <w:pPr>
              <w:pStyle w:val="Normal"/>
              <w:widowControl w:val="false"/>
              <w:spacing w:lineRule="auto" w:line="240" w:before="0" w:after="0"/>
              <w:rPr>
                <w:rFonts w:ascii="Times New Roman" w:hAnsi="Times New Roman" w:eastAsia="Times New Roman"/>
                <w:lang w:eastAsia="ru-RU"/>
              </w:rPr>
            </w:pPr>
            <w:r>
              <w:rPr>
                <w:rFonts w:eastAsia="Times New Roman" w:ascii="Times New Roman" w:hAnsi="Times New Roman"/>
                <w:lang w:eastAsia="ru-RU"/>
              </w:rPr>
            </w:r>
          </w:p>
        </w:tc>
        <w:tc>
          <w:tcPr>
            <w:tcW w:w="4466" w:type="dxa"/>
            <w:gridSpan w:val="2"/>
            <w:tcBorders/>
          </w:tcPr>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Поставщик</w:t>
            </w:r>
            <w:r>
              <w:rPr>
                <w:rFonts w:eastAsia="Times New Roman" w:ascii="Times New Roman" w:hAnsi="Times New Roman"/>
                <w:bCs/>
                <w:lang w:eastAsia="ru-RU"/>
              </w:rPr>
              <w:t>:</w:t>
            </w:r>
          </w:p>
          <w:p>
            <w:pPr>
              <w:pStyle w:val="Normal"/>
              <w:widowControl w:val="false"/>
              <w:spacing w:lineRule="auto" w:line="240" w:before="0" w:after="0"/>
              <w:rPr>
                <w:rFonts w:ascii="Times New Roman" w:hAnsi="Times New Roman" w:eastAsia="Times New Roman"/>
                <w:bCs/>
                <w:lang w:eastAsia="ru-RU"/>
              </w:rPr>
            </w:pPr>
            <w:r>
              <w:rPr>
                <w:rFonts w:eastAsia="Times New Roman" w:ascii="Times New Roman" w:hAnsi="Times New Roman"/>
                <w:bCs/>
                <w:lang w:eastAsia="ru-RU"/>
              </w:rPr>
            </w:r>
          </w:p>
        </w:tc>
      </w:tr>
      <w:tr>
        <w:trPr>
          <w:trHeight w:val="69" w:hRule="atLeast"/>
        </w:trPr>
        <w:tc>
          <w:tcPr>
            <w:tcW w:w="2375" w:type="dxa"/>
            <w:tcBorders/>
          </w:tcPr>
          <w:p>
            <w:pPr>
              <w:pStyle w:val="Normal"/>
              <w:widowControl w:val="false"/>
              <w:spacing w:lineRule="auto" w:line="240" w:before="0" w:after="0"/>
              <w:rPr>
                <w:rFonts w:ascii="Times New Roman" w:hAnsi="Times New Roman" w:eastAsia="Times New Roman"/>
                <w:bCs/>
                <w:lang w:eastAsia="ru-RU"/>
              </w:rPr>
            </w:pPr>
            <w:r>
              <w:rPr>
                <w:rFonts w:eastAsia="Times New Roman" w:ascii="Times New Roman" w:hAnsi="Times New Roman"/>
                <w:lang w:eastAsia="ru-RU"/>
              </w:rPr>
              <w:t>_________________</w:t>
            </w:r>
          </w:p>
        </w:tc>
        <w:tc>
          <w:tcPr>
            <w:tcW w:w="2764" w:type="dxa"/>
            <w:tcBorders/>
          </w:tcPr>
          <w:p>
            <w:pPr>
              <w:pStyle w:val="Normal"/>
              <w:widowControl w:val="false"/>
              <w:spacing w:lineRule="auto" w:line="240" w:before="0" w:after="0"/>
              <w:rPr>
                <w:rFonts w:ascii="Times New Roman" w:hAnsi="Times New Roman" w:eastAsia="Times New Roman"/>
                <w:bCs/>
                <w:lang w:eastAsia="ru-RU"/>
              </w:rPr>
            </w:pPr>
            <w:r>
              <w:rPr>
                <w:rFonts w:eastAsia="Times New Roman" w:ascii="Times New Roman" w:hAnsi="Times New Roman"/>
                <w:bCs/>
                <w:lang w:eastAsia="ru-RU"/>
              </w:rPr>
              <w:t>Т.М. Шомахов</w:t>
            </w:r>
          </w:p>
        </w:tc>
        <w:tc>
          <w:tcPr>
            <w:tcW w:w="2341" w:type="dxa"/>
            <w:tcBorders/>
          </w:tcPr>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_________________</w:t>
            </w:r>
          </w:p>
        </w:tc>
        <w:tc>
          <w:tcPr>
            <w:tcW w:w="2125" w:type="dxa"/>
            <w:tcBorders/>
          </w:tcPr>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r>
          </w:p>
        </w:tc>
      </w:tr>
    </w:tbl>
    <w:p>
      <w:pPr>
        <w:pStyle w:val="ConsPlusNormal"/>
        <w:jc w:val="both"/>
        <w:rPr>
          <w:rFonts w:ascii="Times New Roman" w:hAnsi="Times New Roman" w:cs="Times New Roman"/>
        </w:rPr>
      </w:pPr>
      <w:r>
        <w:rPr>
          <w:rFonts w:cs="Times New Roman" w:ascii="Times New Roman" w:hAnsi="Times New Roman"/>
        </w:rPr>
      </w:r>
    </w:p>
    <w:sectPr>
      <w:type w:val="nextPage"/>
      <w:pgSz w:w="11906" w:h="16838"/>
      <w:pgMar w:left="1701" w:right="709"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ahoma">
    <w:charset w:val="01"/>
    <w:family w:val="swiss"/>
    <w:pitch w:val="default"/>
  </w:font>
  <w:font w:name="PT Astra Serif">
    <w:charset w:val="01"/>
    <w:family w:val="roman"/>
    <w:pitch w:val="default"/>
  </w:font>
  <w:font w:name="Courier New">
    <w:charset w:val="01"/>
    <w:family w:val="swiss"/>
    <w:pitch w:val="default"/>
  </w:font>
  <w:font w:name="Arial">
    <w:charset w:val="01"/>
    <w:family w:val="swiss"/>
    <w:pitch w:val="default"/>
  </w:font>
  <w:font w:name="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7"/>
      <w:numFmt w:val="decimal"/>
      <w:lvlText w:val="%1."/>
      <w:lvlJc w:val="left"/>
      <w:pPr>
        <w:tabs>
          <w:tab w:val="num" w:pos="0"/>
        </w:tabs>
        <w:ind w:left="360" w:hanging="360"/>
      </w:pPr>
      <w:rPr/>
    </w:lvl>
    <w:lvl w:ilvl="1">
      <w:start w:val="1"/>
      <w:numFmt w:val="decimal"/>
      <w:lvlText w:val="%1.%2."/>
      <w:lvlJc w:val="left"/>
      <w:pPr>
        <w:tabs>
          <w:tab w:val="num" w:pos="0"/>
        </w:tabs>
        <w:ind w:left="1020" w:hanging="360"/>
      </w:pPr>
      <w:rPr/>
    </w:lvl>
    <w:lvl w:ilvl="2">
      <w:start w:val="1"/>
      <w:numFmt w:val="decimal"/>
      <w:lvlText w:val="%1.%2.%3."/>
      <w:lvlJc w:val="left"/>
      <w:pPr>
        <w:tabs>
          <w:tab w:val="num" w:pos="0"/>
        </w:tabs>
        <w:ind w:left="2040" w:hanging="720"/>
      </w:pPr>
      <w:rPr/>
    </w:lvl>
    <w:lvl w:ilvl="3">
      <w:start w:val="1"/>
      <w:numFmt w:val="decimal"/>
      <w:lvlText w:val="%1.%2.%3.%4."/>
      <w:lvlJc w:val="left"/>
      <w:pPr>
        <w:tabs>
          <w:tab w:val="num" w:pos="0"/>
        </w:tabs>
        <w:ind w:left="2700" w:hanging="720"/>
      </w:pPr>
      <w:rPr/>
    </w:lvl>
    <w:lvl w:ilvl="4">
      <w:start w:val="1"/>
      <w:numFmt w:val="decimal"/>
      <w:lvlText w:val="%1.%2.%3.%4.%5."/>
      <w:lvlJc w:val="left"/>
      <w:pPr>
        <w:tabs>
          <w:tab w:val="num" w:pos="0"/>
        </w:tabs>
        <w:ind w:left="3720" w:hanging="1080"/>
      </w:pPr>
      <w:rPr/>
    </w:lvl>
    <w:lvl w:ilvl="5">
      <w:start w:val="1"/>
      <w:numFmt w:val="decimal"/>
      <w:lvlText w:val="%1.%2.%3.%4.%5.%6."/>
      <w:lvlJc w:val="left"/>
      <w:pPr>
        <w:tabs>
          <w:tab w:val="num" w:pos="0"/>
        </w:tabs>
        <w:ind w:left="4380" w:hanging="1080"/>
      </w:pPr>
      <w:rPr/>
    </w:lvl>
    <w:lvl w:ilvl="6">
      <w:start w:val="1"/>
      <w:numFmt w:val="decimal"/>
      <w:lvlText w:val="%1.%2.%3.%4.%5.%6.%7."/>
      <w:lvlJc w:val="left"/>
      <w:pPr>
        <w:tabs>
          <w:tab w:val="num" w:pos="0"/>
        </w:tabs>
        <w:ind w:left="5400" w:hanging="1440"/>
      </w:pPr>
      <w:rPr/>
    </w:lvl>
    <w:lvl w:ilvl="7">
      <w:start w:val="1"/>
      <w:numFmt w:val="decimal"/>
      <w:lvlText w:val="%1.%2.%3.%4.%5.%6.%7.%8."/>
      <w:lvlJc w:val="left"/>
      <w:pPr>
        <w:tabs>
          <w:tab w:val="num" w:pos="0"/>
        </w:tabs>
        <w:ind w:left="6060" w:hanging="1440"/>
      </w:pPr>
      <w:rPr/>
    </w:lvl>
    <w:lvl w:ilvl="8">
      <w:start w:val="1"/>
      <w:numFmt w:val="decimal"/>
      <w:lvlText w:val="%1.%2.%3.%4.%5.%6.%7.%8.%9."/>
      <w:lvlJc w:val="left"/>
      <w:pPr>
        <w:tabs>
          <w:tab w:val="num" w:pos="0"/>
        </w:tabs>
        <w:ind w:left="7080" w:hanging="1800"/>
      </w:pPr>
      <w:rPr/>
    </w:lvl>
  </w:abstractNum>
  <w:abstractNum w:abstractNumId="2">
    <w:lvl w:ilvl="0">
      <w:start w:val="1"/>
      <w:numFmt w:val="decimal"/>
      <w:lvlText w:val="%1."/>
      <w:lvlJc w:val="left"/>
      <w:pPr>
        <w:tabs>
          <w:tab w:val="num" w:pos="0"/>
        </w:tabs>
        <w:ind w:left="360" w:hanging="360"/>
      </w:pPr>
      <w:rPr/>
    </w:lvl>
    <w:lvl w:ilvl="1">
      <w:start w:val="8"/>
      <w:isLgl/>
      <w:numFmt w:val="decimal"/>
      <w:lvlText w:val="%1.%2"/>
      <w:lvlJc w:val="left"/>
      <w:pPr>
        <w:tabs>
          <w:tab w:val="num" w:pos="0"/>
        </w:tabs>
        <w:ind w:left="360" w:hanging="360"/>
      </w:pPr>
      <w:rPr/>
    </w:lvl>
    <w:lvl w:ilvl="2">
      <w:start w:val="1"/>
      <w:isLgl/>
      <w:numFmt w:val="decimal"/>
      <w:lvlText w:val="%1.%2.%3"/>
      <w:lvlJc w:val="left"/>
      <w:pPr>
        <w:tabs>
          <w:tab w:val="num" w:pos="0"/>
        </w:tabs>
        <w:ind w:left="720" w:hanging="720"/>
      </w:pPr>
      <w:rPr/>
    </w:lvl>
    <w:lvl w:ilvl="3">
      <w:start w:val="1"/>
      <w:isLgl/>
      <w:numFmt w:val="decimal"/>
      <w:lvlText w:val="%1.%2.%3.%4"/>
      <w:lvlJc w:val="left"/>
      <w:pPr>
        <w:tabs>
          <w:tab w:val="num" w:pos="0"/>
        </w:tabs>
        <w:ind w:left="720" w:hanging="720"/>
      </w:pPr>
      <w:rPr/>
    </w:lvl>
    <w:lvl w:ilvl="4">
      <w:start w:val="1"/>
      <w:isLgl/>
      <w:numFmt w:val="decimal"/>
      <w:lvlText w:val="%1.%2.%3.%4.%5"/>
      <w:lvlJc w:val="left"/>
      <w:pPr>
        <w:tabs>
          <w:tab w:val="num" w:pos="0"/>
        </w:tabs>
        <w:ind w:left="1080" w:hanging="1080"/>
      </w:pPr>
      <w:rPr/>
    </w:lvl>
    <w:lvl w:ilvl="5">
      <w:start w:val="1"/>
      <w:isLgl/>
      <w:numFmt w:val="decimal"/>
      <w:lvlText w:val="%1.%2.%3.%4.%5.%6"/>
      <w:lvlJc w:val="left"/>
      <w:pPr>
        <w:tabs>
          <w:tab w:val="num" w:pos="0"/>
        </w:tabs>
        <w:ind w:left="1080" w:hanging="1080"/>
      </w:pPr>
      <w:rPr/>
    </w:lvl>
    <w:lvl w:ilvl="6">
      <w:start w:val="1"/>
      <w:isLgl/>
      <w:numFmt w:val="decimal"/>
      <w:lvlText w:val="%1.%2.%3.%4.%5.%6.%7"/>
      <w:lvlJc w:val="left"/>
      <w:pPr>
        <w:tabs>
          <w:tab w:val="num" w:pos="0"/>
        </w:tabs>
        <w:ind w:left="1440" w:hanging="1440"/>
      </w:pPr>
      <w:rPr/>
    </w:lvl>
    <w:lvl w:ilvl="7">
      <w:start w:val="1"/>
      <w:isLgl/>
      <w:numFmt w:val="decimal"/>
      <w:lvlText w:val="%1.%2.%3.%4.%5.%6.%7.%8"/>
      <w:lvlJc w:val="left"/>
      <w:pPr>
        <w:tabs>
          <w:tab w:val="num" w:pos="0"/>
        </w:tabs>
        <w:ind w:left="1440" w:hanging="1440"/>
      </w:pPr>
      <w:rPr/>
    </w:lvl>
    <w:lvl w:ilvl="8">
      <w:start w:val="1"/>
      <w:isLgl/>
      <w:numFmt w:val="decimal"/>
      <w:lvlText w:val="%1.%2.%3.%4.%5.%6.%7.%8.%9"/>
      <w:lvlJc w:val="left"/>
      <w:pPr>
        <w:tabs>
          <w:tab w:val="num" w:pos="0"/>
        </w:tabs>
        <w:ind w:left="1800" w:hanging="180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2"/>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23068"/>
    <w:pPr>
      <w:widowControl/>
      <w:suppressAutoHyphens w:val="true"/>
      <w:bidi w:val="0"/>
      <w:spacing w:lineRule="auto" w:line="259" w:before="0" w:after="160"/>
      <w:jc w:val="left"/>
    </w:pPr>
    <w:rPr>
      <w:rFonts w:ascii="Calibri" w:hAnsi="Calibri" w:eastAsia="Calibri" w:cs="Times New Roman"/>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7457a5"/>
    <w:rPr>
      <w:color w:val="0000FF"/>
      <w:u w:val="single"/>
    </w:rPr>
  </w:style>
  <w:style w:type="character" w:styleId="Style14" w:customStyle="1">
    <w:name w:val="Без интервала Знак"/>
    <w:link w:val="NoSpacing"/>
    <w:uiPriority w:val="1"/>
    <w:qFormat/>
    <w:locked/>
    <w:rsid w:val="007457a5"/>
    <w:rPr>
      <w:sz w:val="22"/>
      <w:szCs w:val="22"/>
      <w:lang w:eastAsia="en-US" w:bidi="ar-SA"/>
    </w:rPr>
  </w:style>
  <w:style w:type="character" w:styleId="Style15" w:customStyle="1">
    <w:name w:val="Текст выноски Знак"/>
    <w:basedOn w:val="DefaultParagraphFont"/>
    <w:link w:val="BalloonText"/>
    <w:uiPriority w:val="99"/>
    <w:semiHidden/>
    <w:qFormat/>
    <w:rsid w:val="00253b22"/>
    <w:rPr>
      <w:rFonts w:ascii="Tahoma" w:hAnsi="Tahoma" w:cs="Tahoma"/>
      <w:sz w:val="16"/>
      <w:szCs w:val="16"/>
      <w:lang w:eastAsia="en-US"/>
    </w:rPr>
  </w:style>
  <w:style w:type="paragraph" w:styleId="Style16">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7">
    <w:name w:val="Указатель"/>
    <w:basedOn w:val="Normal"/>
    <w:qFormat/>
    <w:pPr>
      <w:suppressLineNumbers/>
    </w:pPr>
    <w:rPr>
      <w:rFonts w:ascii="PT Astra Serif" w:hAnsi="PT Astra Serif" w:cs="FreeSans"/>
    </w:rPr>
  </w:style>
  <w:style w:type="paragraph" w:styleId="user">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ConsPlusNormal" w:customStyle="1">
    <w:name w:val="ConsPlusNormal"/>
    <w:qFormat/>
    <w:rsid w:val="00c5579d"/>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ConsPlusNonformat" w:customStyle="1">
    <w:name w:val="ConsPlusNonformat"/>
    <w:qFormat/>
    <w:rsid w:val="00c5579d"/>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Title" w:customStyle="1">
    <w:name w:val="ConsPlusTitle"/>
    <w:qFormat/>
    <w:rsid w:val="00c5579d"/>
    <w:pPr>
      <w:widowControl w:val="false"/>
      <w:suppressAutoHyphens w:val="true"/>
      <w:bidi w:val="0"/>
      <w:spacing w:before="0" w:after="0"/>
      <w:jc w:val="left"/>
    </w:pPr>
    <w:rPr>
      <w:rFonts w:ascii="Calibri" w:hAnsi="Calibri" w:eastAsia="Times New Roman" w:cs="Calibri"/>
      <w:b/>
      <w:color w:val="auto"/>
      <w:kern w:val="0"/>
      <w:sz w:val="22"/>
      <w:szCs w:val="20"/>
      <w:lang w:val="ru-RU" w:eastAsia="ru-RU" w:bidi="ar-SA"/>
    </w:rPr>
  </w:style>
  <w:style w:type="paragraph" w:styleId="ConsPlusCell" w:customStyle="1">
    <w:name w:val="ConsPlusCell"/>
    <w:qFormat/>
    <w:rsid w:val="00c5579d"/>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DocList" w:customStyle="1">
    <w:name w:val="ConsPlusDocList"/>
    <w:qFormat/>
    <w:rsid w:val="00c5579d"/>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ConsPlusTitlePage" w:customStyle="1">
    <w:name w:val="ConsPlusTitlePage"/>
    <w:qFormat/>
    <w:rsid w:val="00c5579d"/>
    <w:pPr>
      <w:widowControl w:val="false"/>
      <w:suppressAutoHyphens w:val="true"/>
      <w:bidi w:val="0"/>
      <w:spacing w:before="0" w:after="0"/>
      <w:jc w:val="left"/>
    </w:pPr>
    <w:rPr>
      <w:rFonts w:ascii="Tahoma" w:hAnsi="Tahoma" w:eastAsia="Times New Roman" w:cs="Tahoma"/>
      <w:color w:val="auto"/>
      <w:kern w:val="0"/>
      <w:sz w:val="20"/>
      <w:szCs w:val="20"/>
      <w:lang w:val="ru-RU" w:eastAsia="ru-RU" w:bidi="ar-SA"/>
    </w:rPr>
  </w:style>
  <w:style w:type="paragraph" w:styleId="ConsPlusJurTerm" w:customStyle="1">
    <w:name w:val="ConsPlusJurTerm"/>
    <w:qFormat/>
    <w:rsid w:val="00c5579d"/>
    <w:pPr>
      <w:widowControl w:val="false"/>
      <w:suppressAutoHyphens w:val="true"/>
      <w:bidi w:val="0"/>
      <w:spacing w:before="0" w:after="0"/>
      <w:jc w:val="left"/>
    </w:pPr>
    <w:rPr>
      <w:rFonts w:ascii="Tahoma" w:hAnsi="Tahoma" w:eastAsia="Times New Roman" w:cs="Tahoma"/>
      <w:color w:val="auto"/>
      <w:kern w:val="0"/>
      <w:sz w:val="26"/>
      <w:szCs w:val="20"/>
      <w:lang w:val="ru-RU" w:eastAsia="ru-RU" w:bidi="ar-SA"/>
    </w:rPr>
  </w:style>
  <w:style w:type="paragraph" w:styleId="ConsPlusTextList" w:customStyle="1">
    <w:name w:val="ConsPlusTextList"/>
    <w:qFormat/>
    <w:rsid w:val="00c5579d"/>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NoSpacing">
    <w:name w:val="No Spacing"/>
    <w:link w:val="Style14"/>
    <w:uiPriority w:val="1"/>
    <w:qFormat/>
    <w:rsid w:val="007457a5"/>
    <w:pPr>
      <w:widowControl/>
      <w:suppressAutoHyphens w:val="true"/>
      <w:bidi w:val="0"/>
      <w:spacing w:before="0" w:after="0"/>
      <w:jc w:val="left"/>
    </w:pPr>
    <w:rPr>
      <w:rFonts w:ascii="Calibri" w:hAnsi="Calibri" w:eastAsia="Calibri" w:cs="Times New Roman"/>
      <w:color w:val="auto"/>
      <w:kern w:val="0"/>
      <w:sz w:val="22"/>
      <w:szCs w:val="22"/>
      <w:lang w:val="ru-RU" w:eastAsia="en-US" w:bidi="ar-SA"/>
    </w:rPr>
  </w:style>
  <w:style w:type="paragraph" w:styleId="BalloonText">
    <w:name w:val="Balloon Text"/>
    <w:basedOn w:val="Normal"/>
    <w:link w:val="Style15"/>
    <w:uiPriority w:val="99"/>
    <w:semiHidden/>
    <w:unhideWhenUsed/>
    <w:qFormat/>
    <w:rsid w:val="00253b22"/>
    <w:pPr>
      <w:spacing w:lineRule="auto" w:line="240" w:before="0" w:after="0"/>
    </w:pPr>
    <w:rPr>
      <w:rFonts w:ascii="Tahoma" w:hAnsi="Tahoma" w:cs="Tahoma"/>
      <w:sz w:val="16"/>
      <w:szCs w:val="16"/>
    </w:rPr>
  </w:style>
  <w:style w:type="paragraph" w:styleId="form-value" w:customStyle="1">
    <w:name w:val="form-value"/>
    <w:basedOn w:val="Normal"/>
    <w:qFormat/>
    <w:rsid w:val="00dc483a"/>
    <w:pPr>
      <w:spacing w:lineRule="auto" w:line="240" w:beforeAutospacing="1" w:afterAutospacing="1"/>
    </w:pPr>
    <w:rPr>
      <w:rFonts w:ascii="Times New Roman" w:hAnsi="Times New Roman" w:eastAsia="Times New Roman"/>
      <w:sz w:val="24"/>
      <w:szCs w:val="24"/>
      <w:lang w:eastAsia="ru-RU"/>
    </w:rPr>
  </w:style>
  <w:style w:type="numbering" w:styleId="user2" w:default="1">
    <w:name w:val="Без списка (user)"/>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82E9CC4CCC6932545801925E3B536176E50B53C1FD70BD7655CABC93DB89C27024180C10398FB96372E7F1F5737VEP" TargetMode="External"/><Relationship Id="rId3" Type="http://schemas.openxmlformats.org/officeDocument/2006/relationships/hyperlink" Target="consultantplus://offline/ref=782E9CC4CCC6932545801925E3B536176E50B53C1FD70BD7655CABC93DB89C271041D8CD0197EEC2617428125779CB07805FED4BE83BV7P" TargetMode="External"/><Relationship Id="rId4" Type="http://schemas.openxmlformats.org/officeDocument/2006/relationships/hyperlink" Target="consultantplus://offline/ref=782E9CC4CCC6932545801925E3B536176E50B53C1FD70BD7655CABC93DB89C27024180C10398FB96372E7F1F5737VEP" TargetMode="External"/><Relationship Id="rId5" Type="http://schemas.openxmlformats.org/officeDocument/2006/relationships/hyperlink" Target="consultantplus://offline/ref=782E9CC4CCC6932545801925E3B536176E50B53C1FD70BD7655CABC93DB89C27024180C10398FB96372E7F1F5737VEP" TargetMode="External"/><Relationship Id="rId6" Type="http://schemas.openxmlformats.org/officeDocument/2006/relationships/hyperlink" Target="consultantplus://offline/ref=782E9CC4CCC6932545801925E3B536176E57B6381BDA0BD7655CABC93DB89C271041D8CF0ACBB4D2653D7F184B7ED2198541ED34VBP" TargetMode="External"/><Relationship Id="rId7" Type="http://schemas.openxmlformats.org/officeDocument/2006/relationships/hyperlink" Target="consultantplus://offline/ref=782E9CC4CCC6932545801925E3B536176E57B6381BDA0BD7655CABC93DB89C271041D8CF0ACBB4D2653D7F184B7ED2198541ED34VBP" TargetMode="External"/><Relationship Id="rId8" Type="http://schemas.openxmlformats.org/officeDocument/2006/relationships/hyperlink" Target="consultantplus://offline/ref=782E9CC4CCC6932545801925E3B536176E57B6381BDA0BD7655CABC93DB89C271041D8CF0ACBB4D2653D7F184B7ED2198541ED34VBP" TargetMode="External"/><Relationship Id="rId9" Type="http://schemas.openxmlformats.org/officeDocument/2006/relationships/hyperlink" Target="consultantplus://offline/ref=782E9CC4CCC6932545801925E3B536176E50B53C1FD70BD7655CABC93DB89C271041D8CD019EE29F343B294E112BD805805FEF4CF4B5672237V6P" TargetMode="External"/><Relationship Id="rId10" Type="http://schemas.openxmlformats.org/officeDocument/2006/relationships/hyperlink" Target="consultantplus://offline/ref=782E9CC4CCC6932545801925E3B536176E50B53C1FD70BD7655CABC93DB89C271041D8CD019EE692303B294E112BD805805FEF4CF4B5672237V6P" TargetMode="External"/><Relationship Id="rId11" Type="http://schemas.openxmlformats.org/officeDocument/2006/relationships/hyperlink" Target="consultantplus://offline/ref=782E9CC4CCC6932545801925E3B536176E50B53C1FD70BD7655CABC93DB89C271041D8CD019EE696393B294E112BD805805FEF4CF4B5672237V6P" TargetMode="Externa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TotalTime>
  <Application>LibreOffice/25.2.3.2$Linux_X86_64 LibreOffice_project/520$Build-2</Application>
  <AppVersion>15.0000</AppVersion>
  <Pages>8</Pages>
  <Words>2991</Words>
  <Characters>21165</Characters>
  <CharactersWithSpaces>24012</CharactersWithSpaces>
  <Paragraphs>186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2026-09-14T07:52:00Z</dcterms:created>
  <dc:creator>Шишова Анастасия</dc:creator>
  <dc:description/>
  <dc:language>ru-RU</dc:language>
  <cp:lastModifiedBy/>
  <cp:lastPrinted>2026-10-08T09:45:00Z</cp:lastPrinted>
  <dcterms:modified xsi:type="dcterms:W3CDTF">2026-10-14T09:06:32Z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