
<file path=[Content_Types].xml><?xml version="1.0" encoding="utf-8"?>
<Types xmlns="http://schemas.openxmlformats.org/package/2006/content-types">
  <Default Extension="svg" ContentType="image/svg+xml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608"/>
      </w:tblGrid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452" w:type="dxa"/>
            <w:vAlign w:val="bottom"/>
            <w:textDirection w:val="lrTb"/>
            <w:noWrap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"УТВЕРЖДАЮ"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452" w:type="dxa"/>
            <w:vAlign w:val="bottom"/>
            <w:textDirection w:val="lrTb"/>
            <w:noWrap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Д</w:t>
            </w:r>
            <w:r>
              <w:rPr>
                <w:color w:val="000000"/>
              </w:rPr>
              <w:t xml:space="preserve">иректор Псковского филиала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452" w:type="dxa"/>
            <w:vAlign w:val="bottom"/>
            <w:textDirection w:val="lrTb"/>
            <w:noWrap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        ФГКУ Росгранстрой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452" w:type="dxa"/>
            <w:vAlign w:val="bottom"/>
            <w:textDirection w:val="lrTb"/>
            <w:noWrap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>
              <w:rPr>
                <w:color w:val="000000"/>
              </w:rPr>
              <w:t xml:space="preserve">_______________ </w:t>
            </w:r>
            <w:r>
              <w:rPr>
                <w:color w:val="000000"/>
              </w:rPr>
              <w:t xml:space="preserve">В.В. </w:t>
            </w:r>
            <w:r>
              <w:rPr>
                <w:color w:val="000000"/>
              </w:rPr>
              <w:t xml:space="preserve">Загинайло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315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452" w:type="dxa"/>
            <w:vAlign w:val="bottom"/>
            <w:textDirection w:val="lrTb"/>
            <w:noWrap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>
              <w:rPr>
                <w:color w:val="000000"/>
              </w:rPr>
              <w:t xml:space="preserve">" ____ " _____________  20</w:t>
            </w:r>
            <w:r>
              <w:rPr>
                <w:color w:val="000000"/>
              </w:rPr>
              <w:t xml:space="preserve">2</w:t>
            </w:r>
            <w:r>
              <w:rPr>
                <w:color w:val="000000"/>
              </w:rPr>
              <w:t xml:space="preserve">6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г.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jc w:val="right"/>
              <w:rPr>
                <w:color w:val="000000"/>
                <w:sz w:val="12"/>
              </w:rPr>
            </w:pPr>
            <w:r>
              <w:rPr>
                <w:color w:val="000000"/>
                <w:sz w:val="12"/>
              </w:rPr>
            </w:r>
            <w:r>
              <w:rPr>
                <w:color w:val="000000"/>
                <w:sz w:val="12"/>
              </w:rPr>
            </w:r>
            <w:r>
              <w:rPr>
                <w:color w:val="000000"/>
                <w:sz w:val="12"/>
              </w:rPr>
            </w:r>
          </w:p>
        </w:tc>
      </w:tr>
    </w:tbl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ОБОСНОВАНИЕ</w:t>
      </w:r>
      <w:r>
        <w:rPr>
          <w:b/>
          <w:sz w:val="28"/>
          <w:szCs w:val="28"/>
        </w:rPr>
        <w:t xml:space="preserve"> ЦЕНЫ КОНТРАКТА, ЗАКЛЮЧАЕМОГО С ЕДИНСТВЕННЫМ ИСПОЛНИТЕЛЕМ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 xml:space="preserve">на о</w:t>
      </w:r>
      <w:r>
        <w:rPr>
          <w:b/>
          <w:color w:val="000000"/>
          <w:u w:val="single"/>
        </w:rPr>
        <w:t xml:space="preserve">казание услуг по </w:t>
      </w:r>
      <w:r>
        <w:rPr>
          <w:b/>
          <w:color w:val="000000"/>
          <w:u w:val="single"/>
        </w:rPr>
        <w:t xml:space="preserve">проведению санитарно-эпидемиологической экспертизы на хранение источников ионизирующего излучения в составе ПИДК на МАПП Бурачки</w:t>
      </w:r>
      <w:r>
        <w:rPr>
          <w:b/>
          <w:color w:val="000000"/>
          <w:u w:val="single"/>
        </w:rPr>
      </w:r>
      <w:r>
        <w:rPr>
          <w:b/>
          <w:color w:val="000000"/>
          <w:u w:val="single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W w:w="15608" w:type="dxa"/>
        <w:tblInd w:w="43" w:type="dxa"/>
        <w:tblLayout w:type="fixed"/>
        <w:tblLook w:val="04A0" w:firstRow="1" w:lastRow="0" w:firstColumn="1" w:lastColumn="0" w:noHBand="0" w:noVBand="1"/>
      </w:tblPr>
      <w:tblGrid>
        <w:gridCol w:w="2333"/>
        <w:gridCol w:w="13275"/>
      </w:tblGrid>
      <w:tr>
        <w:tblPrEx/>
        <w:trPr>
          <w:trHeight w:val="90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2333" w:type="dxa"/>
            <w:textDirection w:val="lrTb"/>
            <w:noWrap/>
          </w:tcPr>
          <w:p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Предмет государственного контракта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13275" w:type="dxa"/>
            <w:textDirection w:val="lrTb"/>
            <w:noWrap w:val="false"/>
          </w:tcPr>
          <w:p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rPr>
                <w:b/>
                <w:color w:val="000000"/>
                <w:u w:val="single"/>
              </w:rPr>
            </w:pPr>
            <w:r>
              <w:rPr>
                <w:color w:val="000000"/>
                <w:sz w:val="22"/>
                <w:szCs w:val="22"/>
              </w:rPr>
              <w:t xml:space="preserve">Оказание услуг </w:t>
            </w:r>
            <w:r>
              <w:rPr>
                <w:color w:val="000000"/>
                <w:sz w:val="22"/>
                <w:szCs w:val="22"/>
              </w:rPr>
              <w:t xml:space="preserve">по проведению санитарно-эпидемиологической экспертизы на хранение источников ионизирующего излучения в составе ПИДК на МАПП Бурачки</w:t>
            </w:r>
            <w:r>
              <w:rPr>
                <w:b/>
                <w:color w:val="000000"/>
                <w:u w:val="single"/>
              </w:rPr>
            </w:r>
            <w:r>
              <w:rPr>
                <w:b/>
                <w:color w:val="000000"/>
                <w:u w:val="single"/>
              </w:rPr>
            </w:r>
          </w:p>
          <w:p>
            <w:pPr>
              <w:ind w:left="5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214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2333" w:type="dxa"/>
            <w:textDirection w:val="lrTb"/>
            <w:noWrap/>
          </w:tcPr>
          <w:p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Основные характеристики объекта закупки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13275" w:type="dxa"/>
            <w:textDirection w:val="lrTb"/>
            <w:noWrap w:val="false"/>
          </w:tcPr>
          <w:p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Оказание услуг по проведению санитарно-эпидемиологической экспертизы на хранение источников ионизирующего излучения в составе ПИДК на МАПП Бурачки в соответствии с описанием объета закупки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jc w:val="both"/>
            </w:pPr>
            <w:r>
              <w:t xml:space="preserve">Наименование объекта: </w:t>
            </w:r>
            <w:r>
              <w:t xml:space="preserve">Источник ионизирующего излучения</w:t>
            </w:r>
            <w:r>
              <w:t xml:space="preserve">, линейный ускоритель электронов модель УЭРЛ (ТУ) в составе портальных инспекционно-досмотровых комплексов СТ-2630П в количестве 2 штук.</w:t>
            </w:r>
            <w:r/>
          </w:p>
          <w:p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rPr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</w:rPr>
              <w:t xml:space="preserve">ОКПД: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u w:val="single"/>
              </w:rPr>
              <w:t xml:space="preserve">71.20.12.000</w:t>
            </w:r>
            <w:r>
              <w:rPr>
                <w:sz w:val="22"/>
                <w:szCs w:val="22"/>
                <w:u w:val="single"/>
              </w:rPr>
              <w:t xml:space="preserve"> - Услуги </w:t>
            </w:r>
            <w:r>
              <w:rPr>
                <w:sz w:val="22"/>
                <w:szCs w:val="22"/>
                <w:u w:val="single"/>
              </w:rPr>
              <w:t xml:space="preserve">в области испытаний, исследовани и анализа физико-механических свойств материалов и веществ</w:t>
            </w:r>
            <w:r>
              <w:rPr>
                <w:sz w:val="22"/>
                <w:szCs w:val="22"/>
                <w:u w:val="single"/>
              </w:rPr>
            </w:r>
            <w:r>
              <w:rPr>
                <w:sz w:val="22"/>
                <w:szCs w:val="22"/>
                <w:u w:val="single"/>
              </w:rPr>
            </w:r>
          </w:p>
          <w:p>
            <w:pPr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КТРУ: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u w:val="single"/>
              </w:rPr>
              <w:t xml:space="preserve">отсутствует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ind w:left="5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Срок оказания услуг: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60 календарных дней </w:t>
            </w:r>
            <w:r>
              <w:rPr>
                <w:sz w:val="22"/>
                <w:szCs w:val="22"/>
              </w:rPr>
              <w:t xml:space="preserve">с даты заключения контракта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ind w:left="5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Места оказания услуг: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МАПП </w:t>
            </w:r>
            <w:r>
              <w:rPr>
                <w:color w:val="000000" w:themeColor="text1"/>
              </w:rPr>
              <w:t xml:space="preserve">Бурачки</w:t>
            </w:r>
            <w:r>
              <w:rPr>
                <w:color w:val="000000" w:themeColor="text1"/>
              </w:rPr>
              <w:t xml:space="preserve">: </w:t>
            </w:r>
            <w:r>
              <w:t xml:space="preserve">Россий</w:t>
            </w:r>
            <w:r>
              <w:t xml:space="preserve">ская Федерация, </w:t>
            </w:r>
            <w:r>
              <w:t xml:space="preserve">обл</w:t>
            </w:r>
            <w:r>
              <w:t xml:space="preserve"> Псковская, </w:t>
            </w:r>
            <w:r>
              <w:t xml:space="preserve">м.р</w:t>
            </w:r>
            <w:r>
              <w:t xml:space="preserve">-н </w:t>
            </w:r>
            <w:r>
              <w:t xml:space="preserve">Себежский</w:t>
            </w:r>
            <w:r>
              <w:t xml:space="preserve">, </w:t>
            </w:r>
            <w:r>
              <w:t xml:space="preserve">г.п</w:t>
            </w:r>
            <w:r>
              <w:t xml:space="preserve">. Сосновый Бор, тер Бурачки.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Объем оказываемых</w:t>
            </w:r>
            <w:r>
              <w:rPr>
                <w:b/>
                <w:sz w:val="22"/>
                <w:szCs w:val="22"/>
              </w:rPr>
              <w:t xml:space="preserve"> услуг: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объем услуг, предусмотренный описанием объекта закупки, составляет </w:t>
            </w:r>
            <w:r>
              <w:rPr>
                <w:sz w:val="22"/>
                <w:szCs w:val="22"/>
              </w:rPr>
              <w:t xml:space="preserve">1 усл.ед.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>
          <w:trHeight w:val="593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2333" w:type="dxa"/>
            <w:textDirection w:val="lrTb"/>
            <w:noWrap/>
          </w:tcPr>
          <w:p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Используемый метод определения НМЦК с обоснованием: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13275" w:type="dxa"/>
            <w:textDirection w:val="lrTb"/>
            <w:noWrap w:val="false"/>
          </w:tcPr>
          <w:p>
            <w:pPr>
              <w:ind w:right="331"/>
              <w:jc w:val="both"/>
              <w:tabs>
                <w:tab w:val="left" w:pos="14620" w:leader="none"/>
                <w:tab w:val="left" w:pos="15148" w:leader="none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Обоснование начальной (максимальной) цены контра</w:t>
            </w:r>
            <w:r>
              <w:rPr>
                <w:color w:val="000000"/>
                <w:sz w:val="22"/>
                <w:szCs w:val="22"/>
              </w:rPr>
              <w:t xml:space="preserve">кта (НМЦК) произведено в соответствии с положениями ст. 22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нужд», в соответствии с приказом Министерст</w:t>
            </w:r>
            <w:r>
              <w:rPr>
                <w:color w:val="000000"/>
                <w:sz w:val="22"/>
                <w:szCs w:val="22"/>
              </w:rPr>
              <w:t xml:space="preserve">ва экономического развития РФ от 02.10.2013 г.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исполнителем)».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ind w:right="331"/>
              <w:jc w:val="both"/>
              <w:tabs>
                <w:tab w:val="left" w:pos="14620" w:leader="none"/>
                <w:tab w:val="left" w:pos="15148" w:leader="none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Для анализа использованы коммерческие предложения потенциальных исполнителей на соответствующий период.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Метод сопоставимых рыночных цен (анализ рынка). Анализ рынка позволяет сделать вывод, что представленны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 в ценовых предложениях </w:t>
            </w:r>
            <w:r>
              <w:rPr>
                <w:sz w:val="22"/>
                <w:szCs w:val="22"/>
              </w:rPr>
              <w:t xml:space="preserve">услуги являю</w:t>
            </w:r>
            <w:r>
              <w:rPr>
                <w:sz w:val="22"/>
                <w:szCs w:val="22"/>
              </w:rPr>
              <w:t xml:space="preserve">тся идентичными.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593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2333" w:type="dxa"/>
            <w:textDirection w:val="lrTb"/>
            <w:noWrap/>
          </w:tcPr>
          <w:p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Расчёт ЦК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13275" w:type="dxa"/>
            <w:textDirection w:val="lrTb"/>
            <w:noWrap w:val="false"/>
          </w:tcPr>
          <w:p>
            <w:pPr>
              <w:ind w:left="57" w:right="57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Расчёт начальной (максимальной) цены контракта основан на ценовых предложениях, полученных по запросу заказчика:</w:t>
            </w:r>
            <w:r>
              <w:rPr>
                <w:b/>
                <w:sz w:val="22"/>
                <w:szCs w:val="22"/>
                <w:lang w:eastAsia="en-US"/>
              </w:rPr>
            </w:r>
            <w:r>
              <w:rPr>
                <w:b/>
                <w:sz w:val="22"/>
                <w:szCs w:val="22"/>
                <w:lang w:eastAsia="en-US"/>
              </w:rPr>
            </w:r>
          </w:p>
          <w:p>
            <w:pPr>
              <w:ind w:left="57" w:right="57"/>
              <w:jc w:val="both"/>
              <w:rPr>
                <w:sz w:val="22"/>
                <w:szCs w:val="22"/>
                <w:u w:val="single"/>
                <w:lang w:eastAsia="en-US"/>
              </w:rPr>
            </w:pPr>
            <w:r>
              <w:rPr>
                <w:sz w:val="22"/>
                <w:szCs w:val="22"/>
                <w:u w:val="single"/>
                <w:lang w:eastAsia="en-US"/>
              </w:rPr>
              <w:t xml:space="preserve">1. Этап I - расчёт коэффициента вариации:</w:t>
            </w:r>
            <w:r>
              <w:rPr>
                <w:sz w:val="22"/>
                <w:szCs w:val="22"/>
                <w:u w:val="single"/>
                <w:lang w:eastAsia="en-US"/>
              </w:rPr>
            </w:r>
            <w:r>
              <w:rPr>
                <w:sz w:val="22"/>
                <w:szCs w:val="22"/>
                <w:u w:val="single"/>
                <w:lang w:eastAsia="en-US"/>
              </w:rPr>
            </w:r>
          </w:p>
          <w:p>
            <w:pPr>
              <w:ind w:left="57" w:right="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 целях определения однородности совокупности значений выявленных цен, используемых в расчёте НМЦК, необходимо определить коэффициент вариации. Коэффициент вариации цены определяется по следующей формуле: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  <w:p>
            <w:pPr>
              <w:ind w:right="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181100" cy="419100"/>
                      <wp:effectExtent l="0" t="0" r="0" b="0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>
                                <a:lum contrast="10000"/>
                                <a:extLst>
                                  <a:ext uri="{96DAC541-7B7A-43D3-8B79-37D633B846F1}">
                                    <asvg:svgBlip xmlns:asvg="http://schemas.microsoft.com/office/drawing/2016/SVG/main" r:embed="rId12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1181099" cy="4191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93.00pt;height:33.00pt;mso-wrap-distance-left:0.00pt;mso-wrap-distance-top:0.00pt;mso-wrap-distance-right:0.00pt;mso-wrap-distance-bottom:0.00pt;" stroked="f" strokeweight="0.75pt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sz w:val="22"/>
                <w:szCs w:val="22"/>
                <w:lang w:eastAsia="en-US"/>
              </w:rPr>
              <w:t xml:space="preserve">, где: V - коэффициент вариации;</w:t>
            </w:r>
            <w:r>
              <w:rPr>
                <w:sz w:val="22"/>
                <w:szCs w:val="2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352550" cy="467245"/>
                      <wp:effectExtent l="0" t="0" r="0" b="9525"/>
                      <wp:docPr id="2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2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3">
                                <a:extLst>
                                  <a:ext uri="{96DAC541-7B7A-43D3-8B79-37D633B846F1}">
                                    <asvg:svgBlip xmlns:asvg="http://schemas.microsoft.com/office/drawing/2016/SVG/main" r:embed="rId14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1360238" cy="46990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06.50pt;height:36.79pt;mso-wrap-distance-left:0.00pt;mso-wrap-distance-top:0.00pt;mso-wrap-distance-right:0.00pt;mso-wrap-distance-bottom:0.00pt;" stroked="f" strokeweight="0.75pt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rPr>
                <w:sz w:val="22"/>
                <w:szCs w:val="22"/>
                <w:lang w:eastAsia="en-US"/>
              </w:rPr>
              <w:t xml:space="preserve"> - среднее квадратичное отклонение;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  <w:p>
            <w:pPr>
              <w:ind w:right="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2400" cy="219075"/>
                      <wp:effectExtent l="19050" t="0" r="0" b="0"/>
                      <wp:docPr id="3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5">
                                <a:extLst>
                                  <a:ext uri="{96DAC541-7B7A-43D3-8B79-37D633B846F1}">
                                    <asvg:svgBlip xmlns:asvg="http://schemas.microsoft.com/office/drawing/2016/SVG/main" r:embed="rId16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400" cy="21907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2.00pt;height:17.25pt;mso-wrap-distance-left:0.00pt;mso-wrap-distance-top:0.00pt;mso-wrap-distance-right:0.00pt;mso-wrap-distance-bottom:0.00pt;" stroked="f" strokeweight="0.75pt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rPr>
                <w:sz w:val="22"/>
                <w:szCs w:val="22"/>
                <w:lang w:eastAsia="en-US"/>
              </w:rPr>
              <w:t xml:space="preserve"> - цена единицы</w:t>
            </w:r>
            <w:r>
              <w:rPr>
                <w:sz w:val="22"/>
                <w:szCs w:val="22"/>
                <w:lang w:eastAsia="en-US"/>
              </w:rPr>
              <w:t xml:space="preserve"> Услуги</w:t>
            </w:r>
            <w:r>
              <w:rPr>
                <w:sz w:val="22"/>
                <w:szCs w:val="22"/>
                <w:lang w:eastAsia="en-US"/>
              </w:rPr>
              <w:t xml:space="preserve">, указанная в источнике с номером i; 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  <w:p>
            <w:pPr>
              <w:ind w:right="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&lt;ц&gt; - средняя арифметическая величина цены единицы Услуги; 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  <w:p>
            <w:pPr>
              <w:ind w:right="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n - количество значений, используемых в расчёте. 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  <w:p>
            <w:pPr>
              <w:ind w:left="57" w:right="57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</w:r>
            <w:r>
              <w:rPr>
                <w:b/>
                <w:sz w:val="22"/>
                <w:szCs w:val="22"/>
                <w:lang w:eastAsia="en-US"/>
              </w:rPr>
            </w:r>
            <w:r>
              <w:rPr>
                <w:b/>
                <w:sz w:val="22"/>
                <w:szCs w:val="22"/>
                <w:lang w:eastAsia="en-US"/>
              </w:rPr>
            </w:r>
          </w:p>
          <w:p>
            <w:pPr>
              <w:ind w:right="57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1.1</w:t>
            </w:r>
            <w:r>
              <w:rPr>
                <w:b/>
                <w:sz w:val="22"/>
                <w:szCs w:val="22"/>
                <w:lang w:eastAsia="en-US"/>
              </w:rPr>
              <w:t xml:space="preserve"> Расчет коэффициента вариации</w:t>
            </w:r>
            <w:r>
              <w:rPr>
                <w:b/>
                <w:sz w:val="22"/>
                <w:szCs w:val="22"/>
                <w:lang w:eastAsia="en-US"/>
              </w:rPr>
              <w:t xml:space="preserve"> (цены единицы услуги)</w:t>
            </w:r>
            <w:r>
              <w:rPr>
                <w:b/>
                <w:sz w:val="22"/>
                <w:szCs w:val="22"/>
                <w:lang w:eastAsia="en-US"/>
              </w:rPr>
            </w:r>
            <w:r>
              <w:rPr>
                <w:b/>
                <w:sz w:val="22"/>
                <w:szCs w:val="22"/>
                <w:lang w:eastAsia="en-US"/>
              </w:rPr>
            </w:r>
          </w:p>
          <w:tbl>
            <w:tblPr>
              <w:tblW w:w="13090" w:type="dxa"/>
              <w:tblLayout w:type="fixed"/>
              <w:tblLook w:val="04A0" w:firstRow="1" w:lastRow="0" w:firstColumn="1" w:lastColumn="0" w:noHBand="0" w:noVBand="1"/>
            </w:tblPr>
            <w:tblGrid>
              <w:gridCol w:w="577"/>
              <w:gridCol w:w="2057"/>
              <w:gridCol w:w="815"/>
              <w:gridCol w:w="1581"/>
              <w:gridCol w:w="1621"/>
              <w:gridCol w:w="2022"/>
              <w:gridCol w:w="1711"/>
              <w:gridCol w:w="1358"/>
              <w:gridCol w:w="1350"/>
            </w:tblGrid>
            <w:tr>
              <w:tblPrEx/>
              <w:trPr>
                <w:cantSplit/>
                <w:trHeight w:val="1423"/>
              </w:trPr>
              <w:tc>
                <w:tcPr>
                  <w:shd w:val="clear" w:color="auto" w:fill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602" w:type="dxa"/>
                  <w:vAlign w:val="center"/>
                  <w:textDirection w:val="lrTb"/>
                  <w:noWrap w:val="false"/>
                </w:tcPr>
                <w:p>
                  <w:pPr>
                    <w:jc w:val="center"/>
                    <w:widowControl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 xml:space="preserve">№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057" w:type="dxa"/>
                  <w:vAlign w:val="center"/>
                  <w:textDirection w:val="lrTb"/>
                  <w:noWrap w:val="false"/>
                </w:tcPr>
                <w:p>
                  <w:pPr>
                    <w:jc w:val="center"/>
                    <w:widowControl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 xml:space="preserve">Наименование услуги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851" w:type="dxa"/>
                  <w:vAlign w:val="center"/>
                  <w:textDirection w:val="lrTb"/>
                  <w:noWrap w:val="false"/>
                </w:tcPr>
                <w:p>
                  <w:pPr>
                    <w:jc w:val="center"/>
                    <w:widowControl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 xml:space="preserve">Кол-во 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650" w:type="dxa"/>
                  <w:vAlign w:val="center"/>
                  <w:textDirection w:val="lrTb"/>
                  <w:noWrap w:val="false"/>
                </w:tcPr>
                <w:p>
                  <w:pPr>
                    <w:jc w:val="center"/>
                    <w:widowControl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 xml:space="preserve">Ценовое предложение № 1, цена за единицу услуги (руб./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 xml:space="preserve">усл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 xml:space="preserve">.) 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</w:r>
                </w:p>
                <w:p>
                  <w:pPr>
                    <w:jc w:val="center"/>
                    <w:widowControl/>
                    <w:rPr>
                      <w:b w:val="0"/>
                      <w:bCs w:val="0"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</w:r>
                  <w:r>
                    <w:rPr>
                      <w:b w:val="0"/>
                      <w:bCs w:val="0"/>
                      <w:color w:val="000000"/>
                      <w:sz w:val="22"/>
                      <w:szCs w:val="22"/>
                    </w:rPr>
                    <w:t xml:space="preserve">Исх.№ 539 от 12.05.2026</w:t>
                  </w:r>
                  <w:r>
                    <w:rPr>
                      <w:b w:val="0"/>
                      <w:bCs w:val="0"/>
                      <w:color w:val="000000"/>
                      <w:sz w:val="22"/>
                      <w:szCs w:val="22"/>
                    </w:rPr>
                  </w:r>
                  <w:r>
                    <w:rPr>
                      <w:b w:val="0"/>
                      <w:bCs w:val="0"/>
                      <w:color w:val="000000"/>
                      <w:sz w:val="22"/>
                      <w:szCs w:val="22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693" w:type="dxa"/>
                  <w:vAlign w:val="center"/>
                  <w:textDirection w:val="lrTb"/>
                  <w:noWrap w:val="false"/>
                </w:tcPr>
                <w:p>
                  <w:pPr>
                    <w:jc w:val="center"/>
                    <w:widowControl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 xml:space="preserve">Ценовое предложение № 2, цена за единицу услуги (руб./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 xml:space="preserve">усл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 xml:space="preserve">.)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</w:r>
                </w:p>
                <w:p>
                  <w:pPr>
                    <w:jc w:val="center"/>
                    <w:widowControl/>
                    <w:rPr>
                      <w:b w:val="0"/>
                      <w:bCs w:val="0"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</w:r>
                  <w:r>
                    <w:rPr>
                      <w:b w:val="0"/>
                      <w:bCs w:val="0"/>
                      <w:color w:val="000000"/>
                      <w:sz w:val="22"/>
                      <w:szCs w:val="22"/>
                    </w:rPr>
                    <w:t xml:space="preserve">Исх.№ 1030 от 15.05.2026</w:t>
                  </w:r>
                  <w:r>
                    <w:rPr>
                      <w:b w:val="0"/>
                      <w:bCs w:val="0"/>
                      <w:color w:val="000000"/>
                      <w:sz w:val="22"/>
                      <w:szCs w:val="22"/>
                    </w:rPr>
                  </w:r>
                  <w:r>
                    <w:rPr>
                      <w:b w:val="0"/>
                      <w:bCs w:val="0"/>
                      <w:color w:val="000000"/>
                      <w:sz w:val="22"/>
                      <w:szCs w:val="22"/>
                    </w:rPr>
                  </w:r>
                </w:p>
                <w:p>
                  <w:pPr>
                    <w:jc w:val="center"/>
                    <w:widowControl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</w:r>
                </w:p>
              </w:tc>
              <w:tc>
                <w:tcPr>
                  <w:shd w:val="clear" w:color="ffffff" w:fill="ffffff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2111" w:type="dxa"/>
                  <w:vAlign w:val="center"/>
                  <w:textDirection w:val="lrTb"/>
                  <w:noWrap w:val="false"/>
                </w:tcPr>
                <w:p>
                  <w:pPr>
                    <w:jc w:val="center"/>
                    <w:widowControl/>
                    <w:rPr>
                      <w:b/>
                      <w:bCs/>
                      <w:color w:val="000000"/>
                      <w:sz w:val="22"/>
                      <w:szCs w:val="22"/>
                      <w:highlight w:val="none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 xml:space="preserve">Ценовое предложение № 3, цена за единицу услуги (руб./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 xml:space="preserve">усл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 xml:space="preserve">.)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  <w:highlight w:val="none"/>
                    </w:rPr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  <w:highlight w:val="none"/>
                    </w:rPr>
                  </w:r>
                </w:p>
                <w:p>
                  <w:pPr>
                    <w:jc w:val="center"/>
                    <w:widowControl/>
                    <w:rPr>
                      <w:b/>
                      <w:bCs/>
                      <w:color w:val="000000"/>
                      <w:sz w:val="22"/>
                      <w:szCs w:val="22"/>
                      <w:highlight w:val="none"/>
                    </w:rPr>
                  </w:pPr>
                  <w:r>
                    <w:rPr>
                      <w:b w:val="0"/>
                      <w:bCs w:val="0"/>
                      <w:color w:val="000000"/>
                      <w:sz w:val="22"/>
                      <w:szCs w:val="22"/>
                      <w:highlight w:val="none"/>
                    </w:rPr>
                    <w:t xml:space="preserve">Государственный контракт</w:t>
                  </w:r>
                  <w:r>
                    <w:rPr>
                      <w:b/>
                      <w:color w:val="000000"/>
                      <w:sz w:val="22"/>
                      <w:szCs w:val="22"/>
                      <w:highlight w:val="none"/>
                    </w:rPr>
                  </w:r>
                </w:p>
                <w:p>
                  <w:pPr>
                    <w:jc w:val="center"/>
                    <w:widowControl/>
                    <w:rPr>
                      <w:b w:val="0"/>
                      <w:bCs w:val="0"/>
                      <w:color w:val="000000"/>
                      <w:sz w:val="22"/>
                      <w:szCs w:val="22"/>
                    </w:rPr>
                  </w:pPr>
                  <w:r>
                    <w:rPr>
                      <w:b w:val="0"/>
                      <w:bCs w:val="0"/>
                      <w:color w:val="000000"/>
                      <w:sz w:val="22"/>
                      <w:szCs w:val="22"/>
                      <w:highlight w:val="none"/>
                    </w:rPr>
                  </w:r>
                  <w:r>
                    <w:rPr>
                      <w:b w:val="0"/>
                      <w:bCs w:val="0"/>
                      <w:color w:val="000000"/>
                      <w:sz w:val="22"/>
                      <w:szCs w:val="22"/>
                      <w:highlight w:val="none"/>
                    </w:rPr>
                    <w:t xml:space="preserve">https://zakupki.gov.ru/epz/contract/contractCard/process-info.html?reestrNumber=1770982726626000257&amp;contractInfoId=110534111</w:t>
                  </w:r>
                  <w:r>
                    <w:rPr>
                      <w:b w:val="0"/>
                      <w:bCs w:val="0"/>
                      <w:color w:val="000000"/>
                      <w:sz w:val="22"/>
                      <w:szCs w:val="22"/>
                      <w:highlight w:val="none"/>
                    </w:rPr>
                  </w:r>
                  <w:r>
                    <w:rPr>
                      <w:b w:val="0"/>
                      <w:bCs w:val="0"/>
                      <w:color w:val="000000"/>
                      <w:sz w:val="22"/>
                      <w:szCs w:val="22"/>
                    </w:rPr>
                  </w:r>
                  <w:r>
                    <w:rPr>
                      <w:b w:val="0"/>
                      <w:bCs w:val="0"/>
                      <w:color w:val="000000"/>
                      <w:sz w:val="22"/>
                      <w:szCs w:val="22"/>
                    </w:rPr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</w:r>
                  <w:r>
                    <w:rPr>
                      <w:b w:val="0"/>
                      <w:bCs w:val="0"/>
                      <w:color w:val="000000"/>
                      <w:sz w:val="22"/>
                      <w:szCs w:val="22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786" w:type="dxa"/>
                  <w:vAlign w:val="center"/>
                  <w:textDirection w:val="lrTb"/>
                  <w:noWrap w:val="false"/>
                </w:tcPr>
                <w:p>
                  <w:pPr>
                    <w:jc w:val="center"/>
                    <w:widowControl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 xml:space="preserve">Средняя Цена, цена за единицу услуги &lt;ц&gt; (руб./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 xml:space="preserve">усл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 xml:space="preserve">.)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418" w:type="dxa"/>
                  <w:vAlign w:val="center"/>
                  <w:textDirection w:val="lrTb"/>
                  <w:noWrap w:val="false"/>
                </w:tcPr>
                <w:p>
                  <w:pPr>
                    <w:ind w:left="-103" w:right="-114"/>
                    <w:jc w:val="center"/>
                    <w:widowControl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 xml:space="preserve">σ (среднее квадратичное отклонение)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410" w:type="dxa"/>
                  <w:vAlign w:val="center"/>
                  <w:textDirection w:val="lrTb"/>
                  <w:noWrap w:val="false"/>
                </w:tcPr>
                <w:p>
                  <w:pPr>
                    <w:jc w:val="center"/>
                    <w:widowControl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 xml:space="preserve">V - коэффициент вариации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460"/>
              </w:trPr>
              <w:tc>
                <w:tcPr>
                  <w:shd w:val="clear" w:color="auto" w:fill="auto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W w:w="602" w:type="dxa"/>
                  <w:vAlign w:val="center"/>
                  <w:textDirection w:val="lrTb"/>
                  <w:noWrap w:val="false"/>
                </w:tcPr>
                <w:p>
                  <w:pPr>
                    <w:jc w:val="center"/>
                    <w:widowControl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1.</w:t>
                  </w:r>
                  <w:r>
                    <w:rPr>
                      <w:color w:val="000000"/>
                      <w:sz w:val="22"/>
                      <w:szCs w:val="22"/>
                    </w:rPr>
                  </w:r>
                  <w:r>
                    <w:rPr>
                      <w:color w:val="000000"/>
                      <w:sz w:val="22"/>
                      <w:szCs w:val="22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057" w:type="dxa"/>
                  <w:textDirection w:val="lrTb"/>
                  <w:noWrap w:val="false"/>
                </w:tcPr>
                <w:p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Оказание услуг 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по проведению санитарно-эпидемиологической экспертизы на хранение источников ионизирующего излучения в составе ПИДК на МАПП Бурачки</w:t>
                  </w:r>
                  <w:r>
                    <w:rPr>
                      <w:color w:val="000000"/>
                      <w:sz w:val="22"/>
                      <w:szCs w:val="22"/>
                    </w:rPr>
                  </w:r>
                  <w:r>
                    <w:rPr>
                      <w:color w:val="000000"/>
                      <w:sz w:val="22"/>
                      <w:szCs w:val="22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851" w:type="dxa"/>
                  <w:vAlign w:val="center"/>
                  <w:textDirection w:val="lrTb"/>
                  <w:noWrap w:val="false"/>
                </w:tcPr>
                <w:p>
                  <w:pPr>
                    <w:jc w:val="center"/>
                    <w:widowControl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  <w:r>
                    <w:rPr>
                      <w:color w:val="000000"/>
                      <w:sz w:val="22"/>
                      <w:szCs w:val="22"/>
                    </w:rPr>
                  </w:r>
                  <w:r>
                    <w:rPr>
                      <w:color w:val="000000"/>
                      <w:sz w:val="22"/>
                      <w:szCs w:val="22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650" w:type="dxa"/>
                  <w:vAlign w:val="center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26 250,00</w:t>
                  </w:r>
                  <w:r>
                    <w:rPr>
                      <w:color w:val="000000"/>
                      <w:sz w:val="22"/>
                      <w:szCs w:val="22"/>
                    </w:rPr>
                  </w:r>
                  <w:r>
                    <w:rPr>
                      <w:color w:val="000000"/>
                      <w:sz w:val="22"/>
                      <w:szCs w:val="22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693" w:type="dxa"/>
                  <w:vAlign w:val="center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15 045,00</w:t>
                  </w:r>
                  <w:r>
                    <w:rPr>
                      <w:color w:val="000000"/>
                      <w:sz w:val="22"/>
                      <w:szCs w:val="22"/>
                    </w:rPr>
                  </w:r>
                  <w:r>
                    <w:rPr>
                      <w:color w:val="000000"/>
                      <w:sz w:val="22"/>
                      <w:szCs w:val="22"/>
                    </w:rPr>
                  </w:r>
                </w:p>
              </w:tc>
              <w:tc>
                <w:tcPr>
                  <w:shd w:val="clear" w:color="ffffff" w:fill="ffffff"/>
                  <w:tcBorders>
                    <w:top w:val="single" w:color="000000" w:sz="4" w:space="0"/>
                    <w:left w:val="none" w:color="000000" w:sz="4" w:space="0"/>
                    <w:bottom w:val="single" w:color="000000" w:sz="4" w:space="0"/>
                    <w:right w:val="single" w:color="000000" w:sz="4" w:space="0"/>
                  </w:tcBorders>
                  <w:tcW w:w="2111" w:type="dxa"/>
                  <w:vAlign w:val="center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20 923,00</w:t>
                  </w:r>
                  <w:r>
                    <w:rPr>
                      <w:color w:val="000000"/>
                      <w:sz w:val="22"/>
                      <w:szCs w:val="22"/>
                    </w:rPr>
                  </w:r>
                  <w:r>
                    <w:rPr>
                      <w:color w:val="000000"/>
                      <w:sz w:val="22"/>
                      <w:szCs w:val="22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786" w:type="dxa"/>
                  <w:vAlign w:val="center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20 739,33</w:t>
                  </w:r>
                  <w:r>
                    <w:rPr>
                      <w:color w:val="000000"/>
                      <w:sz w:val="22"/>
                      <w:szCs w:val="22"/>
                    </w:rPr>
                  </w:r>
                  <w:r>
                    <w:rPr>
                      <w:color w:val="000000"/>
                      <w:sz w:val="22"/>
                      <w:szCs w:val="22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418" w:type="dxa"/>
                  <w:vAlign w:val="center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5604,76</w:t>
                  </w:r>
                  <w:r>
                    <w:rPr>
                      <w:color w:val="000000"/>
                      <w:sz w:val="22"/>
                      <w:szCs w:val="22"/>
                    </w:rPr>
                  </w:r>
                  <w:r>
                    <w:rPr>
                      <w:color w:val="000000"/>
                      <w:sz w:val="22"/>
                      <w:szCs w:val="22"/>
                    </w:rPr>
                  </w:r>
                </w:p>
              </w:tc>
              <w:tc>
                <w:tcPr>
                  <w:shd w:val="clear" w:color="auto" w:fill="auto"/>
                  <w:tcBorders>
                    <w:top w:val="single" w:color="auto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1410" w:type="dxa"/>
                  <w:vAlign w:val="center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27,02%</w:t>
                  </w:r>
                  <w:r>
                    <w:rPr>
                      <w:color w:val="000000"/>
                      <w:sz w:val="22"/>
                      <w:szCs w:val="22"/>
                    </w:rPr>
                  </w:r>
                  <w:r>
                    <w:rPr>
                      <w:color w:val="000000"/>
                      <w:sz w:val="22"/>
                      <w:szCs w:val="22"/>
                    </w:rPr>
                  </w:r>
                </w:p>
              </w:tc>
            </w:tr>
          </w:tbl>
          <w:p>
            <w:pPr>
              <w:ind w:left="57" w:right="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  <w:p>
            <w:pPr>
              <w:ind w:left="57" w:right="57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Совокупность значений, используемых в расчёте, при определении НМЦК считае</w:t>
            </w:r>
            <w:r>
              <w:rPr>
                <w:sz w:val="22"/>
                <w:szCs w:val="22"/>
                <w:lang w:eastAsia="en-US"/>
              </w:rPr>
              <w:t xml:space="preserve">тся однородной, если коэффициент вариации цены не превышает 33%. Как видно из расчета, коэффициент вариации не превышает 33%, проведение дополнительных исследований в целях увеличения количества ценовой информации, используемой в расчётах, нецелесообразно.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  <w:p>
            <w:pPr>
              <w:ind w:left="57" w:right="57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</w:r>
            <w:r>
              <w:rPr>
                <w:b/>
                <w:sz w:val="22"/>
                <w:szCs w:val="22"/>
                <w:lang w:eastAsia="en-US"/>
              </w:rPr>
            </w:r>
            <w:r>
              <w:rPr>
                <w:b/>
                <w:sz w:val="22"/>
                <w:szCs w:val="22"/>
                <w:lang w:eastAsia="en-US"/>
              </w:rPr>
            </w:r>
          </w:p>
          <w:tbl>
            <w:tblPr>
              <w:tblStyle w:val="1024"/>
              <w:tblW w:w="12610" w:type="dxa"/>
              <w:tblInd w:w="57" w:type="dxa"/>
              <w:tblLayout w:type="fixed"/>
              <w:tblLook w:val="04A0" w:firstRow="1" w:lastRow="0" w:firstColumn="1" w:lastColumn="0" w:noHBand="0" w:noVBand="1"/>
            </w:tblPr>
            <w:tblGrid>
              <w:gridCol w:w="1830"/>
              <w:gridCol w:w="1660"/>
              <w:gridCol w:w="1043"/>
              <w:gridCol w:w="850"/>
              <w:gridCol w:w="1742"/>
              <w:gridCol w:w="2082"/>
              <w:gridCol w:w="1830"/>
              <w:gridCol w:w="1574"/>
            </w:tblGrid>
            <w:tr>
              <w:tblPrEx/>
              <w:trPr/>
              <w:tc>
                <w:tcPr>
                  <w:tcW w:w="2135" w:type="dxa"/>
                  <w:textDirection w:val="lrTb"/>
                  <w:noWrap w:val="false"/>
                </w:tcPr>
                <w:p>
                  <w:pPr>
                    <w:rPr>
                      <w:b/>
                      <w:bCs/>
                      <w:sz w:val="22"/>
                      <w:szCs w:val="22"/>
                      <w:lang w:eastAsia="en-US"/>
                    </w:rPr>
                  </w:pPr>
                  <w:r>
                    <w:rPr>
                      <w:b/>
                      <w:bCs/>
                      <w:sz w:val="22"/>
                      <w:szCs w:val="22"/>
                      <w:lang w:eastAsia="en-US"/>
                    </w:rPr>
                  </w:r>
                  <w:r>
                    <w:rPr>
                      <w:b/>
                      <w:bCs/>
                      <w:sz w:val="22"/>
                      <w:szCs w:val="22"/>
                      <w:lang w:eastAsia="en-US"/>
                    </w:rPr>
                  </w:r>
                  <w:r>
                    <w:rPr>
                      <w:b/>
                      <w:bCs/>
                      <w:sz w:val="22"/>
                      <w:szCs w:val="22"/>
                      <w:lang w:eastAsia="en-US"/>
                    </w:rPr>
                  </w:r>
                </w:p>
              </w:tc>
              <w:tc>
                <w:tcPr>
                  <w:gridSpan w:val="7"/>
                  <w:tcW w:w="10780" w:type="dxa"/>
                  <w:textDirection w:val="lrTb"/>
                  <w:noWrap w:val="false"/>
                </w:tcPr>
                <w:p>
                  <w:pPr>
                    <w:rPr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b/>
                      <w:sz w:val="22"/>
                      <w:szCs w:val="22"/>
                      <w:lang w:eastAsia="en-US"/>
                    </w:rPr>
                    <w:t xml:space="preserve">Расчет ЦК на оказание услуг </w:t>
                  </w:r>
                  <w:r>
                    <w:rPr>
                      <w:b/>
                      <w:sz w:val="22"/>
                      <w:szCs w:val="22"/>
                      <w:lang w:eastAsia="en-US"/>
                    </w:rPr>
                    <w:t xml:space="preserve">по проведению санитарно-эпидемиологической экспертизы на хранение источников ионизирующего излучения в составе ПИДК на МАПП Бурачки</w:t>
                  </w:r>
                  <w:r>
                    <w:rPr>
                      <w:b/>
                      <w:sz w:val="22"/>
                      <w:szCs w:val="22"/>
                      <w:lang w:eastAsia="en-US"/>
                    </w:rPr>
                  </w:r>
                  <w:r>
                    <w:rPr>
                      <w:b/>
                      <w:sz w:val="22"/>
                      <w:szCs w:val="22"/>
                      <w:lang w:eastAsia="en-US"/>
                    </w:rPr>
                  </w:r>
                </w:p>
              </w:tc>
            </w:tr>
            <w:tr>
              <w:tblPrEx/>
              <w:trPr/>
              <w:tc>
                <w:tcPr>
                  <w:gridSpan w:val="2"/>
                  <w:tcW w:w="3762" w:type="dxa"/>
                  <w:textDirection w:val="lrTb"/>
                  <w:noWrap w:val="false"/>
                </w:tcPr>
                <w:p>
                  <w:pPr>
                    <w:ind w:right="57"/>
                    <w:jc w:val="both"/>
                    <w:rPr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b/>
                      <w:sz w:val="22"/>
                      <w:szCs w:val="22"/>
                      <w:lang w:eastAsia="en-US"/>
                    </w:rPr>
                  </w:r>
                  <w:r>
                    <w:rPr>
                      <w:b/>
                      <w:sz w:val="22"/>
                      <w:szCs w:val="22"/>
                      <w:lang w:eastAsia="en-US"/>
                    </w:rPr>
                  </w:r>
                  <w:r>
                    <w:rPr>
                      <w:b/>
                      <w:sz w:val="22"/>
                      <w:szCs w:val="22"/>
                      <w:lang w:eastAsia="en-US"/>
                    </w:rPr>
                  </w:r>
                </w:p>
              </w:tc>
              <w:tc>
                <w:tcPr>
                  <w:tcW w:w="1043" w:type="dxa"/>
                  <w:textDirection w:val="lrTb"/>
                  <w:noWrap w:val="false"/>
                </w:tcPr>
                <w:p>
                  <w:pPr>
                    <w:ind w:right="57"/>
                    <w:jc w:val="both"/>
                    <w:rPr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b/>
                      <w:sz w:val="22"/>
                      <w:szCs w:val="22"/>
                      <w:lang w:eastAsia="en-US"/>
                    </w:rPr>
                  </w:r>
                  <w:r>
                    <w:rPr>
                      <w:b/>
                      <w:sz w:val="22"/>
                      <w:szCs w:val="22"/>
                      <w:lang w:eastAsia="en-US"/>
                    </w:rPr>
                  </w:r>
                  <w:r>
                    <w:rPr>
                      <w:b/>
                      <w:sz w:val="22"/>
                      <w:szCs w:val="22"/>
                      <w:lang w:eastAsia="en-US"/>
                    </w:rPr>
                  </w:r>
                </w:p>
              </w:tc>
              <w:tc>
                <w:tcPr>
                  <w:tcW w:w="992" w:type="dxa"/>
                  <w:textDirection w:val="lrTb"/>
                  <w:noWrap w:val="false"/>
                </w:tcPr>
                <w:p>
                  <w:pPr>
                    <w:ind w:right="57"/>
                    <w:jc w:val="both"/>
                    <w:rPr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b/>
                      <w:sz w:val="22"/>
                      <w:szCs w:val="22"/>
                      <w:lang w:eastAsia="en-US"/>
                    </w:rPr>
                  </w:r>
                  <w:r>
                    <w:rPr>
                      <w:b/>
                      <w:sz w:val="22"/>
                      <w:szCs w:val="22"/>
                      <w:lang w:eastAsia="en-US"/>
                    </w:rPr>
                  </w:r>
                  <w:r>
                    <w:rPr>
                      <w:b/>
                      <w:sz w:val="22"/>
                      <w:szCs w:val="22"/>
                      <w:lang w:eastAsia="en-US"/>
                    </w:rPr>
                  </w:r>
                </w:p>
              </w:tc>
              <w:tc>
                <w:tcPr>
                  <w:gridSpan w:val="3"/>
                  <w:tcW w:w="5830" w:type="dxa"/>
                  <w:textDirection w:val="lrTb"/>
                  <w:noWrap w:val="false"/>
                </w:tcPr>
                <w:p>
                  <w:pPr>
                    <w:ind w:right="57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sz w:val="22"/>
                      <w:szCs w:val="22"/>
                      <w:lang w:eastAsia="en-US"/>
                    </w:rPr>
                    <w:t xml:space="preserve">Цена за единицу</w:t>
                  </w:r>
                  <w:r>
                    <w:rPr>
                      <w:sz w:val="22"/>
                      <w:szCs w:val="22"/>
                      <w:lang w:eastAsia="en-US"/>
                    </w:rPr>
                  </w:r>
                  <w:r>
                    <w:rPr>
                      <w:sz w:val="22"/>
                      <w:szCs w:val="22"/>
                      <w:lang w:eastAsia="en-US"/>
                    </w:rPr>
                  </w:r>
                </w:p>
              </w:tc>
              <w:tc>
                <w:tcPr>
                  <w:tcW w:w="1836" w:type="dxa"/>
                  <w:vMerge w:val="restart"/>
                  <w:textDirection w:val="lrTb"/>
                  <w:noWrap w:val="false"/>
                </w:tcPr>
                <w:p>
                  <w:pPr>
                    <w:ind w:right="57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sz w:val="22"/>
                      <w:szCs w:val="22"/>
                      <w:lang w:eastAsia="en-US"/>
                    </w:rPr>
                    <w:t xml:space="preserve">Цена, руб</w:t>
                  </w:r>
                  <w:r>
                    <w:rPr>
                      <w:sz w:val="22"/>
                      <w:szCs w:val="22"/>
                      <w:lang w:eastAsia="en-US"/>
                    </w:rPr>
                    <w:t xml:space="preserve">.</w:t>
                  </w:r>
                  <w:r>
                    <w:rPr>
                      <w:sz w:val="22"/>
                      <w:szCs w:val="22"/>
                      <w:lang w:eastAsia="en-US"/>
                    </w:rPr>
                  </w:r>
                  <w:r>
                    <w:rPr>
                      <w:sz w:val="22"/>
                      <w:szCs w:val="22"/>
                      <w:lang w:eastAsia="en-US"/>
                    </w:rPr>
                  </w:r>
                </w:p>
              </w:tc>
            </w:tr>
            <w:tr>
              <w:tblPrEx/>
              <w:trPr/>
              <w:tc>
                <w:tcPr>
                  <w:gridSpan w:val="2"/>
                  <w:tcW w:w="3762" w:type="dxa"/>
                  <w:textDirection w:val="lrTb"/>
                  <w:noWrap w:val="false"/>
                </w:tcPr>
                <w:p>
                  <w:pPr>
                    <w:ind w:right="57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sz w:val="22"/>
                      <w:szCs w:val="22"/>
                      <w:lang w:eastAsia="en-US"/>
                    </w:rPr>
                    <w:t xml:space="preserve">Наименование</w:t>
                  </w:r>
                  <w:r>
                    <w:rPr>
                      <w:sz w:val="22"/>
                      <w:szCs w:val="22"/>
                      <w:lang w:eastAsia="en-US"/>
                    </w:rPr>
                  </w:r>
                  <w:r>
                    <w:rPr>
                      <w:sz w:val="22"/>
                      <w:szCs w:val="22"/>
                      <w:lang w:eastAsia="en-US"/>
                    </w:rPr>
                  </w:r>
                </w:p>
              </w:tc>
              <w:tc>
                <w:tcPr>
                  <w:tcW w:w="1043" w:type="dxa"/>
                  <w:textDirection w:val="lrTb"/>
                  <w:noWrap w:val="false"/>
                </w:tcPr>
                <w:p>
                  <w:pPr>
                    <w:ind w:right="57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sz w:val="22"/>
                      <w:szCs w:val="22"/>
                      <w:lang w:eastAsia="en-US"/>
                    </w:rPr>
                    <w:t xml:space="preserve">Ед. изм.</w:t>
                  </w:r>
                  <w:r>
                    <w:rPr>
                      <w:sz w:val="22"/>
                      <w:szCs w:val="22"/>
                      <w:lang w:eastAsia="en-US"/>
                    </w:rPr>
                  </w:r>
                  <w:r>
                    <w:rPr>
                      <w:sz w:val="22"/>
                      <w:szCs w:val="22"/>
                      <w:lang w:eastAsia="en-US"/>
                    </w:rPr>
                  </w:r>
                </w:p>
              </w:tc>
              <w:tc>
                <w:tcPr>
                  <w:tcW w:w="992" w:type="dxa"/>
                  <w:textDirection w:val="lrTb"/>
                  <w:noWrap w:val="false"/>
                </w:tcPr>
                <w:p>
                  <w:pPr>
                    <w:ind w:right="57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sz w:val="22"/>
                      <w:szCs w:val="22"/>
                      <w:lang w:eastAsia="en-US"/>
                    </w:rPr>
                    <w:t xml:space="preserve">Кол-во</w:t>
                  </w:r>
                  <w:r>
                    <w:rPr>
                      <w:sz w:val="22"/>
                      <w:szCs w:val="22"/>
                      <w:lang w:eastAsia="en-US"/>
                    </w:rPr>
                  </w:r>
                  <w:r>
                    <w:rPr>
                      <w:sz w:val="22"/>
                      <w:szCs w:val="22"/>
                      <w:lang w:eastAsia="en-US"/>
                    </w:rPr>
                  </w:r>
                </w:p>
              </w:tc>
              <w:tc>
                <w:tcPr>
                  <w:tcW w:w="2032" w:type="dxa"/>
                  <w:textDirection w:val="lrTb"/>
                  <w:noWrap w:val="false"/>
                </w:tcPr>
                <w:p>
                  <w:pPr>
                    <w:ind w:right="57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sz w:val="22"/>
                      <w:szCs w:val="22"/>
                      <w:lang w:eastAsia="en-US"/>
                    </w:rPr>
                    <w:t xml:space="preserve">Вх</w:t>
                  </w:r>
                  <w:r>
                    <w:rPr>
                      <w:sz w:val="22"/>
                      <w:szCs w:val="22"/>
                      <w:lang w:eastAsia="en-US"/>
                    </w:rPr>
                    <w:t xml:space="preserve">.</w:t>
                  </w:r>
                  <w:r>
                    <w:rPr>
                      <w:sz w:val="22"/>
                      <w:szCs w:val="22"/>
                      <w:lang w:eastAsia="en-US"/>
                    </w:rPr>
                    <w:t xml:space="preserve">:</w:t>
                  </w:r>
                  <w:r>
                    <w:rPr>
                      <w:sz w:val="22"/>
                      <w:szCs w:val="22"/>
                      <w:lang w:eastAsia="en-US"/>
                    </w:rPr>
                    <w:t xml:space="preserve"> №ПСК1010 </w:t>
                  </w:r>
                  <w:r>
                    <w:rPr>
                      <w:sz w:val="22"/>
                      <w:szCs w:val="22"/>
                      <w:lang w:eastAsia="en-US"/>
                    </w:rPr>
                    <w:t xml:space="preserve">от</w:t>
                  </w:r>
                  <w:r>
                    <w:rPr>
                      <w:sz w:val="22"/>
                      <w:szCs w:val="22"/>
                      <w:lang w:eastAsia="en-US"/>
                    </w:rPr>
                    <w:t xml:space="preserve"> 14.05.2026</w:t>
                  </w:r>
                  <w:r>
                    <w:rPr>
                      <w:sz w:val="22"/>
                      <w:szCs w:val="22"/>
                      <w:lang w:eastAsia="en-US"/>
                    </w:rPr>
                  </w:r>
                  <w:r>
                    <w:rPr>
                      <w:sz w:val="22"/>
                      <w:szCs w:val="22"/>
                      <w:lang w:eastAsia="en-US"/>
                    </w:rPr>
                  </w:r>
                </w:p>
              </w:tc>
              <w:tc>
                <w:tcPr>
                  <w:tcW w:w="2135" w:type="dxa"/>
                  <w:textDirection w:val="lrTb"/>
                  <w:noWrap w:val="false"/>
                </w:tcPr>
                <w:p>
                  <w:pPr>
                    <w:ind w:right="57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sz w:val="22"/>
                      <w:szCs w:val="22"/>
                      <w:lang w:eastAsia="en-US"/>
                    </w:rPr>
                    <w:t xml:space="preserve">Вх</w:t>
                  </w:r>
                  <w:r>
                    <w:rPr>
                      <w:sz w:val="22"/>
                      <w:szCs w:val="22"/>
                      <w:lang w:eastAsia="en-US"/>
                    </w:rPr>
                    <w:t xml:space="preserve">.: №</w:t>
                  </w:r>
                  <w:r>
                    <w:rPr>
                      <w:sz w:val="22"/>
                      <w:szCs w:val="22"/>
                      <w:lang w:eastAsia="en-US"/>
                    </w:rPr>
                    <w:t xml:space="preserve">ПСК-1023 </w:t>
                  </w:r>
                  <w:r>
                    <w:rPr>
                      <w:sz w:val="22"/>
                      <w:szCs w:val="22"/>
                      <w:lang w:eastAsia="en-US"/>
                    </w:rPr>
                    <w:t xml:space="preserve">от</w:t>
                  </w:r>
                  <w:r>
                    <w:rPr>
                      <w:sz w:val="22"/>
                      <w:szCs w:val="22"/>
                      <w:lang w:eastAsia="en-US"/>
                    </w:rPr>
                    <w:t xml:space="preserve"> 15.05.2026</w:t>
                  </w:r>
                  <w:r>
                    <w:rPr>
                      <w:sz w:val="22"/>
                      <w:szCs w:val="22"/>
                      <w:lang w:eastAsia="en-US"/>
                    </w:rPr>
                  </w:r>
                  <w:r>
                    <w:rPr>
                      <w:sz w:val="22"/>
                      <w:szCs w:val="22"/>
                      <w:lang w:eastAsia="en-US"/>
                    </w:rPr>
                  </w:r>
                </w:p>
              </w:tc>
              <w:tc>
                <w:tcPr>
                  <w:tcW w:w="2135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2"/>
                      <w:szCs w:val="22"/>
                      <w:lang w:eastAsia="en-US"/>
                    </w:rPr>
                    <w:t xml:space="preserve">ГК реестровый номер 1770982726626000257 </w:t>
                  </w:r>
                  <w:r>
                    <w:rPr>
                      <w:sz w:val="22"/>
                      <w:szCs w:val="22"/>
                      <w:lang w:eastAsia="en-US"/>
                    </w:rPr>
                    <w:t xml:space="preserve">от 24.04.2026. </w:t>
                  </w:r>
                  <w:r>
                    <w:rPr>
                      <w:sz w:val="20"/>
                      <w:szCs w:val="20"/>
                      <w:lang w:eastAsia="en-US"/>
                    </w:rPr>
                  </w:r>
                  <w:r>
                    <w:rPr>
                      <w:sz w:val="20"/>
                      <w:szCs w:val="20"/>
                      <w:lang w:eastAsia="en-US"/>
                    </w:rPr>
                  </w:r>
                </w:p>
              </w:tc>
              <w:tc>
                <w:tcPr>
                  <w:tcW w:w="1836" w:type="dxa"/>
                  <w:vMerge w:val="continue"/>
                  <w:textDirection w:val="lrTb"/>
                  <w:noWrap w:val="false"/>
                </w:tcPr>
                <w:p>
                  <w:pPr>
                    <w:ind w:right="57"/>
                    <w:jc w:val="both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sz w:val="22"/>
                      <w:szCs w:val="22"/>
                      <w:lang w:eastAsia="en-US"/>
                    </w:rPr>
                  </w:r>
                  <w:r>
                    <w:rPr>
                      <w:sz w:val="22"/>
                      <w:szCs w:val="22"/>
                      <w:lang w:eastAsia="en-US"/>
                    </w:rPr>
                  </w:r>
                  <w:r>
                    <w:rPr>
                      <w:sz w:val="22"/>
                      <w:szCs w:val="22"/>
                      <w:lang w:eastAsia="en-US"/>
                    </w:rPr>
                  </w:r>
                </w:p>
              </w:tc>
            </w:tr>
            <w:tr>
              <w:tblPrEx/>
              <w:trPr/>
              <w:tc>
                <w:tcPr>
                  <w:gridSpan w:val="2"/>
                  <w:tcW w:w="3762" w:type="dxa"/>
                  <w:textDirection w:val="lrTb"/>
                  <w:noWrap w:val="false"/>
                </w:tcPr>
                <w:p>
                  <w:pPr>
                    <w:rPr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Оказание услуг 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по проведению санитарно-эпидемиологической экспертизы на хранение источников ионизирующего излучения в составе ПИДК на МАПП Бурачки</w:t>
                  </w:r>
                  <w:r>
                    <w:rPr>
                      <w:b/>
                      <w:sz w:val="22"/>
                      <w:szCs w:val="22"/>
                      <w:lang w:eastAsia="en-US"/>
                    </w:rPr>
                  </w:r>
                  <w:r>
                    <w:rPr>
                      <w:b/>
                      <w:sz w:val="22"/>
                      <w:szCs w:val="22"/>
                      <w:lang w:eastAsia="en-US"/>
                    </w:rPr>
                  </w:r>
                </w:p>
              </w:tc>
              <w:tc>
                <w:tcPr>
                  <w:tcW w:w="1043" w:type="dxa"/>
                  <w:vAlign w:val="center"/>
                  <w:textDirection w:val="lrTb"/>
                  <w:noWrap w:val="false"/>
                </w:tcPr>
                <w:p>
                  <w:pPr>
                    <w:ind w:right="57"/>
                    <w:jc w:val="center"/>
                    <w:rPr>
                      <w:sz w:val="22"/>
                      <w:szCs w:val="22"/>
                      <w:vertAlign w:val="superscript"/>
                      <w:lang w:eastAsia="en-US"/>
                    </w:rPr>
                  </w:pPr>
                  <w:r>
                    <w:rPr>
                      <w:sz w:val="22"/>
                      <w:szCs w:val="22"/>
                      <w:lang w:eastAsia="en-US"/>
                    </w:rPr>
                    <w:t xml:space="preserve">Усл.ед</w:t>
                  </w:r>
                  <w:r>
                    <w:rPr>
                      <w:sz w:val="22"/>
                      <w:szCs w:val="22"/>
                      <w:vertAlign w:val="superscript"/>
                      <w:lang w:eastAsia="en-US"/>
                    </w:rPr>
                  </w:r>
                  <w:r>
                    <w:rPr>
                      <w:sz w:val="22"/>
                      <w:szCs w:val="22"/>
                      <w:vertAlign w:val="superscript"/>
                      <w:lang w:eastAsia="en-US"/>
                    </w:rPr>
                  </w:r>
                </w:p>
              </w:tc>
              <w:tc>
                <w:tcPr>
                  <w:tcW w:w="992" w:type="dxa"/>
                  <w:vAlign w:val="center"/>
                  <w:textDirection w:val="lrTb"/>
                  <w:noWrap w:val="false"/>
                </w:tcPr>
                <w:p>
                  <w:pPr>
                    <w:ind w:right="57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sz w:val="22"/>
                      <w:szCs w:val="22"/>
                      <w:lang w:eastAsia="en-US"/>
                    </w:rPr>
                    <w:t xml:space="preserve">1</w:t>
                  </w:r>
                  <w:r>
                    <w:rPr>
                      <w:sz w:val="22"/>
                      <w:szCs w:val="22"/>
                      <w:lang w:eastAsia="en-US"/>
                    </w:rPr>
                  </w:r>
                  <w:r>
                    <w:rPr>
                      <w:sz w:val="22"/>
                      <w:szCs w:val="22"/>
                      <w:lang w:eastAsia="en-US"/>
                    </w:rPr>
                  </w:r>
                </w:p>
              </w:tc>
              <w:tc>
                <w:tcPr>
                  <w:tcW w:w="2032" w:type="dxa"/>
                  <w:vAlign w:val="center"/>
                  <w:textDirection w:val="lrTb"/>
                  <w:noWrap w:val="false"/>
                </w:tcPr>
                <w:p>
                  <w:pPr>
                    <w:ind w:right="57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26 250,00</w:t>
                  </w:r>
                  <w:r>
                    <w:rPr>
                      <w:sz w:val="22"/>
                      <w:szCs w:val="22"/>
                      <w:lang w:eastAsia="en-US"/>
                    </w:rPr>
                  </w:r>
                  <w:r>
                    <w:rPr>
                      <w:sz w:val="22"/>
                      <w:szCs w:val="22"/>
                      <w:lang w:eastAsia="en-US"/>
                    </w:rPr>
                  </w:r>
                </w:p>
              </w:tc>
              <w:tc>
                <w:tcPr>
                  <w:tcW w:w="2135" w:type="dxa"/>
                  <w:vAlign w:val="center"/>
                  <w:textDirection w:val="lrTb"/>
                  <w:noWrap w:val="false"/>
                </w:tcPr>
                <w:p>
                  <w:pPr>
                    <w:ind w:right="57"/>
                    <w:jc w:val="center"/>
                    <w:rPr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15 045,00</w:t>
                  </w:r>
                  <w:r>
                    <w:rPr>
                      <w:b/>
                      <w:sz w:val="22"/>
                      <w:szCs w:val="22"/>
                      <w:lang w:eastAsia="en-US"/>
                    </w:rPr>
                  </w:r>
                  <w:r>
                    <w:rPr>
                      <w:b/>
                      <w:sz w:val="22"/>
                      <w:szCs w:val="22"/>
                      <w:lang w:eastAsia="en-US"/>
                    </w:rPr>
                  </w:r>
                </w:p>
              </w:tc>
              <w:tc>
                <w:tcPr>
                  <w:tcW w:w="2135" w:type="dxa"/>
                  <w:vAlign w:val="center"/>
                  <w:textDirection w:val="lrTb"/>
                  <w:noWrap w:val="false"/>
                </w:tcPr>
                <w:p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20 923,00</w:t>
                  </w:r>
                  <w:r>
                    <w:rPr>
                      <w:color w:val="000000"/>
                      <w:sz w:val="22"/>
                      <w:szCs w:val="22"/>
                    </w:rPr>
                  </w:r>
                  <w:r>
                    <w:rPr>
                      <w:color w:val="000000"/>
                      <w:sz w:val="22"/>
                      <w:szCs w:val="22"/>
                    </w:rPr>
                  </w:r>
                </w:p>
              </w:tc>
              <w:tc>
                <w:tcPr>
                  <w:tcW w:w="1836" w:type="dxa"/>
                  <w:vAlign w:val="center"/>
                  <w:textDirection w:val="lrTb"/>
                  <w:noWrap w:val="false"/>
                </w:tcPr>
                <w:p>
                  <w:pPr>
                    <w:ind w:right="57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20 739,33</w:t>
                  </w:r>
                  <w:r>
                    <w:rPr>
                      <w:sz w:val="22"/>
                      <w:szCs w:val="22"/>
                      <w:lang w:eastAsia="en-US"/>
                    </w:rPr>
                  </w:r>
                  <w:r>
                    <w:rPr>
                      <w:sz w:val="22"/>
                      <w:szCs w:val="22"/>
                      <w:lang w:eastAsia="en-US"/>
                    </w:rPr>
                  </w:r>
                </w:p>
              </w:tc>
            </w:tr>
            <w:tr>
              <w:tblPrEx/>
              <w:trPr/>
              <w:tc>
                <w:tcPr>
                  <w:gridSpan w:val="6"/>
                  <w:tcW w:w="9206" w:type="dxa"/>
                  <w:textDirection w:val="lrTb"/>
                  <w:noWrap w:val="false"/>
                </w:tcPr>
                <w:p>
                  <w:pPr>
                    <w:ind w:right="57"/>
                    <w:jc w:val="both"/>
                    <w:rPr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b/>
                      <w:sz w:val="22"/>
                      <w:szCs w:val="22"/>
                      <w:lang w:eastAsia="en-US"/>
                    </w:rPr>
                    <w:t xml:space="preserve">Итого ЦК, руб.</w:t>
                  </w:r>
                  <w:r>
                    <w:rPr>
                      <w:b/>
                      <w:sz w:val="22"/>
                      <w:szCs w:val="22"/>
                      <w:lang w:eastAsia="en-US"/>
                    </w:rPr>
                  </w:r>
                  <w:r>
                    <w:rPr>
                      <w:b/>
                      <w:sz w:val="22"/>
                      <w:szCs w:val="22"/>
                      <w:lang w:eastAsia="en-US"/>
                    </w:rPr>
                  </w:r>
                </w:p>
              </w:tc>
              <w:tc>
                <w:tcPr>
                  <w:tcW w:w="2135" w:type="dxa"/>
                  <w:textDirection w:val="lrTb"/>
                  <w:noWrap w:val="false"/>
                </w:tcPr>
                <w:p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</w:r>
                </w:p>
              </w:tc>
              <w:tc>
                <w:tcPr>
                  <w:tcW w:w="1836" w:type="dxa"/>
                  <w:textDirection w:val="lrTb"/>
                  <w:noWrap w:val="false"/>
                </w:tcPr>
                <w:p>
                  <w:pPr>
                    <w:ind w:right="57"/>
                    <w:jc w:val="center"/>
                    <w:rPr>
                      <w:b/>
                      <w:sz w:val="22"/>
                      <w:szCs w:val="22"/>
                      <w:lang w:eastAsia="en-US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 xml:space="preserve">20 739,33</w:t>
                  </w:r>
                  <w:r>
                    <w:rPr>
                      <w:b/>
                      <w:sz w:val="22"/>
                      <w:szCs w:val="22"/>
                      <w:lang w:eastAsia="en-US"/>
                    </w:rPr>
                  </w:r>
                  <w:r>
                    <w:rPr>
                      <w:b/>
                      <w:sz w:val="22"/>
                      <w:szCs w:val="22"/>
                      <w:lang w:eastAsia="en-US"/>
                    </w:rPr>
                  </w:r>
                </w:p>
              </w:tc>
            </w:tr>
          </w:tbl>
          <w:p>
            <w:pPr>
              <w:ind w:left="57" w:right="13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целью соблюдения требований Федерального закона от 26 июля 2006 г. №135-ФЗ "О защите конкуренции" и недопущении ценового сговора сведения о коммерческих организациях, ценовые предложения ко</w:t>
            </w:r>
            <w:r>
              <w:rPr>
                <w:sz w:val="22"/>
                <w:szCs w:val="22"/>
              </w:rPr>
              <w:t xml:space="preserve">торых были использованы, скрыты.</w:t>
            </w:r>
            <w:r>
              <w:rPr>
                <w:sz w:val="22"/>
                <w:szCs w:val="22"/>
              </w:rPr>
              <w:t xml:space="preserve"> Ценовая информация получена менее чем за 6 месяцев до периода определения ЦК.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contextualSpacing/>
              <w:ind w:left="57" w:right="57"/>
              <w:jc w:val="both"/>
              <w:tabs>
                <w:tab w:val="left" w:pos="11447" w:leader="none"/>
                <w:tab w:val="left" w:pos="12212" w:leader="none"/>
              </w:tabs>
            </w:pPr>
            <w:r/>
            <w:r/>
          </w:p>
          <w:p>
            <w:pPr>
              <w:contextualSpacing/>
              <w:ind w:left="57" w:right="57"/>
              <w:jc w:val="both"/>
              <w:tabs>
                <w:tab w:val="left" w:pos="11447" w:leader="none"/>
                <w:tab w:val="left" w:pos="12212" w:leader="none"/>
              </w:tabs>
            </w:pPr>
            <w:r>
              <w:t xml:space="preserve">ЦК</w:t>
            </w:r>
            <w:r>
              <w:rPr>
                <w:vertAlign w:val="superscript"/>
              </w:rPr>
              <w:t xml:space="preserve">рын</w:t>
            </w:r>
            <w:r>
              <w:t xml:space="preserve"> = (</w:t>
            </w:r>
            <w:r>
              <w:rPr>
                <w:color w:val="000000"/>
                <w:sz w:val="22"/>
                <w:szCs w:val="22"/>
              </w:rPr>
              <w:t xml:space="preserve">26 250,00</w:t>
            </w:r>
            <w:r>
              <w:t xml:space="preserve">+</w:t>
            </w:r>
            <w:r>
              <w:rPr>
                <w:color w:val="000000"/>
                <w:sz w:val="22"/>
                <w:szCs w:val="22"/>
              </w:rPr>
              <w:t xml:space="preserve">15 045,00+20 923,00</w:t>
            </w:r>
            <w:r>
              <w:t xml:space="preserve">)</w:t>
            </w:r>
            <w:r>
              <w:t xml:space="preserve"> </w:t>
            </w:r>
            <w:r>
              <w:t xml:space="preserve">/3</w:t>
            </w:r>
            <w:r>
              <w:t xml:space="preserve"> = </w:t>
            </w:r>
            <w:r>
              <w:rPr>
                <w:color w:val="000000"/>
                <w:sz w:val="22"/>
                <w:szCs w:val="22"/>
              </w:rPr>
              <w:t xml:space="preserve">20 739,33 </w:t>
            </w:r>
            <w:r>
              <w:t xml:space="preserve">руб. (среднее значение цены контракта).</w:t>
            </w:r>
            <w:r/>
          </w:p>
          <w:p>
            <w:pPr>
              <w:contextualSpacing/>
              <w:ind w:left="57" w:right="57"/>
              <w:jc w:val="both"/>
              <w:tabs>
                <w:tab w:val="left" w:pos="11447" w:leader="none"/>
                <w:tab w:val="left" w:pos="12212" w:leader="none"/>
              </w:tabs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contextualSpacing/>
              <w:ind w:left="57" w:right="57"/>
              <w:jc w:val="both"/>
              <w:tabs>
                <w:tab w:val="left" w:pos="11447" w:leader="none"/>
                <w:tab w:val="left" w:pos="12212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ЦК</w:t>
            </w:r>
            <w:r>
              <w:rPr>
                <w:vertAlign w:val="superscript"/>
                <w:lang w:eastAsia="en-US"/>
              </w:rPr>
              <w:t xml:space="preserve">мин</w:t>
            </w:r>
            <w:r>
              <w:rPr>
                <w:vertAlign w:val="superscript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=</w:t>
            </w:r>
            <w:r>
              <w:rPr>
                <w:lang w:eastAsia="en-US"/>
              </w:rPr>
              <w:t xml:space="preserve">15 045,00</w:t>
            </w:r>
            <w:r>
              <w:rPr>
                <w:lang w:eastAsia="en-US"/>
              </w:rPr>
              <w:t xml:space="preserve"> руб. (цена контракта по минимальному ценовому предложению)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ind w:left="57" w:right="13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right="57"/>
              <w:jc w:val="both"/>
              <w:rPr>
                <w:b/>
                <w:i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 xml:space="preserve">Цена контракта по </w:t>
            </w:r>
            <w:r>
              <w:rPr>
                <w:b/>
                <w:i/>
                <w:sz w:val="22"/>
                <w:szCs w:val="22"/>
                <w:lang w:eastAsia="en-US"/>
              </w:rPr>
              <w:t xml:space="preserve">минимальному ценовому предложению</w:t>
            </w:r>
            <w:r>
              <w:rPr>
                <w:b/>
                <w:i/>
                <w:sz w:val="22"/>
                <w:szCs w:val="22"/>
                <w:lang w:eastAsia="en-US"/>
              </w:rPr>
              <w:t xml:space="preserve"> составляет: </w:t>
            </w:r>
            <w:r>
              <w:rPr>
                <w:b/>
                <w:i/>
                <w:sz w:val="22"/>
                <w:szCs w:val="22"/>
                <w:lang w:eastAsia="en-US"/>
              </w:rPr>
              <w:t xml:space="preserve">15 045,00</w:t>
            </w:r>
            <w:r>
              <w:rPr>
                <w:b/>
                <w:i/>
                <w:sz w:val="22"/>
                <w:szCs w:val="22"/>
                <w:lang w:eastAsia="en-US"/>
              </w:rPr>
              <w:t xml:space="preserve"> руб. (</w:t>
            </w:r>
            <w:r>
              <w:rPr>
                <w:b/>
                <w:i/>
                <w:sz w:val="22"/>
                <w:szCs w:val="22"/>
                <w:lang w:eastAsia="en-US"/>
              </w:rPr>
              <w:t xml:space="preserve">Пятнадцать</w:t>
            </w:r>
            <w:r>
              <w:rPr>
                <w:b/>
                <w:i/>
                <w:sz w:val="22"/>
                <w:szCs w:val="22"/>
                <w:lang w:eastAsia="en-US"/>
              </w:rPr>
              <w:t xml:space="preserve"> тысяч </w:t>
            </w:r>
            <w:r>
              <w:rPr>
                <w:b/>
                <w:i/>
                <w:sz w:val="22"/>
                <w:szCs w:val="22"/>
                <w:lang w:eastAsia="en-US"/>
              </w:rPr>
              <w:t xml:space="preserve">сорок пять</w:t>
            </w:r>
            <w:r>
              <w:rPr>
                <w:b/>
                <w:i/>
                <w:sz w:val="22"/>
                <w:szCs w:val="22"/>
                <w:lang w:eastAsia="en-US"/>
              </w:rPr>
              <w:t xml:space="preserve"> рублей</w:t>
            </w:r>
            <w:r>
              <w:rPr>
                <w:b/>
                <w:i/>
                <w:sz w:val="22"/>
                <w:szCs w:val="22"/>
                <w:lang w:eastAsia="en-US"/>
              </w:rPr>
              <w:t xml:space="preserve"> 00 </w:t>
            </w:r>
            <w:r>
              <w:rPr>
                <w:b/>
                <w:i/>
                <w:sz w:val="22"/>
                <w:szCs w:val="22"/>
                <w:lang w:eastAsia="en-US"/>
              </w:rPr>
              <w:t xml:space="preserve">копеек).</w:t>
            </w:r>
            <w:r>
              <w:rPr>
                <w:b/>
                <w:i/>
                <w:sz w:val="22"/>
                <w:szCs w:val="22"/>
                <w:lang w:eastAsia="en-US"/>
              </w:rPr>
            </w:r>
            <w:r>
              <w:rPr>
                <w:b/>
                <w:i/>
                <w:sz w:val="22"/>
                <w:szCs w:val="22"/>
                <w:lang w:eastAsia="en-US"/>
              </w:rPr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Цена</w:t>
            </w:r>
            <w:r>
              <w:rPr>
                <w:sz w:val="22"/>
                <w:szCs w:val="22"/>
              </w:rPr>
              <w:t xml:space="preserve"> контракта, заключаемого с единственным исполнителем, включает в себя все расходы, связанные с исполнением обязательств по контракту, в т. ч. транспортные расходы, расходы на уплату пошлин, налогов, сборов и иных обязательных платежей в соответствии с </w:t>
            </w:r>
            <w:r>
              <w:rPr>
                <w:rFonts w:hint="eastAsia"/>
                <w:sz w:val="22"/>
                <w:szCs w:val="22"/>
              </w:rPr>
              <w:t xml:space="preserve">законодательством</w:t>
            </w:r>
            <w:r>
              <w:rPr>
                <w:sz w:val="22"/>
                <w:szCs w:val="22"/>
              </w:rPr>
              <w:t xml:space="preserve"> Российской Федерации.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rPr>
                <w:color w:val="ff000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Валюта</w:t>
            </w:r>
            <w:r>
              <w:rPr>
                <w:sz w:val="22"/>
                <w:szCs w:val="22"/>
              </w:rPr>
              <w:t xml:space="preserve">, используемая для формирования цены контракта и расчетов с </w:t>
            </w:r>
            <w:r>
              <w:rPr>
                <w:sz w:val="22"/>
                <w:szCs w:val="22"/>
                <w:lang w:eastAsia="en-US"/>
              </w:rPr>
              <w:t xml:space="preserve">исполнителем (поставщиком, подрядчиком) </w:t>
            </w:r>
            <w:r>
              <w:rPr>
                <w:sz w:val="22"/>
                <w:szCs w:val="22"/>
              </w:rPr>
              <w:t xml:space="preserve">– Российский рубль. 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</w:t>
            </w:r>
            <w:r>
              <w:rPr>
                <w:rFonts w:hint="eastAsia"/>
                <w:sz w:val="22"/>
                <w:szCs w:val="22"/>
              </w:rPr>
              <w:t xml:space="preserve">ри</w:t>
            </w:r>
            <w:r>
              <w:rPr>
                <w:sz w:val="22"/>
                <w:szCs w:val="22"/>
              </w:rPr>
              <w:t xml:space="preserve"> оплате контракта - не применяется, расчеты в Российских рублях.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Порядок</w:t>
            </w:r>
            <w:r>
              <w:rPr>
                <w:sz w:val="22"/>
                <w:szCs w:val="22"/>
              </w:rPr>
              <w:t xml:space="preserve">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 –не применяется, расчеты в Российских рублях.</w:t>
            </w:r>
            <w:r>
              <w:rPr>
                <w:color w:val="ff0000"/>
                <w:sz w:val="22"/>
                <w:szCs w:val="22"/>
              </w:rPr>
            </w:r>
            <w:r>
              <w:rPr>
                <w:color w:val="ff0000"/>
                <w:sz w:val="22"/>
                <w:szCs w:val="22"/>
              </w:rPr>
            </w:r>
          </w:p>
        </w:tc>
      </w:tr>
      <w:tr>
        <w:tblPrEx/>
        <w:trPr>
          <w:trHeight w:val="9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2333" w:type="dxa"/>
            <w:textDirection w:val="lrTb"/>
            <w:noWrap/>
          </w:tcPr>
          <w:p>
            <w:pPr>
              <w:ind w:right="57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Дата подготовки обоснования НМЦК: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13275" w:type="dxa"/>
            <w:textDirection w:val="lrTb"/>
            <w:noWrap w:val="false"/>
          </w:tcPr>
          <w:p>
            <w:pPr>
              <w:ind w:left="57" w:right="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  <w:p>
            <w:pPr>
              <w:ind w:left="57" w:right="57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06.07</w:t>
            </w:r>
            <w:r>
              <w:rPr>
                <w:sz w:val="22"/>
                <w:szCs w:val="22"/>
                <w:lang w:eastAsia="en-US"/>
              </w:rPr>
              <w:t xml:space="preserve">.2026</w:t>
            </w:r>
            <w:r>
              <w:rPr>
                <w:b/>
                <w:sz w:val="22"/>
                <w:szCs w:val="22"/>
                <w:lang w:eastAsia="en-US"/>
              </w:rPr>
            </w:r>
            <w:r>
              <w:rPr>
                <w:b/>
                <w:sz w:val="22"/>
                <w:szCs w:val="22"/>
                <w:lang w:eastAsia="en-US"/>
              </w:rPr>
            </w:r>
          </w:p>
        </w:tc>
      </w:tr>
      <w:tr>
        <w:tblPrEx/>
        <w:trPr>
          <w:trHeight w:val="90"/>
        </w:trPr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15608" w:type="dxa"/>
            <w:textDirection w:val="lrTb"/>
            <w:noWrap/>
          </w:tcPr>
          <w:p>
            <w:pPr>
              <w:ind w:firstLine="241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ind w:firstLine="241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Для определения ЦК в целях получения ценовой информации по предмету закупки</w:t>
            </w:r>
            <w:r>
              <w:rPr>
                <w:sz w:val="22"/>
                <w:szCs w:val="22"/>
              </w:rPr>
              <w:t xml:space="preserve"> Псковским филиалом ФГКУ Росгранстрой был направлен запрос ценовых предложений от 0</w:t>
            </w:r>
            <w:r>
              <w:rPr>
                <w:sz w:val="22"/>
                <w:szCs w:val="22"/>
              </w:rPr>
              <w:t xml:space="preserve">4</w:t>
            </w:r>
            <w:r>
              <w:rPr>
                <w:sz w:val="22"/>
                <w:szCs w:val="22"/>
              </w:rPr>
              <w:t xml:space="preserve">.05.2026 №НФ-</w:t>
            </w:r>
            <w:r>
              <w:rPr>
                <w:sz w:val="22"/>
                <w:szCs w:val="22"/>
              </w:rPr>
              <w:t xml:space="preserve">872</w:t>
            </w:r>
            <w:r>
              <w:rPr>
                <w:sz w:val="22"/>
                <w:szCs w:val="22"/>
              </w:rPr>
              <w:t xml:space="preserve">/03Ф</w:t>
            </w:r>
            <w:r>
              <w:rPr>
                <w:sz w:val="22"/>
                <w:szCs w:val="22"/>
              </w:rPr>
              <w:t xml:space="preserve"> Подрядчикам, информация о которых имеется в свободном доступе, обладающим опытом оказания аналогичных услуг. Также Псковским филиалом размещен запрос в ЕИС от </w:t>
            </w:r>
            <w:r>
              <w:rPr>
                <w:sz w:val="22"/>
                <w:szCs w:val="22"/>
              </w:rPr>
              <w:t xml:space="preserve">06</w:t>
            </w:r>
            <w:r>
              <w:rPr>
                <w:sz w:val="22"/>
                <w:szCs w:val="22"/>
              </w:rPr>
              <w:t xml:space="preserve">.05.2026 №</w:t>
            </w: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</w:rPr>
              <w:t xml:space="preserve">35710000582600004</w:t>
            </w:r>
            <w:r>
              <w:rPr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  <w:t xml:space="preserve"> и осуществлен поиск ценовой информации в реестре контрактов.</w:t>
            </w:r>
            <w:r>
              <w:rPr>
                <w:sz w:val="22"/>
                <w:szCs w:val="22"/>
              </w:rPr>
              <w:t xml:space="preserve"> В ответ на запрос ценовых предложений в адрес Псковского филиала ФГКУ Росгранстрой поступило 2 коммерческих предложени</w:t>
            </w:r>
            <w:r>
              <w:rPr>
                <w:sz w:val="22"/>
                <w:szCs w:val="22"/>
              </w:rPr>
              <w:t xml:space="preserve">я</w:t>
            </w:r>
            <w:r>
              <w:rPr>
                <w:sz w:val="22"/>
                <w:szCs w:val="22"/>
              </w:rPr>
              <w:t xml:space="preserve"> и один отказ.</w:t>
            </w:r>
            <w:bookmarkStart w:id="0" w:name="_GoBack"/>
            <w:r>
              <w:rPr>
                <w:sz w:val="22"/>
                <w:szCs w:val="22"/>
              </w:rPr>
            </w:r>
            <w:bookmarkEnd w:id="0"/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ind w:firstLine="23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Также для определения НМЦК в расчете принята информация, которая содержится в исполненном</w:t>
            </w:r>
            <w:r>
              <w:rPr>
                <w:sz w:val="22"/>
                <w:szCs w:val="22"/>
              </w:rPr>
              <w:t xml:space="preserve"> государственном</w:t>
            </w:r>
            <w:r>
              <w:rPr>
                <w:sz w:val="22"/>
                <w:szCs w:val="22"/>
              </w:rPr>
              <w:t xml:space="preserve"> контрактен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размещенном</w:t>
            </w:r>
            <w:r>
              <w:rPr>
                <w:sz w:val="22"/>
                <w:szCs w:val="22"/>
              </w:rPr>
              <w:t xml:space="preserve"> в реестре контрактов 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  <w:t xml:space="preserve">реестровый номер 1770982726626000257</w:t>
            </w:r>
            <w:r/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  <w:t xml:space="preserve"> от 24.04.2026. </w:t>
            </w:r>
            <w:r>
              <w:rPr>
                <w:sz w:val="22"/>
                <w:szCs w:val="22"/>
              </w:rPr>
              <w:t xml:space="preserve">Стоимость контракта составила 20 923,00</w:t>
            </w:r>
            <w:r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 xml:space="preserve">двадцать </w:t>
            </w:r>
            <w:r>
              <w:rPr>
                <w:sz w:val="22"/>
                <w:szCs w:val="22"/>
              </w:rPr>
              <w:t xml:space="preserve">тысяч</w:t>
            </w:r>
            <w:r>
              <w:rPr>
                <w:sz w:val="22"/>
                <w:szCs w:val="22"/>
              </w:rPr>
              <w:t xml:space="preserve"> девятьсот двадцать три рубля 00</w:t>
            </w:r>
            <w:r>
              <w:rPr>
                <w:sz w:val="22"/>
                <w:szCs w:val="22"/>
              </w:rPr>
              <w:t xml:space="preserve"> копеек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</w:rPr>
            </w:r>
          </w:p>
          <w:p>
            <w:pPr>
              <w:ind w:right="57" w:firstLine="241"/>
              <w:jc w:val="both"/>
              <w:tabs>
                <w:tab w:val="left" w:pos="632" w:leader="none"/>
              </w:tabs>
              <w:rPr>
                <w:b/>
                <w:bCs/>
                <w:i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С целью эффективности использования бюджетных средств, цена контракта, заключаемого с единственным поставщиком, по минимальной цене предложения </w:t>
            </w:r>
            <w:r>
              <w:rPr>
                <w:sz w:val="22"/>
                <w:szCs w:val="22"/>
                <w:lang w:eastAsia="en-US"/>
              </w:rPr>
              <w:t xml:space="preserve">составляет </w:t>
            </w:r>
            <w:r>
              <w:rPr>
                <w:b/>
                <w:sz w:val="22"/>
                <w:szCs w:val="22"/>
                <w:lang w:eastAsia="en-US"/>
              </w:rPr>
              <w:t xml:space="preserve">15 045,00 руб. (Пятнадцать тысяч сорок пять рублей 00 копеек)</w:t>
            </w:r>
            <w:r>
              <w:rPr>
                <w:b/>
                <w:sz w:val="22"/>
                <w:szCs w:val="22"/>
                <w:lang w:eastAsia="en-US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b/>
                <w:bCs/>
                <w:i/>
                <w:sz w:val="22"/>
                <w:szCs w:val="22"/>
              </w:rPr>
            </w:r>
          </w:p>
          <w:p>
            <w:pPr>
              <w:ind w:right="57" w:firstLine="241"/>
              <w:jc w:val="both"/>
              <w:tabs>
                <w:tab w:val="left" w:pos="632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Способ разм</w:t>
            </w:r>
            <w:r>
              <w:rPr>
                <w:sz w:val="22"/>
                <w:szCs w:val="22"/>
                <w:lang w:eastAsia="en-US"/>
              </w:rPr>
              <w:t xml:space="preserve">ещения заказа – единственный поставщик, согласно п. 4 ч. 1 ст. 93 Федерального закона № 44-ФЗ от 05.04.2013.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241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</w:r>
            <w:r>
              <w:rPr>
                <w:b/>
                <w:sz w:val="22"/>
                <w:szCs w:val="22"/>
                <w:lang w:eastAsia="en-US"/>
              </w:rPr>
            </w:r>
            <w:r>
              <w:rPr>
                <w:b/>
                <w:sz w:val="22"/>
                <w:szCs w:val="22"/>
                <w:lang w:eastAsia="en-US"/>
              </w:rPr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ind w:left="6" w:firstLine="561"/>
        <w:jc w:val="both"/>
        <w:rPr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 xml:space="preserve">Согласовано</w:t>
      </w:r>
      <w:r>
        <w:rPr>
          <w:sz w:val="22"/>
          <w:szCs w:val="22"/>
          <w:u w:val="single"/>
        </w:rPr>
        <w:t xml:space="preserve">:</w:t>
      </w:r>
      <w:r>
        <w:rPr>
          <w:sz w:val="22"/>
          <w:szCs w:val="22"/>
          <w:u w:val="single"/>
        </w:rPr>
      </w:r>
      <w:r>
        <w:rPr>
          <w:sz w:val="22"/>
          <w:szCs w:val="22"/>
          <w:u w:val="single"/>
        </w:rPr>
      </w:r>
    </w:p>
    <w:p>
      <w:pPr>
        <w:ind w:left="6" w:firstLine="561"/>
        <w:jc w:val="both"/>
        <w:spacing w:before="0" w:beforeAutospacing="0"/>
        <w:rPr>
          <w:sz w:val="22"/>
          <w:szCs w:val="22"/>
        </w:rPr>
      </w:pPr>
      <w:r>
        <w:rPr>
          <w:sz w:val="22"/>
          <w:szCs w:val="22"/>
        </w:rPr>
        <w:t xml:space="preserve">З</w:t>
      </w:r>
      <w:r>
        <w:rPr>
          <w:sz w:val="22"/>
          <w:szCs w:val="22"/>
        </w:rPr>
        <w:t xml:space="preserve">аместитель директо</w:t>
      </w:r>
      <w:r>
        <w:rPr>
          <w:sz w:val="22"/>
          <w:szCs w:val="22"/>
        </w:rPr>
        <w:t xml:space="preserve">р</w:t>
      </w:r>
      <w:r>
        <w:rPr>
          <w:sz w:val="22"/>
          <w:szCs w:val="22"/>
        </w:rPr>
        <w:t xml:space="preserve">а - главный инженер</w:t>
      </w:r>
      <w:r>
        <w:rPr>
          <w:sz w:val="22"/>
          <w:szCs w:val="22"/>
        </w:rPr>
        <w:t xml:space="preserve">                      </w:t>
      </w:r>
      <w:r>
        <w:rPr>
          <w:sz w:val="22"/>
          <w:szCs w:val="22"/>
        </w:rPr>
        <w:t xml:space="preserve">_______________ </w:t>
      </w:r>
      <w:r>
        <w:rPr>
          <w:sz w:val="22"/>
          <w:szCs w:val="22"/>
        </w:rPr>
        <w:t xml:space="preserve">О.А. </w:t>
      </w:r>
      <w:r>
        <w:rPr>
          <w:sz w:val="22"/>
          <w:szCs w:val="22"/>
        </w:rPr>
        <w:t xml:space="preserve">Маличенко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6" w:firstLine="561"/>
        <w:jc w:val="both"/>
        <w:spacing w:before="0" w:beforeAutospacing="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6" w:firstLine="561"/>
        <w:jc w:val="both"/>
        <w:spacing w:before="0" w:beforeAutospacing="0"/>
        <w:rPr>
          <w:sz w:val="22"/>
          <w:szCs w:val="22"/>
        </w:rPr>
      </w:pPr>
      <w:r>
        <w:rPr>
          <w:sz w:val="22"/>
          <w:szCs w:val="22"/>
        </w:rPr>
        <w:t xml:space="preserve">И.о. н</w:t>
      </w:r>
      <w:r>
        <w:rPr>
          <w:sz w:val="22"/>
          <w:szCs w:val="22"/>
        </w:rPr>
        <w:t xml:space="preserve">ачальника отдела по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6" w:firstLine="561"/>
        <w:jc w:val="both"/>
        <w:spacing w:before="0" w:beforeAutospacing="0"/>
        <w:rPr>
          <w:sz w:val="22"/>
          <w:szCs w:val="22"/>
        </w:rPr>
      </w:pPr>
      <w:r>
        <w:rPr>
          <w:sz w:val="22"/>
          <w:szCs w:val="22"/>
        </w:rPr>
        <w:t xml:space="preserve">эксплуатации и обслуживанию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________________ </w:t>
      </w:r>
      <w:r>
        <w:rPr>
          <w:sz w:val="22"/>
          <w:szCs w:val="22"/>
        </w:rPr>
        <w:t xml:space="preserve">Ю.А. Погорелов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6" w:firstLine="561"/>
        <w:jc w:val="both"/>
        <w:spacing w:before="0" w:beforeAutospacing="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  <w:r>
        <w:rPr>
          <w:sz w:val="22"/>
          <w:szCs w:val="22"/>
          <w:u w:val="single"/>
        </w:rPr>
      </w:r>
      <w:r>
        <w:rPr>
          <w:sz w:val="22"/>
          <w:szCs w:val="22"/>
          <w:u w:val="single"/>
        </w:rPr>
      </w:r>
    </w:p>
    <w:p>
      <w:pPr>
        <w:ind w:left="6" w:firstLine="561"/>
        <w:jc w:val="both"/>
        <w:spacing w:before="0" w:beforeAutospacing="0"/>
        <w:rPr>
          <w:sz w:val="22"/>
          <w:szCs w:val="22"/>
        </w:rPr>
      </w:pPr>
      <w:r>
        <w:rPr>
          <w:sz w:val="22"/>
          <w:szCs w:val="22"/>
        </w:rPr>
        <w:t xml:space="preserve">Начальник отдела - главный бухгалтер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6" w:firstLine="561"/>
        <w:jc w:val="both"/>
        <w:spacing w:before="0" w:beforeAutospacing="0"/>
        <w:rPr>
          <w:sz w:val="22"/>
          <w:szCs w:val="22"/>
        </w:rPr>
      </w:pPr>
      <w:r>
        <w:rPr>
          <w:sz w:val="22"/>
          <w:szCs w:val="22"/>
        </w:rPr>
        <w:t xml:space="preserve">по экономике и финансам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________________ Н.А. Алексеева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284"/>
        <w:spacing w:before="0" w:beforeAutospacing="0"/>
      </w:pPr>
      <w:r>
        <w:rPr>
          <w:highlight w:val="none"/>
        </w:rPr>
      </w:r>
      <w:r>
        <w:rPr>
          <w:highlight w:val="none"/>
        </w:rPr>
      </w:r>
      <w:r/>
    </w:p>
    <w:p>
      <w:pPr>
        <w:ind w:left="567" w:right="0" w:firstLine="0"/>
        <w:spacing w:before="0" w:beforeAutospacing="0"/>
        <w:rPr>
          <w:sz w:val="22"/>
          <w:szCs w:val="22"/>
          <w:highlight w:val="none"/>
        </w:rPr>
      </w:pPr>
      <w:r>
        <w:rPr>
          <w:sz w:val="22"/>
          <w:szCs w:val="22"/>
        </w:rPr>
        <w:t xml:space="preserve">Специалист отдела по экономике</w:t>
      </w:r>
      <w:r>
        <w:rPr>
          <w:sz w:val="22"/>
          <w:szCs w:val="22"/>
        </w:rPr>
      </w:r>
      <w:r>
        <w:rPr>
          <w:sz w:val="22"/>
          <w:szCs w:val="22"/>
          <w:highlight w:val="none"/>
        </w:rPr>
      </w:r>
    </w:p>
    <w:p>
      <w:pPr>
        <w:ind w:left="567" w:right="0" w:firstLine="0"/>
        <w:spacing w:before="0" w:beforeAutospacing="0"/>
        <w:rPr>
          <w:sz w:val="22"/>
          <w:szCs w:val="22"/>
        </w:rPr>
      </w:pPr>
      <w:r>
        <w:rPr>
          <w:sz w:val="22"/>
          <w:szCs w:val="22"/>
        </w:rPr>
        <w:t xml:space="preserve"> и финансам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_______________    О.В. Михайлова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6" w:firstLine="561"/>
        <w:jc w:val="both"/>
        <w:spacing w:before="0" w:beforeAutospacing="0"/>
        <w:rPr>
          <w:bCs/>
          <w:i/>
          <w:sz w:val="22"/>
          <w:szCs w:val="22"/>
          <w:u w:val="single"/>
        </w:rPr>
      </w:pPr>
      <w:r>
        <w:rPr>
          <w:i/>
          <w:sz w:val="22"/>
          <w:szCs w:val="22"/>
          <w:highlight w:val="none"/>
          <w:u w:val="single"/>
        </w:rPr>
      </w:r>
      <w:r>
        <w:rPr>
          <w:i/>
          <w:sz w:val="22"/>
          <w:szCs w:val="22"/>
          <w:highlight w:val="none"/>
          <w:u w:val="single"/>
        </w:rPr>
      </w:r>
      <w:r>
        <w:rPr>
          <w:bCs/>
          <w:i/>
          <w:sz w:val="22"/>
          <w:szCs w:val="22"/>
          <w:u w:val="single"/>
        </w:rPr>
      </w:r>
    </w:p>
    <w:p>
      <w:pPr>
        <w:ind w:left="6" w:firstLine="561"/>
        <w:jc w:val="both"/>
        <w:spacing w:before="0" w:beforeAutospacing="0"/>
        <w:rPr>
          <w:bCs/>
          <w:i/>
          <w:sz w:val="22"/>
          <w:szCs w:val="22"/>
          <w:highlight w:val="none"/>
          <w:u w:val="single"/>
        </w:rPr>
      </w:pPr>
      <w:r>
        <w:rPr>
          <w:i/>
          <w:sz w:val="22"/>
          <w:szCs w:val="22"/>
          <w:u w:val="single"/>
        </w:rPr>
        <w:t xml:space="preserve">Выполнил:</w:t>
      </w:r>
      <w:r>
        <w:rPr>
          <w:bCs/>
          <w:i/>
          <w:sz w:val="22"/>
          <w:szCs w:val="22"/>
          <w:highlight w:val="none"/>
          <w:u w:val="single"/>
        </w:rPr>
      </w:r>
      <w:r>
        <w:rPr>
          <w:bCs/>
          <w:i/>
          <w:sz w:val="22"/>
          <w:szCs w:val="22"/>
          <w:highlight w:val="none"/>
          <w:u w:val="single"/>
        </w:rPr>
      </w:r>
    </w:p>
    <w:p>
      <w:pPr>
        <w:ind w:left="6" w:firstLine="561"/>
        <w:spacing w:before="0" w:beforeAutospacing="0"/>
        <w:rPr>
          <w:sz w:val="22"/>
          <w:szCs w:val="22"/>
        </w:rPr>
      </w:pPr>
      <w:r>
        <w:rPr>
          <w:sz w:val="22"/>
          <w:szCs w:val="22"/>
        </w:rPr>
        <w:t xml:space="preserve">Инженер</w:t>
      </w:r>
      <w:r>
        <w:rPr>
          <w:sz w:val="22"/>
          <w:szCs w:val="22"/>
        </w:rPr>
        <w:t xml:space="preserve"> отдела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 эксплуатации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6" w:firstLine="561"/>
        <w:spacing w:before="0" w:beforeAutospacing="0"/>
        <w:rPr>
          <w:sz w:val="22"/>
          <w:szCs w:val="22"/>
        </w:rPr>
      </w:pPr>
      <w:r>
        <w:rPr>
          <w:sz w:val="22"/>
          <w:szCs w:val="22"/>
        </w:rPr>
        <w:t xml:space="preserve">и обслуживанию </w:t>
      </w:r>
      <w:r>
        <w:rPr>
          <w:sz w:val="22"/>
          <w:szCs w:val="22"/>
        </w:rPr>
        <w:tab/>
        <w:t xml:space="preserve">                       </w:t>
      </w:r>
      <w:r>
        <w:rPr>
          <w:sz w:val="22"/>
          <w:szCs w:val="22"/>
        </w:rPr>
        <w:t xml:space="preserve">                             </w:t>
      </w:r>
      <w:r>
        <w:rPr>
          <w:sz w:val="22"/>
          <w:szCs w:val="22"/>
        </w:rPr>
        <w:t xml:space="preserve"> _________________ </w:t>
      </w:r>
      <w:r>
        <w:rPr>
          <w:sz w:val="22"/>
          <w:szCs w:val="22"/>
        </w:rPr>
        <w:t xml:space="preserve">К.Ю. Ильина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6" w:firstLine="561"/>
        <w:jc w:val="both"/>
        <w:spacing w:before="0" w:beforeAutospacing="0"/>
        <w:rPr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</w:r>
      <w:r>
        <w:rPr>
          <w:i/>
          <w:sz w:val="22"/>
          <w:szCs w:val="22"/>
          <w:u w:val="single"/>
        </w:rPr>
      </w:r>
      <w:r>
        <w:rPr>
          <w:i/>
          <w:sz w:val="22"/>
          <w:szCs w:val="22"/>
          <w:u w:val="single"/>
        </w:rPr>
      </w:r>
    </w:p>
    <w:p>
      <w:pPr>
        <w:ind w:firstLine="720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sectPr>
      <w:footerReference w:type="default" r:id="rId9"/>
      <w:footnotePr/>
      <w:endnotePr/>
      <w:type w:val="nextPage"/>
      <w:pgSz w:w="16840" w:h="11907" w:orient="landscape"/>
      <w:pgMar w:top="851" w:right="851" w:bottom="680" w:left="851" w:header="720" w:footer="720" w:gutter="0"/>
      <w:cols w:num="1" w:sep="0" w:space="6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MS Sans Serif">
    <w:panose1 w:val="02000603000000000000"/>
  </w:font>
  <w:font w:name="DejaVu Sans">
    <w:panose1 w:val="020B0603030804020204"/>
  </w:font>
  <w:font w:name="Lucida Sans Unicode">
    <w:panose1 w:val="020B0603030804020204"/>
  </w:font>
  <w:font w:name="Courier New">
    <w:panose1 w:val="02070309020205020404"/>
  </w:font>
  <w:font w:name="MS Mincho">
    <w:panose1 w:val="02020503050405090304"/>
  </w:font>
  <w:font w:name="Tahoma">
    <w:panose1 w:val="020B0604030504040204"/>
  </w:font>
  <w:font w:name="Cambria">
    <w:panose1 w:val="020408030504060302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4</w:t>
    </w:r>
    <w:r>
      <w:fldChar w:fldCharType="end"/>
    </w:r>
    <w:r/>
  </w:p>
  <w:p>
    <w:pPr>
      <w:widowControl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*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20.%1."/>
      <w:legacy w:legacy="1" w:legacyIndent="519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15.%1."/>
      <w:legacy w:legacy="1" w:legacyIndent="504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5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egacy w:legacy="1" w:legacyIndent="240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2"/>
      <w:numFmt w:val="decimal"/>
      <w:isLgl w:val="false"/>
      <w:suff w:val="tab"/>
      <w:lvlText w:val="12.%1."/>
      <w:legacy w:legacy="1" w:legacyIndent="509" w:legacySpace="0"/>
      <w:lvlJc w:val="left"/>
      <w:pPr/>
      <w:rPr>
        <w:rFonts w:hint="default" w:ascii="Times New Roman" w:hAnsi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4.%1."/>
      <w:legacy w:legacy="1" w:legacyIndent="41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7.%1."/>
      <w:legacy w:legacy="1" w:legacyIndent="437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5"/>
      <w:numFmt w:val="decimal"/>
      <w:isLgl w:val="false"/>
      <w:suff w:val="tab"/>
      <w:lvlText w:val="33.%1."/>
      <w:legacy w:legacy="1" w:legacyIndent="514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16.%1."/>
      <w:legacy w:legacy="1" w:legacyIndent="509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8.%1."/>
      <w:legacy w:legacy="1" w:legacyIndent="446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2.%1."/>
      <w:legacy w:legacy="1" w:legacyIndent="384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2"/>
      <w:numFmt w:val="decimal"/>
      <w:isLgl w:val="false"/>
      <w:suff w:val="tab"/>
      <w:lvlText w:val="%1)"/>
      <w:legacy w:legacy="1" w:legacyIndent="317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26.%1."/>
      <w:legacy w:legacy="1" w:legacyIndent="547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2"/>
      <w:numFmt w:val="decimal"/>
      <w:isLgl w:val="false"/>
      <w:suff w:val="tab"/>
      <w:lvlText w:val="35.%1."/>
      <w:legacy w:legacy="1" w:legacyIndent="547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14.%1."/>
      <w:legacy w:legacy="1" w:legacyIndent="480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3"/>
      <w:numFmt w:val="decimal"/>
      <w:isLgl w:val="false"/>
      <w:suff w:val="tab"/>
      <w:lvlText w:val="24.%1."/>
      <w:legacy w:legacy="1" w:legacyIndent="509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10.%1."/>
      <w:legacy w:legacy="1" w:legacyIndent="509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568" w:firstLine="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21.%1."/>
      <w:legacy w:legacy="1" w:legacyIndent="591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29.%1."/>
      <w:legacy w:legacy="1" w:legacyIndent="509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egacy w:legacy="1" w:legacyIndent="259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egacy w:legacy="1" w:legacyIndent="240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25"/>
      <w:numFmt w:val="decimal"/>
      <w:isLgl w:val="false"/>
      <w:suff w:val="tab"/>
      <w:lvlText w:val="%1."/>
      <w:legacy w:legacy="1" w:legacyIndent="327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12.%1."/>
      <w:legacy w:legacy="1" w:legacyIndent="509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)"/>
      <w:legacy w:legacy="1" w:legacyIndent="216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lvl w:ilvl="0">
      <w:start w:val="26"/>
      <w:numFmt w:val="decimal"/>
      <w:isLgl w:val="false"/>
      <w:suff w:val="tab"/>
      <w:lvlText w:val="%1."/>
      <w:legacy w:legacy="1" w:legacyIndent="327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6.%1."/>
      <w:legacy w:legacy="1" w:legacyIndent="446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2"/>
      <w:numFmt w:val="decimal"/>
      <w:isLgl w:val="false"/>
      <w:suff w:val="tab"/>
      <w:lvlText w:val="11.%1."/>
      <w:legacy w:legacy="1" w:legacyIndent="562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2">
    <w:multiLevelType w:val="hybridMultilevel"/>
    <w:lvl w:ilvl="0">
      <w:start w:val="3"/>
      <w:numFmt w:val="decimal"/>
      <w:isLgl w:val="false"/>
      <w:suff w:val="tab"/>
      <w:lvlText w:val="13.%1."/>
      <w:legacy w:legacy="1" w:legacyIndent="471" w:legacySpace="0"/>
      <w:lvlJc w:val="left"/>
      <w:pPr/>
      <w:rPr>
        <w:rFonts w:hint="default" w:ascii="Times New Roman" w:hAnsi="Times New Roman" w:cs="Times New Roman"/>
        <w:b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13.%1."/>
      <w:legacy w:legacy="1" w:legacyIndent="471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22.%1."/>
      <w:legacy w:legacy="1" w:legacyIndent="547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5">
    <w:multiLevelType w:val="hybridMultilevel"/>
    <w:lvl w:ilvl="0">
      <w:start w:val="4"/>
      <w:numFmt w:val="decimal"/>
      <w:isLgl w:val="false"/>
      <w:suff w:val="tab"/>
      <w:lvlText w:val="%1)"/>
      <w:legacy w:legacy="1" w:legacyIndent="264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18.%1."/>
      <w:legacy w:legacy="1" w:legacyIndent="524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8">
    <w:multiLevelType w:val="hybridMultilevel"/>
    <w:lvl w:ilvl="0">
      <w:start w:val="6"/>
      <w:numFmt w:val="decimal"/>
      <w:isLgl w:val="false"/>
      <w:suff w:val="tab"/>
      <w:lvlText w:val="34.%1."/>
      <w:lvlJc w:val="left"/>
      <w:pPr>
        <w:ind w:left="426" w:firstLine="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851" w:hanging="284"/>
        <w:tabs>
          <w:tab w:val="num" w:pos="851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40">
    <w:multiLevelType w:val="hybridMultilevel"/>
    <w:lvl w:ilvl="0">
      <w:start w:val="2"/>
      <w:numFmt w:val="decimal"/>
      <w:isLgl w:val="false"/>
      <w:suff w:val="tab"/>
      <w:lvlText w:val="22.%1."/>
      <w:legacy w:legacy="1" w:legacyIndent="547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1">
    <w:multiLevelType w:val="hybridMultilevel"/>
    <w:lvl w:ilvl="0">
      <w:start w:val="2"/>
      <w:numFmt w:val="decimal"/>
      <w:isLgl w:val="false"/>
      <w:suff w:val="tab"/>
      <w:lvlText w:val="34.%1."/>
      <w:legacy w:legacy="1" w:legacyIndent="610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2">
    <w:multiLevelType w:val="hybridMultilevel"/>
    <w:lvl w:ilvl="0">
      <w:start w:val="32"/>
      <w:numFmt w:val="decimal"/>
      <w:isLgl w:val="false"/>
      <w:suff w:val="tab"/>
      <w:lvlText w:val="%1."/>
      <w:legacy w:legacy="1" w:legacyIndent="331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28.%1."/>
      <w:legacy w:legacy="1" w:legacyIndent="499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4">
    <w:multiLevelType w:val="hybridMultilevel"/>
    <w:lvl w:ilvl="0">
      <w:start w:val="2"/>
      <w:numFmt w:val="decimal"/>
      <w:isLgl w:val="false"/>
      <w:suff w:val="tab"/>
      <w:lvlText w:val="8.%1."/>
      <w:legacy w:legacy="1" w:legacyIndent="446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5">
    <w:multiLevelType w:val="hybridMultilevel"/>
    <w:lvl w:ilvl="0">
      <w:start w:val="33"/>
      <w:numFmt w:val="decimal"/>
      <w:isLgl w:val="false"/>
      <w:suff w:val="tab"/>
      <w:lvlText w:val="%1."/>
      <w:legacy w:legacy="1" w:legacyIndent="331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6">
    <w:multiLevelType w:val="hybridMultilevel"/>
    <w:lvl w:ilvl="0">
      <w:start w:val="3"/>
      <w:numFmt w:val="decimal"/>
      <w:isLgl w:val="false"/>
      <w:suff w:val="tab"/>
      <w:lvlText w:val="11.%1."/>
      <w:legacy w:legacy="1" w:legacyIndent="490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7">
    <w:multiLevelType w:val="hybridMultilevel"/>
    <w:lvl w:ilvl="0">
      <w:start w:val="2"/>
      <w:numFmt w:val="decimal"/>
      <w:isLgl w:val="false"/>
      <w:suff w:val="tab"/>
      <w:lvlText w:val="31.%1."/>
      <w:legacy w:legacy="1" w:legacyIndent="52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33.%1."/>
      <w:legacy w:legacy="1" w:legacyIndent="494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9">
    <w:multiLevelType w:val="hybridMultilevel"/>
    <w:lvl w:ilvl="0">
      <w:start w:val="6"/>
      <w:numFmt w:val="decimal"/>
      <w:isLgl w:val="false"/>
      <w:suff w:val="tab"/>
      <w:lvlText w:val="35.%1."/>
      <w:lvlJc w:val="left"/>
      <w:pPr>
        <w:ind w:left="0" w:firstLine="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0">
    <w:multiLevelType w:val="hybridMultilevel"/>
    <w:lvl w:ilvl="0">
      <w:start w:val="4"/>
      <w:numFmt w:val="decimal"/>
      <w:isLgl w:val="false"/>
      <w:suff w:val="tab"/>
      <w:lvlText w:val="20.%1."/>
      <w:legacy w:legacy="1" w:legacyIndent="600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1">
    <w:multiLevelType w:val="hybridMultilevel"/>
    <w:lvl w:ilvl="0">
      <w:start w:val="3"/>
      <w:numFmt w:val="decimal"/>
      <w:isLgl w:val="false"/>
      <w:suff w:val="tab"/>
      <w:lvlText w:val="%1."/>
      <w:legacy w:legacy="1" w:legacyIndent="221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621" w:hanging="105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192" w:hanging="105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763" w:hanging="105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36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93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86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5437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6368" w:hanging="1800"/>
      </w:pPr>
      <w:rPr>
        <w:rFonts w:hint="default"/>
      </w:r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17" w:hanging="360"/>
      </w:pPr>
      <w:rPr>
        <w:rFonts w:hint="default" w:ascii="Times New Roman" w:hAnsi="Times New Roman" w:cs="Times New Roman"/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77" w:hanging="180"/>
      </w:pPr>
    </w:lvl>
  </w:abstractNum>
  <w:abstractNum w:abstractNumId="53">
    <w:multiLevelType w:val="hybridMultilevel"/>
    <w:lvl w:ilvl="0">
      <w:start w:val="4"/>
      <w:numFmt w:val="decimal"/>
      <w:isLgl w:val="false"/>
      <w:suff w:val="tab"/>
      <w:lvlText w:val="%1."/>
      <w:legacy w:legacy="1" w:legacyIndent="221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4">
    <w:multiLevelType w:val="hybridMultilevel"/>
    <w:lvl w:ilvl="0">
      <w:start w:val="6"/>
      <w:numFmt w:val="decimal"/>
      <w:isLgl w:val="false"/>
      <w:suff w:val="tab"/>
      <w:lvlText w:val="%1)"/>
      <w:legacy w:legacy="1" w:legacyIndent="341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2"/>
  </w:num>
  <w:num w:numId="2">
    <w:abstractNumId w:val="51"/>
  </w:num>
  <w:num w:numId="3">
    <w:abstractNumId w:val="53"/>
  </w:num>
  <w:num w:numId="4">
    <w:abstractNumId w:val="7"/>
    <w:lvlOverride w:ilvl="0">
      <w:lvl w:ilvl="0">
        <w:start w:val="1"/>
        <w:numFmt w:val="decimal"/>
        <w:isLgl w:val="false"/>
        <w:suff w:val="tab"/>
        <w:lvlText w:val="4.%1."/>
        <w:legacy w:legacy="1" w:legacyIndent="504" w:legacySpace="0"/>
        <w:lvlJc w:val="left"/>
        <w:pPr/>
        <w:rPr>
          <w:rFonts w:hint="default" w:ascii="Times New Roman" w:hAnsi="Times New Roman" w:cs="Times New Roman"/>
        </w:rPr>
      </w:lvl>
    </w:lvlOverride>
  </w:num>
  <w:num w:numId="5">
    <w:abstractNumId w:val="0"/>
    <w:lvlOverride w:ilvl="0">
      <w:lvl w:ilvl="0">
        <w:start w:val="65535"/>
        <w:numFmt w:val="bullet"/>
        <w:isLgl w:val="false"/>
        <w:suff w:val="tab"/>
        <w:lvlText w:val="-"/>
        <w:legacy w:legacy="1" w:legacyIndent="202" w:legacySpace="0"/>
        <w:lvlJc w:val="left"/>
        <w:pPr/>
        <w:rPr>
          <w:rFonts w:hint="default" w:ascii="Times New Roman" w:hAnsi="Times New Roman" w:cs="Times New Roman"/>
        </w:rPr>
      </w:lvl>
    </w:lvlOverride>
  </w:num>
  <w:num w:numId="6">
    <w:abstractNumId w:val="30"/>
  </w:num>
  <w:num w:numId="7">
    <w:abstractNumId w:val="8"/>
  </w:num>
  <w:num w:numId="8">
    <w:abstractNumId w:val="11"/>
  </w:num>
  <w:num w:numId="9">
    <w:abstractNumId w:val="44"/>
  </w:num>
  <w:num w:numId="10">
    <w:abstractNumId w:val="44"/>
    <w:lvlOverride w:ilvl="0">
      <w:lvl w:ilvl="0">
        <w:start w:val="2"/>
        <w:numFmt w:val="decimal"/>
        <w:isLgl w:val="false"/>
        <w:suff w:val="tab"/>
        <w:lvlText w:val="8.%1."/>
        <w:legacy w:legacy="1" w:legacyIndent="456" w:legacySpace="0"/>
        <w:lvlJc w:val="left"/>
        <w:pPr/>
        <w:rPr>
          <w:rFonts w:hint="default" w:ascii="Times New Roman" w:hAnsi="Times New Roman" w:cs="Times New Roman"/>
        </w:rPr>
      </w:lvl>
    </w:lvlOverride>
  </w:num>
  <w:num w:numId="11">
    <w:abstractNumId w:val="18"/>
  </w:num>
  <w:num w:numId="12">
    <w:abstractNumId w:val="31"/>
  </w:num>
  <w:num w:numId="13">
    <w:abstractNumId w:val="46"/>
  </w:num>
  <w:num w:numId="14">
    <w:abstractNumId w:val="27"/>
  </w:num>
  <w:num w:numId="15">
    <w:abstractNumId w:val="5"/>
  </w:num>
  <w:num w:numId="16">
    <w:abstractNumId w:val="33"/>
  </w:num>
  <w:num w:numId="17">
    <w:abstractNumId w:val="4"/>
  </w:num>
  <w:num w:numId="18">
    <w:abstractNumId w:val="32"/>
  </w:num>
  <w:num w:numId="19">
    <w:abstractNumId w:val="35"/>
  </w:num>
  <w:num w:numId="20">
    <w:abstractNumId w:val="16"/>
  </w:num>
  <w:num w:numId="21">
    <w:abstractNumId w:val="2"/>
  </w:num>
  <w:num w:numId="22">
    <w:abstractNumId w:val="10"/>
  </w:num>
  <w:num w:numId="23">
    <w:abstractNumId w:val="10"/>
    <w:lvlOverride w:ilvl="0">
      <w:lvl w:ilvl="0">
        <w:start w:val="1"/>
        <w:numFmt w:val="decimal"/>
        <w:isLgl w:val="false"/>
        <w:suff w:val="tab"/>
        <w:lvlText w:val="16.%1."/>
        <w:legacy w:legacy="1" w:legacyIndent="586" w:legacySpace="0"/>
        <w:lvlJc w:val="left"/>
        <w:pPr/>
        <w:rPr>
          <w:rFonts w:hint="default" w:ascii="Times New Roman" w:hAnsi="Times New Roman" w:cs="Times New Roman"/>
        </w:rPr>
      </w:lvl>
    </w:lvlOverride>
  </w:num>
  <w:num w:numId="24">
    <w:abstractNumId w:val="10"/>
    <w:lvlOverride w:ilvl="0">
      <w:lvl w:ilvl="0">
        <w:start w:val="1"/>
        <w:numFmt w:val="decimal"/>
        <w:isLgl w:val="false"/>
        <w:suff w:val="tab"/>
        <w:lvlText w:val="16.%1."/>
        <w:legacy w:legacy="1" w:legacyIndent="480" w:legacySpace="0"/>
        <w:lvlJc w:val="left"/>
        <w:pPr/>
        <w:rPr>
          <w:rFonts w:hint="default" w:ascii="Times New Roman" w:hAnsi="Times New Roman" w:cs="Times New Roman"/>
        </w:rPr>
      </w:lvl>
    </w:lvlOverride>
  </w:num>
  <w:num w:numId="25">
    <w:abstractNumId w:val="23"/>
  </w:num>
  <w:num w:numId="26">
    <w:abstractNumId w:val="19"/>
  </w:num>
  <w:num w:numId="27">
    <w:abstractNumId w:val="37"/>
  </w:num>
  <w:num w:numId="28">
    <w:abstractNumId w:val="1"/>
  </w:num>
  <w:num w:numId="29">
    <w:abstractNumId w:val="50"/>
  </w:num>
  <w:num w:numId="30">
    <w:abstractNumId w:val="50"/>
    <w:lvlOverride w:ilvl="0">
      <w:lvl w:ilvl="0">
        <w:start w:val="4"/>
        <w:numFmt w:val="decimal"/>
        <w:isLgl w:val="false"/>
        <w:suff w:val="tab"/>
        <w:lvlText w:val="20.%1."/>
        <w:legacy w:legacy="1" w:legacyIndent="509" w:legacySpace="0"/>
        <w:lvlJc w:val="left"/>
        <w:pPr/>
        <w:rPr>
          <w:rFonts w:hint="default" w:ascii="Times New Roman" w:hAnsi="Times New Roman" w:cs="Times New Roman"/>
        </w:rPr>
      </w:lvl>
    </w:lvlOverride>
  </w:num>
  <w:num w:numId="31">
    <w:abstractNumId w:val="20"/>
  </w:num>
  <w:num w:numId="32">
    <w:abstractNumId w:val="20"/>
    <w:lvlOverride w:ilvl="0">
      <w:lvl w:ilvl="0">
        <w:start w:val="1"/>
        <w:numFmt w:val="decimal"/>
        <w:isLgl w:val="false"/>
        <w:suff w:val="tab"/>
        <w:lvlText w:val="21.%1."/>
        <w:legacy w:legacy="1" w:legacyIndent="509" w:legacySpace="0"/>
        <w:lvlJc w:val="left"/>
        <w:pPr/>
        <w:rPr>
          <w:rFonts w:hint="default" w:ascii="Times New Roman" w:hAnsi="Times New Roman" w:cs="Times New Roman"/>
        </w:rPr>
      </w:lvl>
    </w:lvlOverride>
  </w:num>
  <w:num w:numId="33">
    <w:abstractNumId w:val="34"/>
  </w:num>
  <w:num w:numId="34">
    <w:abstractNumId w:val="0"/>
    <w:lvlOverride w:ilvl="0">
      <w:lvl w:ilvl="0">
        <w:start w:val="65535"/>
        <w:numFmt w:val="bullet"/>
        <w:isLgl w:val="false"/>
        <w:suff w:val="tab"/>
        <w:lvlText w:val="-"/>
        <w:legacy w:legacy="1" w:legacyIndent="173" w:legacySpace="0"/>
        <w:lvlJc w:val="left"/>
        <w:pPr/>
        <w:rPr>
          <w:rFonts w:hint="default" w:ascii="Times New Roman" w:hAnsi="Times New Roman" w:cs="Times New Roman"/>
        </w:rPr>
      </w:lvl>
    </w:lvlOverride>
  </w:num>
  <w:num w:numId="35">
    <w:abstractNumId w:val="40"/>
  </w:num>
  <w:num w:numId="36">
    <w:abstractNumId w:val="40"/>
    <w:lvlOverride w:ilvl="0">
      <w:lvl w:ilvl="0">
        <w:start w:val="3"/>
        <w:numFmt w:val="decimal"/>
        <w:isLgl w:val="false"/>
        <w:suff w:val="tab"/>
        <w:lvlText w:val="22.%1."/>
        <w:legacy w:legacy="1" w:legacyIndent="547" w:legacySpace="0"/>
        <w:lvlJc w:val="left"/>
        <w:pPr/>
        <w:rPr>
          <w:rFonts w:hint="default" w:ascii="Times New Roman" w:hAnsi="Times New Roman" w:cs="Times New Roman"/>
        </w:rPr>
      </w:lvl>
    </w:lvlOverride>
  </w:num>
  <w:num w:numId="37">
    <w:abstractNumId w:val="17"/>
  </w:num>
  <w:num w:numId="38">
    <w:abstractNumId w:val="25"/>
  </w:num>
  <w:num w:numId="39">
    <w:abstractNumId w:val="29"/>
  </w:num>
  <w:num w:numId="40">
    <w:abstractNumId w:val="14"/>
  </w:num>
  <w:num w:numId="41">
    <w:abstractNumId w:val="43"/>
  </w:num>
  <w:num w:numId="42">
    <w:abstractNumId w:val="22"/>
  </w:num>
  <w:num w:numId="43">
    <w:abstractNumId w:val="22"/>
    <w:lvlOverride w:ilvl="0">
      <w:lvl w:ilvl="0">
        <w:start w:val="3"/>
        <w:numFmt w:val="decimal"/>
        <w:isLgl w:val="false"/>
        <w:suff w:val="tab"/>
        <w:lvlText w:val="29.%1."/>
        <w:legacy w:legacy="1" w:legacyIndent="533" w:legacySpace="0"/>
        <w:lvlJc w:val="left"/>
        <w:pPr/>
        <w:rPr>
          <w:rFonts w:hint="default" w:ascii="Times New Roman" w:hAnsi="Times New Roman" w:cs="Times New Roman"/>
        </w:rPr>
      </w:lvl>
    </w:lvlOverride>
  </w:num>
  <w:num w:numId="44">
    <w:abstractNumId w:val="28"/>
  </w:num>
  <w:num w:numId="45">
    <w:abstractNumId w:val="13"/>
  </w:num>
  <w:num w:numId="46">
    <w:abstractNumId w:val="47"/>
  </w:num>
  <w:num w:numId="47">
    <w:abstractNumId w:val="47"/>
    <w:lvlOverride w:ilvl="0">
      <w:lvl w:ilvl="0">
        <w:start w:val="2"/>
        <w:numFmt w:val="decimal"/>
        <w:isLgl w:val="false"/>
        <w:suff w:val="tab"/>
        <w:lvlText w:val="31.%1."/>
        <w:legacy w:legacy="1" w:legacyIndent="576" w:legacySpace="0"/>
        <w:lvlJc w:val="left"/>
        <w:pPr/>
        <w:rPr>
          <w:rFonts w:hint="default" w:ascii="Times New Roman" w:hAnsi="Times New Roman" w:cs="Times New Roman"/>
        </w:rPr>
      </w:lvl>
    </w:lvlOverride>
  </w:num>
  <w:num w:numId="48">
    <w:abstractNumId w:val="42"/>
  </w:num>
  <w:num w:numId="49">
    <w:abstractNumId w:val="45"/>
  </w:num>
  <w:num w:numId="50">
    <w:abstractNumId w:val="48"/>
  </w:num>
  <w:num w:numId="51">
    <w:abstractNumId w:val="9"/>
    <w:lvlOverride w:ilvl="0">
      <w:lvl w:ilvl="0">
        <w:start w:val="5"/>
        <w:numFmt w:val="decimal"/>
        <w:isLgl w:val="false"/>
        <w:suff w:val="tab"/>
        <w:lvlText w:val="33.%1."/>
        <w:legacy w:legacy="1" w:legacyIndent="614" w:legacySpace="0"/>
        <w:lvlJc w:val="left"/>
        <w:pPr/>
        <w:rPr>
          <w:rFonts w:hint="default" w:ascii="Times New Roman" w:hAnsi="Times New Roman" w:cs="Times New Roman"/>
        </w:rPr>
      </w:lvl>
    </w:lvlOverride>
  </w:num>
  <w:num w:numId="52">
    <w:abstractNumId w:val="9"/>
    <w:lvlOverride w:ilvl="0">
      <w:lvl w:ilvl="0">
        <w:start w:val="5"/>
        <w:numFmt w:val="decimal"/>
        <w:isLgl w:val="false"/>
        <w:suff w:val="tab"/>
        <w:lvlText w:val="33.%1."/>
        <w:legacy w:legacy="1" w:legacyIndent="538" w:legacySpace="0"/>
        <w:lvlJc w:val="left"/>
        <w:pPr/>
        <w:rPr>
          <w:rFonts w:hint="default" w:ascii="Times New Roman" w:hAnsi="Times New Roman" w:cs="Times New Roman"/>
          <w:b w:val="0"/>
        </w:rPr>
      </w:lvl>
    </w:lvlOverride>
  </w:num>
  <w:num w:numId="53">
    <w:abstractNumId w:val="9"/>
    <w:lvlOverride w:ilvl="0">
      <w:lvl w:ilvl="0">
        <w:start w:val="5"/>
        <w:numFmt w:val="decimal"/>
        <w:isLgl w:val="false"/>
        <w:suff w:val="tab"/>
        <w:lvlText w:val="33.%1."/>
        <w:legacy w:legacy="1" w:legacyIndent="605" w:legacySpace="0"/>
        <w:lvlJc w:val="left"/>
        <w:pPr/>
        <w:rPr>
          <w:rFonts w:hint="default" w:ascii="Times New Roman" w:hAnsi="Times New Roman" w:cs="Times New Roman"/>
        </w:rPr>
      </w:lvl>
    </w:lvlOverride>
  </w:num>
  <w:num w:numId="54">
    <w:abstractNumId w:val="41"/>
    <w:lvlOverride w:ilvl="0">
      <w:lvl w:ilvl="0">
        <w:start w:val="2"/>
        <w:numFmt w:val="decimal"/>
        <w:isLgl w:val="false"/>
        <w:suff w:val="tab"/>
        <w:lvlText w:val="34.%1."/>
        <w:legacy w:legacy="1" w:legacyIndent="437" w:legacySpace="0"/>
        <w:lvlJc w:val="left"/>
        <w:pPr/>
        <w:rPr>
          <w:rFonts w:hint="default" w:ascii="Times New Roman" w:hAnsi="Times New Roman" w:cs="Times New Roman"/>
        </w:rPr>
      </w:lvl>
    </w:lvlOverride>
  </w:num>
  <w:num w:numId="55">
    <w:abstractNumId w:val="41"/>
    <w:lvlOverride w:ilvl="0">
      <w:lvl w:ilvl="0">
        <w:start w:val="2"/>
        <w:numFmt w:val="decimal"/>
        <w:isLgl w:val="false"/>
        <w:suff w:val="tab"/>
        <w:lvlText w:val="34.%1."/>
        <w:legacy w:legacy="1" w:legacyIndent="523" w:legacySpace="0"/>
        <w:lvlJc w:val="left"/>
        <w:pPr/>
        <w:rPr>
          <w:rFonts w:hint="default" w:ascii="Times New Roman" w:hAnsi="Times New Roman" w:cs="Times New Roman"/>
        </w:rPr>
      </w:lvl>
    </w:lvlOverride>
  </w:num>
  <w:num w:numId="56">
    <w:abstractNumId w:val="38"/>
  </w:num>
  <w:num w:numId="57">
    <w:abstractNumId w:val="24"/>
  </w:num>
  <w:num w:numId="58">
    <w:abstractNumId w:val="54"/>
  </w:num>
  <w:num w:numId="59">
    <w:abstractNumId w:val="54"/>
    <w:lvlOverride w:ilvl="0">
      <w:lvl w:ilvl="0">
        <w:start w:val="6"/>
        <w:numFmt w:val="decimal"/>
        <w:isLgl w:val="false"/>
        <w:suff w:val="tab"/>
        <w:lvlText w:val="%1)"/>
        <w:legacy w:legacy="1" w:legacyIndent="403" w:legacySpace="0"/>
        <w:lvlJc w:val="left"/>
        <w:pPr/>
        <w:rPr>
          <w:rFonts w:hint="default" w:ascii="Times New Roman" w:hAnsi="Times New Roman" w:cs="Times New Roman"/>
        </w:rPr>
      </w:lvl>
    </w:lvlOverride>
  </w:num>
  <w:num w:numId="60">
    <w:abstractNumId w:val="15"/>
  </w:num>
  <w:num w:numId="61">
    <w:abstractNumId w:val="15"/>
    <w:lvlOverride w:ilvl="0">
      <w:lvl w:ilvl="0">
        <w:start w:val="2"/>
        <w:numFmt w:val="decimal"/>
        <w:isLgl w:val="false"/>
        <w:suff w:val="tab"/>
        <w:lvlText w:val="35.%1."/>
        <w:legacy w:legacy="1" w:legacyIndent="494" w:legacySpace="0"/>
        <w:lvlJc w:val="left"/>
        <w:pPr/>
        <w:rPr>
          <w:rFonts w:hint="default" w:ascii="Times New Roman" w:hAnsi="Times New Roman" w:cs="Times New Roman"/>
        </w:rPr>
      </w:lvl>
    </w:lvlOverride>
  </w:num>
  <w:num w:numId="62">
    <w:abstractNumId w:val="49"/>
  </w:num>
  <w:num w:numId="63">
    <w:abstractNumId w:val="3"/>
  </w:num>
  <w:num w:numId="64">
    <w:abstractNumId w:val="39"/>
  </w:num>
  <w:num w:numId="65">
    <w:abstractNumId w:val="6"/>
  </w:num>
  <w:num w:numId="66">
    <w:abstractNumId w:val="26"/>
  </w:num>
  <w:num w:numId="6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21"/>
  </w:num>
  <w:num w:numId="69">
    <w:abstractNumId w:val="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96">
    <w:name w:val="Heading 1 Char"/>
    <w:basedOn w:val="954"/>
    <w:link w:val="949"/>
    <w:uiPriority w:val="9"/>
    <w:rPr>
      <w:rFonts w:ascii="Arial" w:hAnsi="Arial" w:eastAsia="Arial" w:cs="Arial"/>
      <w:sz w:val="40"/>
      <w:szCs w:val="40"/>
    </w:rPr>
  </w:style>
  <w:style w:type="character" w:styleId="797">
    <w:name w:val="Heading 2 Char"/>
    <w:basedOn w:val="954"/>
    <w:link w:val="950"/>
    <w:uiPriority w:val="9"/>
    <w:rPr>
      <w:rFonts w:ascii="Arial" w:hAnsi="Arial" w:eastAsia="Arial" w:cs="Arial"/>
      <w:sz w:val="34"/>
    </w:rPr>
  </w:style>
  <w:style w:type="character" w:styleId="798">
    <w:name w:val="Heading 3 Char"/>
    <w:basedOn w:val="954"/>
    <w:link w:val="951"/>
    <w:uiPriority w:val="9"/>
    <w:rPr>
      <w:rFonts w:ascii="Arial" w:hAnsi="Arial" w:eastAsia="Arial" w:cs="Arial"/>
      <w:sz w:val="30"/>
      <w:szCs w:val="30"/>
    </w:rPr>
  </w:style>
  <w:style w:type="character" w:styleId="799">
    <w:name w:val="Heading 4 Char"/>
    <w:basedOn w:val="954"/>
    <w:link w:val="952"/>
    <w:uiPriority w:val="9"/>
    <w:rPr>
      <w:rFonts w:ascii="Arial" w:hAnsi="Arial" w:eastAsia="Arial" w:cs="Arial"/>
      <w:b/>
      <w:bCs/>
      <w:sz w:val="26"/>
      <w:szCs w:val="26"/>
    </w:rPr>
  </w:style>
  <w:style w:type="paragraph" w:styleId="800">
    <w:name w:val="Heading 5"/>
    <w:basedOn w:val="948"/>
    <w:next w:val="948"/>
    <w:link w:val="8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01">
    <w:name w:val="Heading 5 Char"/>
    <w:basedOn w:val="954"/>
    <w:link w:val="800"/>
    <w:uiPriority w:val="9"/>
    <w:rPr>
      <w:rFonts w:ascii="Arial" w:hAnsi="Arial" w:eastAsia="Arial" w:cs="Arial"/>
      <w:b/>
      <w:bCs/>
      <w:sz w:val="24"/>
      <w:szCs w:val="24"/>
    </w:rPr>
  </w:style>
  <w:style w:type="paragraph" w:styleId="802">
    <w:name w:val="Heading 6"/>
    <w:basedOn w:val="948"/>
    <w:next w:val="948"/>
    <w:link w:val="8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03">
    <w:name w:val="Heading 6 Char"/>
    <w:basedOn w:val="954"/>
    <w:link w:val="802"/>
    <w:uiPriority w:val="9"/>
    <w:rPr>
      <w:rFonts w:ascii="Arial" w:hAnsi="Arial" w:eastAsia="Arial" w:cs="Arial"/>
      <w:b/>
      <w:bCs/>
      <w:sz w:val="22"/>
      <w:szCs w:val="22"/>
    </w:rPr>
  </w:style>
  <w:style w:type="paragraph" w:styleId="804">
    <w:name w:val="Heading 7"/>
    <w:basedOn w:val="948"/>
    <w:next w:val="948"/>
    <w:link w:val="8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05">
    <w:name w:val="Heading 7 Char"/>
    <w:basedOn w:val="954"/>
    <w:link w:val="8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06">
    <w:name w:val="Heading 8"/>
    <w:basedOn w:val="948"/>
    <w:next w:val="948"/>
    <w:link w:val="8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07">
    <w:name w:val="Heading 8 Char"/>
    <w:basedOn w:val="954"/>
    <w:link w:val="806"/>
    <w:uiPriority w:val="9"/>
    <w:rPr>
      <w:rFonts w:ascii="Arial" w:hAnsi="Arial" w:eastAsia="Arial" w:cs="Arial"/>
      <w:i/>
      <w:iCs/>
      <w:sz w:val="22"/>
      <w:szCs w:val="22"/>
    </w:rPr>
  </w:style>
  <w:style w:type="character" w:styleId="808">
    <w:name w:val="Heading 9 Char"/>
    <w:basedOn w:val="954"/>
    <w:link w:val="953"/>
    <w:uiPriority w:val="9"/>
    <w:rPr>
      <w:rFonts w:ascii="Arial" w:hAnsi="Arial" w:eastAsia="Arial" w:cs="Arial"/>
      <w:i/>
      <w:iCs/>
      <w:sz w:val="21"/>
      <w:szCs w:val="21"/>
    </w:rPr>
  </w:style>
  <w:style w:type="character" w:styleId="809">
    <w:name w:val="Title Char"/>
    <w:basedOn w:val="954"/>
    <w:link w:val="1052"/>
    <w:uiPriority w:val="10"/>
    <w:rPr>
      <w:sz w:val="48"/>
      <w:szCs w:val="48"/>
    </w:rPr>
  </w:style>
  <w:style w:type="character" w:styleId="810">
    <w:name w:val="Subtitle Char"/>
    <w:basedOn w:val="954"/>
    <w:link w:val="1053"/>
    <w:uiPriority w:val="11"/>
    <w:rPr>
      <w:sz w:val="24"/>
      <w:szCs w:val="24"/>
    </w:rPr>
  </w:style>
  <w:style w:type="paragraph" w:styleId="811">
    <w:name w:val="Quote"/>
    <w:basedOn w:val="948"/>
    <w:next w:val="948"/>
    <w:link w:val="812"/>
    <w:uiPriority w:val="29"/>
    <w:qFormat/>
    <w:pPr>
      <w:ind w:left="720" w:right="720"/>
    </w:pPr>
    <w:rPr>
      <w:i/>
    </w:rPr>
  </w:style>
  <w:style w:type="character" w:styleId="812">
    <w:name w:val="Quote Char"/>
    <w:link w:val="811"/>
    <w:uiPriority w:val="29"/>
    <w:rPr>
      <w:i/>
    </w:rPr>
  </w:style>
  <w:style w:type="paragraph" w:styleId="813">
    <w:name w:val="Intense Quote"/>
    <w:basedOn w:val="948"/>
    <w:next w:val="948"/>
    <w:link w:val="81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4">
    <w:name w:val="Intense Quote Char"/>
    <w:link w:val="813"/>
    <w:uiPriority w:val="30"/>
    <w:rPr>
      <w:i/>
    </w:rPr>
  </w:style>
  <w:style w:type="character" w:styleId="815">
    <w:name w:val="Header Char"/>
    <w:basedOn w:val="954"/>
    <w:link w:val="1025"/>
    <w:uiPriority w:val="99"/>
  </w:style>
  <w:style w:type="character" w:styleId="816">
    <w:name w:val="Footer Char"/>
    <w:basedOn w:val="954"/>
    <w:link w:val="1027"/>
    <w:uiPriority w:val="99"/>
  </w:style>
  <w:style w:type="character" w:styleId="817">
    <w:name w:val="Caption Char"/>
    <w:basedOn w:val="954"/>
    <w:link w:val="1101"/>
    <w:uiPriority w:val="35"/>
    <w:rPr>
      <w:b/>
      <w:bCs/>
      <w:color w:val="4f81bd" w:themeColor="accent1"/>
      <w:sz w:val="18"/>
      <w:szCs w:val="18"/>
    </w:rPr>
  </w:style>
  <w:style w:type="table" w:styleId="818">
    <w:name w:val="Table Grid Light"/>
    <w:basedOn w:val="9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9">
    <w:name w:val="Plain Table 1"/>
    <w:basedOn w:val="9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0">
    <w:name w:val="Plain Table 2"/>
    <w:basedOn w:val="9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1">
    <w:name w:val="Plain Table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2">
    <w:name w:val="Plain Table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Plain Table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4">
    <w:name w:val="Grid Table 1 Light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Grid Table 1 Light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Grid Table 1 Light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Grid Table 1 Light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Grid Table 1 Light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Grid Table 1 Light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Grid Table 1 Light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Grid Table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2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2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2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2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2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2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3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3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3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3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3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3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4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6">
    <w:name w:val="Grid Table 4 - Accent 1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47">
    <w:name w:val="Grid Table 4 - Accent 2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48">
    <w:name w:val="Grid Table 4 - Accent 3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9">
    <w:name w:val="Grid Table 4 - Accent 4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50">
    <w:name w:val="Grid Table 4 - Accent 5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51">
    <w:name w:val="Grid Table 4 - Accent 6"/>
    <w:basedOn w:val="9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2">
    <w:name w:val="Grid Table 5 Dark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3">
    <w:name w:val="Grid Table 5 Dark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4">
    <w:name w:val="Grid Table 5 Dark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5">
    <w:name w:val="Grid Table 5 Dark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6">
    <w:name w:val="Grid Table 5 Dark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57">
    <w:name w:val="Grid Table 5 Dark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58">
    <w:name w:val="Grid Table 5 Dark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9">
    <w:name w:val="Grid Table 6 Colorful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60">
    <w:name w:val="Grid Table 6 Colorful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61">
    <w:name w:val="Grid Table 6 Colorful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62">
    <w:name w:val="Grid Table 6 Colorful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63">
    <w:name w:val="Grid Table 6 Colorful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64">
    <w:name w:val="Grid Table 6 Colorful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65">
    <w:name w:val="Grid Table 6 Colorful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66">
    <w:name w:val="Grid Table 7 Colorful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7 Colorful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7 Colorful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Grid Table 7 Colorful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Grid Table 7 Colorful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Grid Table 7 Colorful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Grid Table 7 Colorful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List Table 1 Light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List Table 1 Light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List Table 1 Light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List Table 1 Light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List Table 1 Light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List Table 1 Light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List Table 1 Light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List Table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81">
    <w:name w:val="List Table 2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82">
    <w:name w:val="List Table 2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83">
    <w:name w:val="List Table 2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84">
    <w:name w:val="List Table 2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85">
    <w:name w:val="List Table 2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86">
    <w:name w:val="List Table 2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87">
    <w:name w:val="List Table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3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3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3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3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3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3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>
    <w:name w:val="List Table 4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>
    <w:name w:val="List Table 4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>
    <w:name w:val="List Table 4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>
    <w:name w:val="List Table 4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>
    <w:name w:val="List Table 4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>
    <w:name w:val="List Table 4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>
    <w:name w:val="List Table 5 Dark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2">
    <w:name w:val="List Table 5 Dark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3">
    <w:name w:val="List Table 5 Dark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4">
    <w:name w:val="List Table 5 Dark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5">
    <w:name w:val="List Table 5 Dark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6">
    <w:name w:val="List Table 5 Dark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7">
    <w:name w:val="List Table 5 Dark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8">
    <w:name w:val="List Table 6 Colorful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9">
    <w:name w:val="List Table 6 Colorful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10">
    <w:name w:val="List Table 6 Colorful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11">
    <w:name w:val="List Table 6 Colorful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12">
    <w:name w:val="List Table 6 Colorful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13">
    <w:name w:val="List Table 6 Colorful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14">
    <w:name w:val="List Table 6 Colorful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15">
    <w:name w:val="List Table 7 Colorful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16">
    <w:name w:val="List Table 7 Colorful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17">
    <w:name w:val="List Table 7 Colorful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18">
    <w:name w:val="List Table 7 Colorful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9">
    <w:name w:val="List Table 7 Colorful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20">
    <w:name w:val="List Table 7 Colorful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21">
    <w:name w:val="List Table 7 Colorful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22">
    <w:name w:val="Lined - Accent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3">
    <w:name w:val="Lined - Accent 1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4">
    <w:name w:val="Lined - Accent 2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5">
    <w:name w:val="Lined - Accent 3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6">
    <w:name w:val="Lined - Accent 4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7">
    <w:name w:val="Lined - Accent 5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8">
    <w:name w:val="Lined - Accent 6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9">
    <w:name w:val="Bordered &amp; Lined - Accent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30">
    <w:name w:val="Bordered &amp; Lined - Accent 1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31">
    <w:name w:val="Bordered &amp; Lined - Accent 2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32">
    <w:name w:val="Bordered &amp; Lined - Accent 3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33">
    <w:name w:val="Bordered &amp; Lined - Accent 4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34">
    <w:name w:val="Bordered &amp; Lined - Accent 5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35">
    <w:name w:val="Bordered &amp; Lined - Accent 6"/>
    <w:basedOn w:val="9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36">
    <w:name w:val="Bordered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37">
    <w:name w:val="Bordered - Accent 1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8">
    <w:name w:val="Bordered - Accent 2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9">
    <w:name w:val="Bordered - Accent 3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40">
    <w:name w:val="Bordered - Accent 4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41">
    <w:name w:val="Bordered - Accent 5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42">
    <w:name w:val="Bordered - Accent 6"/>
    <w:basedOn w:val="9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43">
    <w:name w:val="Footnote Text Char"/>
    <w:link w:val="1043"/>
    <w:uiPriority w:val="99"/>
    <w:rPr>
      <w:sz w:val="18"/>
    </w:rPr>
  </w:style>
  <w:style w:type="character" w:styleId="944">
    <w:name w:val="Endnote Text Char"/>
    <w:link w:val="1095"/>
    <w:uiPriority w:val="99"/>
    <w:rPr>
      <w:sz w:val="20"/>
    </w:rPr>
  </w:style>
  <w:style w:type="character" w:styleId="945">
    <w:name w:val="endnote reference"/>
    <w:basedOn w:val="954"/>
    <w:uiPriority w:val="99"/>
    <w:semiHidden/>
    <w:unhideWhenUsed/>
    <w:rPr>
      <w:vertAlign w:val="superscript"/>
    </w:rPr>
  </w:style>
  <w:style w:type="paragraph" w:styleId="946">
    <w:name w:val="TOC Heading"/>
    <w:uiPriority w:val="39"/>
    <w:unhideWhenUsed/>
  </w:style>
  <w:style w:type="paragraph" w:styleId="947">
    <w:name w:val="table of figures"/>
    <w:basedOn w:val="948"/>
    <w:next w:val="948"/>
    <w:uiPriority w:val="99"/>
    <w:unhideWhenUsed/>
    <w:pPr>
      <w:spacing w:after="0" w:afterAutospacing="0"/>
    </w:pPr>
  </w:style>
  <w:style w:type="paragraph" w:styleId="948" w:default="1">
    <w:name w:val="Normal"/>
    <w:qFormat/>
    <w:pPr>
      <w:widowControl w:val="off"/>
    </w:pPr>
    <w:rPr>
      <w:rFonts w:hAnsi="Times New Roman"/>
      <w:sz w:val="24"/>
      <w:szCs w:val="24"/>
    </w:rPr>
  </w:style>
  <w:style w:type="paragraph" w:styleId="949">
    <w:name w:val="Heading 1"/>
    <w:basedOn w:val="948"/>
    <w:next w:val="948"/>
    <w:link w:val="957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950">
    <w:name w:val="Heading 2"/>
    <w:basedOn w:val="948"/>
    <w:next w:val="948"/>
    <w:link w:val="958"/>
    <w:unhideWhenUsed/>
    <w:qFormat/>
    <w:pPr>
      <w:keepLines/>
      <w:keepNext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951">
    <w:name w:val="Heading 3"/>
    <w:basedOn w:val="948"/>
    <w:next w:val="948"/>
    <w:link w:val="1112"/>
    <w:semiHidden/>
    <w:unhideWhenUsed/>
    <w:qFormat/>
    <w:pPr>
      <w:keepLines/>
      <w:keepNext/>
      <w:spacing w:before="40"/>
      <w:widowControl/>
      <w:outlineLvl w:val="2"/>
    </w:pPr>
    <w:rPr>
      <w:rFonts w:ascii="Cambria" w:hAnsi="Cambria"/>
      <w:color w:val="243f60"/>
    </w:rPr>
  </w:style>
  <w:style w:type="paragraph" w:styleId="952">
    <w:name w:val="Heading 4"/>
    <w:basedOn w:val="948"/>
    <w:next w:val="948"/>
    <w:link w:val="959"/>
    <w:uiPriority w:val="9"/>
    <w:semiHidden/>
    <w:unhideWhenUsed/>
    <w:qFormat/>
    <w:pPr>
      <w:keepLines/>
      <w:keepNext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953">
    <w:name w:val="Heading 9"/>
    <w:basedOn w:val="948"/>
    <w:next w:val="948"/>
    <w:link w:val="960"/>
    <w:uiPriority w:val="99"/>
    <w:qFormat/>
    <w:pPr>
      <w:spacing w:before="240" w:after="60" w:line="276" w:lineRule="auto"/>
      <w:widowControl/>
      <w:outlineLvl w:val="8"/>
    </w:pPr>
    <w:rPr>
      <w:rFonts w:ascii="Arial" w:hAnsi="Arial" w:cs="Arial"/>
      <w:sz w:val="22"/>
      <w:szCs w:val="22"/>
    </w:rPr>
  </w:style>
  <w:style w:type="character" w:styleId="954" w:default="1">
    <w:name w:val="Default Paragraph Font"/>
    <w:uiPriority w:val="1"/>
    <w:semiHidden/>
    <w:unhideWhenUsed/>
  </w:style>
  <w:style w:type="table" w:styleId="9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6" w:default="1">
    <w:name w:val="No List"/>
    <w:uiPriority w:val="99"/>
    <w:semiHidden/>
    <w:unhideWhenUsed/>
  </w:style>
  <w:style w:type="character" w:styleId="957" w:customStyle="1">
    <w:name w:val="Заголовок 1 Знак"/>
    <w:link w:val="949"/>
    <w:rPr>
      <w:rFonts w:ascii="Cambria" w:hAnsi="Cambria" w:eastAsia="Times New Roman" w:cs="Times New Roman"/>
      <w:b/>
      <w:bCs/>
      <w:sz w:val="32"/>
      <w:szCs w:val="32"/>
    </w:rPr>
  </w:style>
  <w:style w:type="character" w:styleId="958" w:customStyle="1">
    <w:name w:val="Заголовок 2 Знак"/>
    <w:link w:val="950"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959" w:customStyle="1">
    <w:name w:val="Заголовок 4 Знак"/>
    <w:link w:val="952"/>
    <w:uiPriority w:val="9"/>
    <w:semiHidden/>
    <w:rPr>
      <w:rFonts w:ascii="Cambria" w:hAnsi="Cambria" w:eastAsia="Times New Roman" w:cs="Times New Roman"/>
      <w:b/>
      <w:bCs/>
      <w:i/>
      <w:iCs/>
      <w:color w:val="4f81bd"/>
      <w:sz w:val="24"/>
      <w:szCs w:val="24"/>
    </w:rPr>
  </w:style>
  <w:style w:type="character" w:styleId="960" w:customStyle="1">
    <w:name w:val="Заголовок 9 Знак"/>
    <w:link w:val="953"/>
    <w:uiPriority w:val="99"/>
    <w:rPr>
      <w:rFonts w:ascii="Arial" w:hAnsi="Arial" w:eastAsia="Times New Roman" w:cs="Arial"/>
    </w:rPr>
  </w:style>
  <w:style w:type="paragraph" w:styleId="961" w:customStyle="1">
    <w:name w:val="Style1"/>
    <w:basedOn w:val="948"/>
    <w:uiPriority w:val="99"/>
    <w:pPr>
      <w:ind w:hanging="480"/>
      <w:spacing w:line="274" w:lineRule="exact"/>
    </w:pPr>
  </w:style>
  <w:style w:type="paragraph" w:styleId="962" w:customStyle="1">
    <w:name w:val="Style2"/>
    <w:basedOn w:val="948"/>
    <w:uiPriority w:val="99"/>
    <w:pPr>
      <w:spacing w:line="278" w:lineRule="exact"/>
    </w:pPr>
  </w:style>
  <w:style w:type="paragraph" w:styleId="963" w:customStyle="1">
    <w:name w:val="Style3"/>
    <w:basedOn w:val="948"/>
    <w:uiPriority w:val="99"/>
    <w:pPr>
      <w:ind w:firstLine="984"/>
      <w:spacing w:line="269" w:lineRule="exact"/>
    </w:pPr>
  </w:style>
  <w:style w:type="paragraph" w:styleId="964" w:customStyle="1">
    <w:name w:val="Style4"/>
    <w:basedOn w:val="948"/>
    <w:uiPriority w:val="99"/>
  </w:style>
  <w:style w:type="paragraph" w:styleId="965" w:customStyle="1">
    <w:name w:val="Style5"/>
    <w:basedOn w:val="948"/>
    <w:uiPriority w:val="99"/>
    <w:pPr>
      <w:jc w:val="center"/>
      <w:spacing w:line="277" w:lineRule="exact"/>
    </w:pPr>
  </w:style>
  <w:style w:type="paragraph" w:styleId="966" w:customStyle="1">
    <w:name w:val="Style6"/>
    <w:basedOn w:val="948"/>
    <w:uiPriority w:val="99"/>
  </w:style>
  <w:style w:type="paragraph" w:styleId="967" w:customStyle="1">
    <w:name w:val="Style7"/>
    <w:basedOn w:val="948"/>
    <w:uiPriority w:val="99"/>
    <w:pPr>
      <w:jc w:val="both"/>
      <w:spacing w:line="317" w:lineRule="exact"/>
    </w:pPr>
  </w:style>
  <w:style w:type="paragraph" w:styleId="968" w:customStyle="1">
    <w:name w:val="Style8"/>
    <w:basedOn w:val="948"/>
    <w:uiPriority w:val="99"/>
  </w:style>
  <w:style w:type="paragraph" w:styleId="969" w:customStyle="1">
    <w:name w:val="Style9"/>
    <w:basedOn w:val="948"/>
    <w:uiPriority w:val="99"/>
  </w:style>
  <w:style w:type="paragraph" w:styleId="970" w:customStyle="1">
    <w:name w:val="Style10"/>
    <w:basedOn w:val="948"/>
    <w:uiPriority w:val="99"/>
  </w:style>
  <w:style w:type="paragraph" w:styleId="971" w:customStyle="1">
    <w:name w:val="Style11"/>
    <w:basedOn w:val="948"/>
    <w:uiPriority w:val="99"/>
    <w:pPr>
      <w:ind w:firstLine="590"/>
      <w:jc w:val="both"/>
      <w:spacing w:line="253" w:lineRule="exact"/>
    </w:pPr>
  </w:style>
  <w:style w:type="paragraph" w:styleId="972" w:customStyle="1">
    <w:name w:val="Style12"/>
    <w:basedOn w:val="948"/>
    <w:uiPriority w:val="99"/>
    <w:pPr>
      <w:ind w:firstLine="562"/>
      <w:spacing w:line="274" w:lineRule="exact"/>
    </w:pPr>
  </w:style>
  <w:style w:type="paragraph" w:styleId="973" w:customStyle="1">
    <w:name w:val="Style13"/>
    <w:basedOn w:val="948"/>
    <w:uiPriority w:val="99"/>
    <w:pPr>
      <w:ind w:firstLine="571"/>
      <w:jc w:val="both"/>
      <w:spacing w:line="254" w:lineRule="exact"/>
    </w:pPr>
  </w:style>
  <w:style w:type="paragraph" w:styleId="974" w:customStyle="1">
    <w:name w:val="Style14"/>
    <w:basedOn w:val="948"/>
    <w:uiPriority w:val="99"/>
  </w:style>
  <w:style w:type="paragraph" w:styleId="975" w:customStyle="1">
    <w:name w:val="Style15"/>
    <w:basedOn w:val="948"/>
    <w:uiPriority w:val="99"/>
    <w:pPr>
      <w:jc w:val="both"/>
      <w:spacing w:line="254" w:lineRule="exact"/>
    </w:pPr>
  </w:style>
  <w:style w:type="paragraph" w:styleId="976" w:customStyle="1">
    <w:name w:val="Style16"/>
    <w:basedOn w:val="948"/>
    <w:uiPriority w:val="99"/>
    <w:pPr>
      <w:ind w:firstLine="576"/>
      <w:jc w:val="both"/>
      <w:spacing w:line="254" w:lineRule="exact"/>
    </w:pPr>
  </w:style>
  <w:style w:type="paragraph" w:styleId="977" w:customStyle="1">
    <w:name w:val="Style17"/>
    <w:basedOn w:val="948"/>
    <w:uiPriority w:val="99"/>
    <w:pPr>
      <w:ind w:firstLine="571"/>
      <w:jc w:val="both"/>
      <w:spacing w:line="254" w:lineRule="exact"/>
    </w:pPr>
  </w:style>
  <w:style w:type="paragraph" w:styleId="978" w:customStyle="1">
    <w:name w:val="Style18"/>
    <w:basedOn w:val="948"/>
    <w:uiPriority w:val="99"/>
    <w:pPr>
      <w:ind w:firstLine="576"/>
      <w:jc w:val="both"/>
      <w:spacing w:line="254" w:lineRule="exact"/>
    </w:pPr>
  </w:style>
  <w:style w:type="paragraph" w:styleId="979" w:customStyle="1">
    <w:name w:val="Style19"/>
    <w:basedOn w:val="948"/>
    <w:uiPriority w:val="99"/>
    <w:pPr>
      <w:ind w:firstLine="547"/>
      <w:spacing w:line="254" w:lineRule="exact"/>
    </w:pPr>
  </w:style>
  <w:style w:type="paragraph" w:styleId="980" w:customStyle="1">
    <w:name w:val="Style20"/>
    <w:basedOn w:val="948"/>
    <w:uiPriority w:val="99"/>
  </w:style>
  <w:style w:type="paragraph" w:styleId="981" w:customStyle="1">
    <w:name w:val="Style21"/>
    <w:basedOn w:val="948"/>
    <w:uiPriority w:val="99"/>
    <w:pPr>
      <w:ind w:firstLine="571"/>
      <w:jc w:val="both"/>
      <w:spacing w:line="252" w:lineRule="exact"/>
    </w:pPr>
  </w:style>
  <w:style w:type="paragraph" w:styleId="982" w:customStyle="1">
    <w:name w:val="Style22"/>
    <w:basedOn w:val="948"/>
    <w:uiPriority w:val="99"/>
    <w:pPr>
      <w:ind w:firstLine="547"/>
      <w:jc w:val="both"/>
      <w:spacing w:line="254" w:lineRule="exact"/>
    </w:pPr>
  </w:style>
  <w:style w:type="paragraph" w:styleId="983" w:customStyle="1">
    <w:name w:val="Style23"/>
    <w:basedOn w:val="948"/>
    <w:uiPriority w:val="99"/>
    <w:pPr>
      <w:ind w:firstLine="571"/>
      <w:jc w:val="both"/>
      <w:spacing w:line="250" w:lineRule="exact"/>
    </w:pPr>
  </w:style>
  <w:style w:type="paragraph" w:styleId="984" w:customStyle="1">
    <w:name w:val="Style24"/>
    <w:basedOn w:val="948"/>
    <w:uiPriority w:val="99"/>
    <w:pPr>
      <w:ind w:firstLine="571"/>
      <w:jc w:val="both"/>
      <w:spacing w:line="253" w:lineRule="exact"/>
    </w:pPr>
  </w:style>
  <w:style w:type="paragraph" w:styleId="985" w:customStyle="1">
    <w:name w:val="Style25"/>
    <w:basedOn w:val="948"/>
    <w:uiPriority w:val="99"/>
  </w:style>
  <w:style w:type="paragraph" w:styleId="986" w:customStyle="1">
    <w:name w:val="Style26"/>
    <w:basedOn w:val="948"/>
    <w:uiPriority w:val="99"/>
  </w:style>
  <w:style w:type="paragraph" w:styleId="987" w:customStyle="1">
    <w:name w:val="Style27"/>
    <w:basedOn w:val="948"/>
    <w:uiPriority w:val="99"/>
    <w:pPr>
      <w:ind w:firstLine="595"/>
      <w:jc w:val="both"/>
      <w:spacing w:line="254" w:lineRule="exact"/>
    </w:pPr>
  </w:style>
  <w:style w:type="paragraph" w:styleId="988" w:customStyle="1">
    <w:name w:val="Style28"/>
    <w:basedOn w:val="948"/>
    <w:uiPriority w:val="99"/>
    <w:pPr>
      <w:ind w:firstLine="571"/>
      <w:jc w:val="both"/>
      <w:spacing w:line="254" w:lineRule="exact"/>
    </w:pPr>
  </w:style>
  <w:style w:type="paragraph" w:styleId="989" w:customStyle="1">
    <w:name w:val="Style29"/>
    <w:basedOn w:val="948"/>
    <w:uiPriority w:val="99"/>
    <w:pPr>
      <w:ind w:firstLine="571"/>
      <w:spacing w:line="254" w:lineRule="exact"/>
    </w:pPr>
  </w:style>
  <w:style w:type="paragraph" w:styleId="990" w:customStyle="1">
    <w:name w:val="Style30"/>
    <w:basedOn w:val="948"/>
    <w:uiPriority w:val="99"/>
  </w:style>
  <w:style w:type="paragraph" w:styleId="991" w:customStyle="1">
    <w:name w:val="Style31"/>
    <w:basedOn w:val="948"/>
    <w:uiPriority w:val="99"/>
    <w:pPr>
      <w:ind w:firstLine="547"/>
      <w:jc w:val="both"/>
      <w:spacing w:line="252" w:lineRule="exact"/>
    </w:pPr>
  </w:style>
  <w:style w:type="paragraph" w:styleId="992" w:customStyle="1">
    <w:name w:val="Style32"/>
    <w:basedOn w:val="948"/>
    <w:uiPriority w:val="99"/>
    <w:pPr>
      <w:jc w:val="center"/>
      <w:spacing w:line="331" w:lineRule="exact"/>
    </w:pPr>
  </w:style>
  <w:style w:type="paragraph" w:styleId="993" w:customStyle="1">
    <w:name w:val="Style33"/>
    <w:basedOn w:val="948"/>
    <w:uiPriority w:val="99"/>
    <w:pPr>
      <w:ind w:firstLine="562"/>
      <w:spacing w:line="254" w:lineRule="exact"/>
    </w:pPr>
  </w:style>
  <w:style w:type="paragraph" w:styleId="994" w:customStyle="1">
    <w:name w:val="Style34"/>
    <w:basedOn w:val="948"/>
    <w:uiPriority w:val="99"/>
    <w:pPr>
      <w:ind w:firstLine="547"/>
      <w:jc w:val="both"/>
      <w:spacing w:line="253" w:lineRule="exact"/>
    </w:pPr>
  </w:style>
  <w:style w:type="paragraph" w:styleId="995" w:customStyle="1">
    <w:name w:val="Style35"/>
    <w:basedOn w:val="948"/>
    <w:uiPriority w:val="99"/>
  </w:style>
  <w:style w:type="paragraph" w:styleId="996" w:customStyle="1">
    <w:name w:val="Style36"/>
    <w:basedOn w:val="948"/>
    <w:uiPriority w:val="99"/>
    <w:pPr>
      <w:ind w:firstLine="547"/>
      <w:jc w:val="both"/>
      <w:spacing w:line="253" w:lineRule="exact"/>
    </w:pPr>
  </w:style>
  <w:style w:type="paragraph" w:styleId="997" w:customStyle="1">
    <w:name w:val="Style37"/>
    <w:basedOn w:val="948"/>
    <w:uiPriority w:val="99"/>
  </w:style>
  <w:style w:type="paragraph" w:styleId="998" w:customStyle="1">
    <w:name w:val="Style38"/>
    <w:basedOn w:val="948"/>
    <w:uiPriority w:val="99"/>
    <w:pPr>
      <w:ind w:firstLine="547"/>
      <w:jc w:val="both"/>
      <w:spacing w:line="254" w:lineRule="exact"/>
    </w:pPr>
  </w:style>
  <w:style w:type="paragraph" w:styleId="999" w:customStyle="1">
    <w:name w:val="Style39"/>
    <w:basedOn w:val="948"/>
    <w:uiPriority w:val="99"/>
    <w:pPr>
      <w:ind w:firstLine="552"/>
      <w:jc w:val="both"/>
      <w:spacing w:line="253" w:lineRule="exact"/>
    </w:pPr>
  </w:style>
  <w:style w:type="paragraph" w:styleId="1000" w:customStyle="1">
    <w:name w:val="Style40"/>
    <w:basedOn w:val="948"/>
    <w:uiPriority w:val="99"/>
  </w:style>
  <w:style w:type="paragraph" w:styleId="1001" w:customStyle="1">
    <w:name w:val="Style41"/>
    <w:basedOn w:val="948"/>
    <w:uiPriority w:val="99"/>
    <w:pPr>
      <w:ind w:firstLine="547"/>
      <w:spacing w:line="250" w:lineRule="exact"/>
    </w:pPr>
  </w:style>
  <w:style w:type="paragraph" w:styleId="1002" w:customStyle="1">
    <w:name w:val="Style42"/>
    <w:basedOn w:val="948"/>
    <w:uiPriority w:val="99"/>
    <w:pPr>
      <w:ind w:firstLine="552"/>
      <w:jc w:val="both"/>
      <w:spacing w:line="253" w:lineRule="exact"/>
    </w:pPr>
  </w:style>
  <w:style w:type="paragraph" w:styleId="1003" w:customStyle="1">
    <w:name w:val="Style43"/>
    <w:basedOn w:val="948"/>
    <w:uiPriority w:val="99"/>
    <w:pPr>
      <w:ind w:firstLine="552"/>
      <w:jc w:val="both"/>
      <w:spacing w:line="253" w:lineRule="exact"/>
    </w:pPr>
  </w:style>
  <w:style w:type="paragraph" w:styleId="1004" w:customStyle="1">
    <w:name w:val="Style44"/>
    <w:basedOn w:val="948"/>
    <w:uiPriority w:val="99"/>
    <w:pPr>
      <w:ind w:firstLine="547"/>
      <w:jc w:val="both"/>
      <w:spacing w:line="253" w:lineRule="exact"/>
    </w:pPr>
  </w:style>
  <w:style w:type="paragraph" w:styleId="1005" w:customStyle="1">
    <w:name w:val="Style45"/>
    <w:basedOn w:val="948"/>
    <w:uiPriority w:val="99"/>
    <w:pPr>
      <w:ind w:firstLine="547"/>
      <w:jc w:val="both"/>
      <w:spacing w:line="254" w:lineRule="exact"/>
    </w:pPr>
  </w:style>
  <w:style w:type="character" w:styleId="1006" w:customStyle="1">
    <w:name w:val="Font Style47"/>
    <w:uiPriority w:val="99"/>
    <w:rPr>
      <w:rFonts w:ascii="Times New Roman" w:hAnsi="Times New Roman" w:cs="Times New Roman"/>
      <w:sz w:val="22"/>
      <w:szCs w:val="22"/>
    </w:rPr>
  </w:style>
  <w:style w:type="character" w:styleId="1007" w:customStyle="1">
    <w:name w:val="Font Style48"/>
    <w:uiPriority w:val="99"/>
    <w:rPr>
      <w:rFonts w:ascii="Times New Roman" w:hAnsi="Times New Roman" w:cs="Times New Roman"/>
      <w:b/>
      <w:bCs/>
      <w:sz w:val="50"/>
      <w:szCs w:val="50"/>
    </w:rPr>
  </w:style>
  <w:style w:type="character" w:styleId="1008" w:customStyle="1">
    <w:name w:val="Font Style49"/>
    <w:uiPriority w:val="99"/>
    <w:rPr>
      <w:rFonts w:ascii="Times New Roman" w:hAnsi="Times New Roman" w:cs="Times New Roman"/>
      <w:b/>
      <w:bCs/>
      <w:sz w:val="26"/>
      <w:szCs w:val="26"/>
    </w:rPr>
  </w:style>
  <w:style w:type="character" w:styleId="1009" w:customStyle="1">
    <w:name w:val="Font Style50"/>
    <w:uiPriority w:val="99"/>
    <w:rPr>
      <w:rFonts w:ascii="Times New Roman" w:hAnsi="Times New Roman" w:cs="Times New Roman"/>
      <w:b/>
      <w:bCs/>
      <w:sz w:val="22"/>
      <w:szCs w:val="22"/>
    </w:rPr>
  </w:style>
  <w:style w:type="character" w:styleId="1010" w:customStyle="1">
    <w:name w:val="Font Style51"/>
    <w:uiPriority w:val="99"/>
    <w:rPr>
      <w:rFonts w:ascii="Times New Roman" w:hAnsi="Times New Roman" w:cs="Times New Roman"/>
      <w:b/>
      <w:bCs/>
      <w:sz w:val="18"/>
      <w:szCs w:val="18"/>
    </w:rPr>
  </w:style>
  <w:style w:type="character" w:styleId="1011" w:customStyle="1">
    <w:name w:val="Font Style52"/>
    <w:uiPriority w:val="99"/>
    <w:rPr>
      <w:rFonts w:ascii="Cambria" w:hAnsi="Cambria" w:cs="Cambria"/>
      <w:b/>
      <w:bCs/>
      <w:i/>
      <w:iCs/>
      <w:sz w:val="26"/>
      <w:szCs w:val="26"/>
    </w:rPr>
  </w:style>
  <w:style w:type="character" w:styleId="1012" w:customStyle="1">
    <w:name w:val="Font Style53"/>
    <w:uiPriority w:val="99"/>
    <w:rPr>
      <w:rFonts w:ascii="Times New Roman" w:hAnsi="Times New Roman" w:cs="Times New Roman"/>
      <w:b/>
      <w:bCs/>
      <w:sz w:val="20"/>
      <w:szCs w:val="20"/>
    </w:rPr>
  </w:style>
  <w:style w:type="character" w:styleId="1013" w:customStyle="1">
    <w:name w:val="Font Style54"/>
    <w:uiPriority w:val="99"/>
    <w:rPr>
      <w:rFonts w:ascii="Times New Roman" w:hAnsi="Times New Roman" w:cs="Times New Roman"/>
      <w:sz w:val="20"/>
      <w:szCs w:val="20"/>
    </w:rPr>
  </w:style>
  <w:style w:type="character" w:styleId="1014">
    <w:name w:val="Hyperlink"/>
    <w:uiPriority w:val="99"/>
    <w:rPr>
      <w:color w:val="000080"/>
      <w:u w:val="single"/>
    </w:rPr>
  </w:style>
  <w:style w:type="paragraph" w:styleId="1015">
    <w:name w:val="toc 1"/>
    <w:basedOn w:val="948"/>
    <w:next w:val="948"/>
    <w:uiPriority w:val="39"/>
    <w:unhideWhenUsed/>
    <w:pPr>
      <w:spacing w:before="360"/>
    </w:pPr>
    <w:rPr>
      <w:rFonts w:ascii="Cambria" w:hAnsi="Cambria"/>
      <w:b/>
      <w:bCs/>
      <w:caps/>
    </w:rPr>
  </w:style>
  <w:style w:type="paragraph" w:styleId="1016">
    <w:name w:val="toc 2"/>
    <w:basedOn w:val="948"/>
    <w:next w:val="948"/>
    <w:uiPriority w:val="39"/>
    <w:unhideWhenUsed/>
    <w:pPr>
      <w:spacing w:before="240"/>
    </w:pPr>
    <w:rPr>
      <w:rFonts w:ascii="Calibri" w:hAnsi="Calibri"/>
      <w:b/>
      <w:bCs/>
      <w:sz w:val="20"/>
      <w:szCs w:val="20"/>
    </w:rPr>
  </w:style>
  <w:style w:type="paragraph" w:styleId="1017">
    <w:name w:val="toc 3"/>
    <w:basedOn w:val="948"/>
    <w:next w:val="948"/>
    <w:uiPriority w:val="39"/>
    <w:unhideWhenUsed/>
    <w:pPr>
      <w:ind w:left="-32" w:firstLine="272"/>
      <w:jc w:val="both"/>
      <w:tabs>
        <w:tab w:val="left" w:pos="2772" w:leader="none"/>
      </w:tabs>
    </w:pPr>
    <w:rPr>
      <w:b/>
    </w:rPr>
  </w:style>
  <w:style w:type="paragraph" w:styleId="1018">
    <w:name w:val="toc 4"/>
    <w:basedOn w:val="948"/>
    <w:next w:val="948"/>
    <w:uiPriority w:val="39"/>
    <w:unhideWhenUsed/>
    <w:pPr>
      <w:ind w:left="480"/>
    </w:pPr>
    <w:rPr>
      <w:rFonts w:ascii="Calibri" w:hAnsi="Calibri"/>
      <w:sz w:val="20"/>
      <w:szCs w:val="20"/>
    </w:rPr>
  </w:style>
  <w:style w:type="paragraph" w:styleId="1019">
    <w:name w:val="toc 5"/>
    <w:basedOn w:val="948"/>
    <w:next w:val="948"/>
    <w:uiPriority w:val="39"/>
    <w:unhideWhenUsed/>
    <w:pPr>
      <w:ind w:left="720"/>
    </w:pPr>
    <w:rPr>
      <w:rFonts w:ascii="Calibri" w:hAnsi="Calibri"/>
      <w:sz w:val="20"/>
      <w:szCs w:val="20"/>
    </w:rPr>
  </w:style>
  <w:style w:type="paragraph" w:styleId="1020">
    <w:name w:val="toc 6"/>
    <w:basedOn w:val="948"/>
    <w:next w:val="948"/>
    <w:uiPriority w:val="39"/>
    <w:unhideWhenUsed/>
    <w:pPr>
      <w:ind w:left="960"/>
    </w:pPr>
    <w:rPr>
      <w:rFonts w:ascii="Calibri" w:hAnsi="Calibri"/>
      <w:sz w:val="20"/>
      <w:szCs w:val="20"/>
    </w:rPr>
  </w:style>
  <w:style w:type="paragraph" w:styleId="1021">
    <w:name w:val="toc 7"/>
    <w:basedOn w:val="948"/>
    <w:next w:val="948"/>
    <w:uiPriority w:val="39"/>
    <w:unhideWhenUsed/>
    <w:pPr>
      <w:ind w:left="1200"/>
    </w:pPr>
    <w:rPr>
      <w:rFonts w:ascii="Calibri" w:hAnsi="Calibri"/>
      <w:sz w:val="20"/>
      <w:szCs w:val="20"/>
    </w:rPr>
  </w:style>
  <w:style w:type="paragraph" w:styleId="1022">
    <w:name w:val="toc 8"/>
    <w:basedOn w:val="948"/>
    <w:next w:val="948"/>
    <w:uiPriority w:val="39"/>
    <w:unhideWhenUsed/>
    <w:pPr>
      <w:ind w:left="1440"/>
    </w:pPr>
    <w:rPr>
      <w:rFonts w:ascii="Calibri" w:hAnsi="Calibri"/>
      <w:sz w:val="20"/>
      <w:szCs w:val="20"/>
    </w:rPr>
  </w:style>
  <w:style w:type="paragraph" w:styleId="1023">
    <w:name w:val="toc 9"/>
    <w:basedOn w:val="948"/>
    <w:next w:val="948"/>
    <w:uiPriority w:val="39"/>
    <w:unhideWhenUsed/>
    <w:pPr>
      <w:ind w:left="1680"/>
    </w:pPr>
    <w:rPr>
      <w:rFonts w:ascii="Calibri" w:hAnsi="Calibri"/>
      <w:sz w:val="20"/>
      <w:szCs w:val="20"/>
    </w:rPr>
  </w:style>
  <w:style w:type="table" w:styleId="1024">
    <w:name w:val="Table Grid"/>
    <w:basedOn w:val="955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25">
    <w:name w:val="Header"/>
    <w:basedOn w:val="948"/>
    <w:link w:val="102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026" w:customStyle="1">
    <w:name w:val="Верхний колонтитул Знак"/>
    <w:link w:val="1025"/>
    <w:uiPriority w:val="99"/>
    <w:rPr>
      <w:rFonts w:hAnsi="Times New Roman" w:cs="Times New Roman"/>
      <w:sz w:val="24"/>
      <w:szCs w:val="24"/>
    </w:rPr>
  </w:style>
  <w:style w:type="paragraph" w:styleId="1027">
    <w:name w:val="Footer"/>
    <w:basedOn w:val="948"/>
    <w:link w:val="102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028" w:customStyle="1">
    <w:name w:val="Нижний колонтитул Знак"/>
    <w:link w:val="1027"/>
    <w:uiPriority w:val="99"/>
    <w:rPr>
      <w:rFonts w:hAnsi="Times New Roman" w:cs="Times New Roman"/>
      <w:sz w:val="24"/>
      <w:szCs w:val="24"/>
    </w:rPr>
  </w:style>
  <w:style w:type="paragraph" w:styleId="1029" w:customStyle="1">
    <w:name w:val="ConsPlusNormal"/>
    <w:link w:val="1030"/>
    <w:uiPriority w:val="99"/>
    <w:rPr>
      <w:rFonts w:ascii="Arial" w:hAnsi="Arial" w:cs="Arial"/>
    </w:rPr>
  </w:style>
  <w:style w:type="character" w:styleId="1030" w:customStyle="1">
    <w:name w:val="ConsPlusNormal Знак"/>
    <w:link w:val="1029"/>
    <w:rPr>
      <w:rFonts w:ascii="Arial" w:hAnsi="Arial" w:cs="Arial"/>
      <w:sz w:val="20"/>
      <w:szCs w:val="20"/>
    </w:rPr>
  </w:style>
  <w:style w:type="paragraph" w:styleId="1031" w:customStyle="1">
    <w:name w:val="Стиль3 Знак"/>
    <w:basedOn w:val="979"/>
    <w:pPr>
      <w:ind w:firstLine="0"/>
      <w:jc w:val="both"/>
      <w:spacing w:line="240" w:lineRule="auto"/>
      <w:tabs>
        <w:tab w:val="num" w:pos="227" w:leader="none"/>
      </w:tabs>
    </w:pPr>
    <w:rPr>
      <w:szCs w:val="20"/>
    </w:rPr>
  </w:style>
  <w:style w:type="paragraph" w:styleId="1032">
    <w:name w:val="Body Text Indent 2"/>
    <w:basedOn w:val="948"/>
    <w:link w:val="1033"/>
    <w:uiPriority w:val="99"/>
    <w:unhideWhenUsed/>
    <w:pPr>
      <w:ind w:left="283"/>
      <w:spacing w:after="120" w:line="480" w:lineRule="auto"/>
    </w:pPr>
  </w:style>
  <w:style w:type="character" w:styleId="1033" w:customStyle="1">
    <w:name w:val="Основной текст с отступом 2 Знак"/>
    <w:link w:val="1032"/>
    <w:uiPriority w:val="99"/>
    <w:rPr>
      <w:rFonts w:hAnsi="Times New Roman" w:cs="Times New Roman"/>
      <w:sz w:val="24"/>
      <w:szCs w:val="24"/>
    </w:rPr>
  </w:style>
  <w:style w:type="paragraph" w:styleId="1034">
    <w:name w:val="Balloon Text"/>
    <w:basedOn w:val="948"/>
    <w:link w:val="1035"/>
    <w:uiPriority w:val="99"/>
    <w:semiHidden/>
    <w:unhideWhenUsed/>
    <w:rPr>
      <w:rFonts w:ascii="Tahoma" w:hAnsi="Tahoma" w:cs="Tahoma"/>
      <w:sz w:val="16"/>
      <w:szCs w:val="16"/>
    </w:rPr>
  </w:style>
  <w:style w:type="character" w:styleId="1035" w:customStyle="1">
    <w:name w:val="Текст выноски Знак"/>
    <w:link w:val="1034"/>
    <w:uiPriority w:val="99"/>
    <w:semiHidden/>
    <w:rPr>
      <w:rFonts w:ascii="Tahoma" w:hAnsi="Tahoma" w:cs="Tahoma"/>
      <w:sz w:val="16"/>
      <w:szCs w:val="16"/>
    </w:rPr>
  </w:style>
  <w:style w:type="character" w:styleId="1036" w:customStyle="1">
    <w:name w:val="Основной текст4"/>
    <w:rPr>
      <w:rFonts w:ascii="Times New Roman" w:hAnsi="Times New Roman" w:cs="Times New Roman"/>
      <w:spacing w:val="0"/>
      <w:sz w:val="21"/>
      <w:szCs w:val="21"/>
      <w:u w:val="single"/>
      <w:lang w:val="en-US"/>
    </w:rPr>
  </w:style>
  <w:style w:type="character" w:styleId="1037" w:customStyle="1">
    <w:name w:val="Основной текст_"/>
    <w:link w:val="1038"/>
    <w:rPr>
      <w:rFonts w:hAnsi="Times New Roman" w:cs="Times New Roman"/>
      <w:sz w:val="21"/>
      <w:szCs w:val="21"/>
      <w:shd w:val="clear" w:color="auto" w:fill="ffffff"/>
    </w:rPr>
  </w:style>
  <w:style w:type="paragraph" w:styleId="1038" w:customStyle="1">
    <w:name w:val="Основной текст7"/>
    <w:basedOn w:val="948"/>
    <w:link w:val="1037"/>
    <w:pPr>
      <w:jc w:val="center"/>
      <w:spacing w:before="6660" w:line="254" w:lineRule="exact"/>
      <w:shd w:val="clear" w:color="auto" w:fill="ffffff"/>
      <w:widowControl/>
    </w:pPr>
    <w:rPr>
      <w:sz w:val="21"/>
      <w:szCs w:val="21"/>
    </w:rPr>
  </w:style>
  <w:style w:type="character" w:styleId="1039" w:customStyle="1">
    <w:name w:val="Основной текст + Полужирный9"/>
    <w:rPr>
      <w:rFonts w:ascii="Times New Roman" w:hAnsi="Times New Roman" w:cs="Times New Roman"/>
      <w:b/>
      <w:bCs/>
      <w:spacing w:val="0"/>
      <w:sz w:val="21"/>
      <w:szCs w:val="21"/>
    </w:rPr>
  </w:style>
  <w:style w:type="character" w:styleId="1040" w:customStyle="1">
    <w:name w:val="Основной текст с отступом 3 Знак"/>
    <w:link w:val="1041"/>
    <w:rPr>
      <w:sz w:val="16"/>
      <w:szCs w:val="16"/>
    </w:rPr>
  </w:style>
  <w:style w:type="paragraph" w:styleId="1041">
    <w:name w:val="Body Text Indent 3"/>
    <w:basedOn w:val="948"/>
    <w:link w:val="1040"/>
    <w:pPr>
      <w:ind w:left="283"/>
      <w:spacing w:after="120"/>
      <w:widowControl/>
    </w:pPr>
    <w:rPr>
      <w:rFonts w:hAnsi="Calibri"/>
      <w:sz w:val="16"/>
      <w:szCs w:val="16"/>
    </w:rPr>
  </w:style>
  <w:style w:type="character" w:styleId="1042" w:customStyle="1">
    <w:name w:val="Основной текст с отступом 3 Знак1"/>
    <w:semiHidden/>
    <w:rPr>
      <w:rFonts w:hAnsi="Times New Roman" w:cs="Times New Roman"/>
      <w:sz w:val="16"/>
      <w:szCs w:val="16"/>
    </w:rPr>
  </w:style>
  <w:style w:type="paragraph" w:styleId="1043">
    <w:name w:val="footnote text"/>
    <w:basedOn w:val="948"/>
    <w:link w:val="1044"/>
    <w:pPr>
      <w:widowControl/>
    </w:pPr>
    <w:rPr>
      <w:sz w:val="20"/>
      <w:szCs w:val="20"/>
    </w:rPr>
  </w:style>
  <w:style w:type="character" w:styleId="1044" w:customStyle="1">
    <w:name w:val="Текст сноски Знак"/>
    <w:link w:val="1043"/>
    <w:rPr>
      <w:rFonts w:hAnsi="Times New Roman" w:eastAsia="Times New Roman" w:cs="Times New Roman"/>
      <w:sz w:val="20"/>
      <w:szCs w:val="20"/>
    </w:rPr>
  </w:style>
  <w:style w:type="paragraph" w:styleId="1045">
    <w:name w:val="Body Text"/>
    <w:basedOn w:val="948"/>
    <w:link w:val="1046"/>
    <w:unhideWhenUsed/>
    <w:pPr>
      <w:spacing w:after="120"/>
    </w:pPr>
  </w:style>
  <w:style w:type="character" w:styleId="1046" w:customStyle="1">
    <w:name w:val="Основной текст Знак"/>
    <w:link w:val="1045"/>
    <w:rPr>
      <w:rFonts w:hAnsi="Times New Roman" w:cs="Times New Roman"/>
      <w:sz w:val="24"/>
      <w:szCs w:val="24"/>
    </w:rPr>
  </w:style>
  <w:style w:type="paragraph" w:styleId="1047">
    <w:name w:val="Normal (Web)"/>
    <w:basedOn w:val="948"/>
    <w:pPr>
      <w:spacing w:before="100" w:after="100"/>
      <w:widowControl/>
    </w:pPr>
    <w:rPr>
      <w:rFonts w:ascii="Arial Unicode MS" w:hAnsi="Arial Unicode MS" w:eastAsia="Arial Unicode MS"/>
      <w:lang w:eastAsia="ar-SA"/>
    </w:rPr>
  </w:style>
  <w:style w:type="paragraph" w:styleId="1048">
    <w:name w:val="No Spacing"/>
    <w:basedOn w:val="948"/>
    <w:link w:val="1049"/>
    <w:uiPriority w:val="99"/>
    <w:qFormat/>
    <w:pPr>
      <w:jc w:val="both"/>
      <w:spacing w:before="120"/>
      <w:widowControl/>
    </w:pPr>
    <w:rPr>
      <w:bCs/>
      <w:color w:val="000000"/>
    </w:rPr>
  </w:style>
  <w:style w:type="character" w:styleId="1049" w:customStyle="1">
    <w:name w:val="Без интервала Знак"/>
    <w:link w:val="1048"/>
    <w:uiPriority w:val="99"/>
    <w:rPr>
      <w:rFonts w:hAnsi="Times New Roman" w:eastAsia="Times New Roman" w:cs="Times New Roman"/>
      <w:bCs/>
      <w:color w:val="000000"/>
      <w:sz w:val="24"/>
      <w:szCs w:val="24"/>
    </w:rPr>
  </w:style>
  <w:style w:type="paragraph" w:styleId="1050">
    <w:name w:val="List Paragraph"/>
    <w:basedOn w:val="948"/>
    <w:link w:val="1109"/>
    <w:uiPriority w:val="34"/>
    <w:qFormat/>
    <w:pPr>
      <w:contextualSpacing/>
      <w:ind w:left="720"/>
      <w:spacing w:after="200" w:line="276" w:lineRule="auto"/>
      <w:widowControl/>
    </w:pPr>
    <w:rPr>
      <w:rFonts w:ascii="Calibri" w:hAnsi="Calibri"/>
      <w:sz w:val="22"/>
      <w:szCs w:val="22"/>
    </w:rPr>
  </w:style>
  <w:style w:type="paragraph" w:styleId="1051" w:customStyle="1">
    <w:name w:val="Текст1"/>
    <w:basedOn w:val="948"/>
    <w:pPr>
      <w:widowControl/>
    </w:pPr>
    <w:rPr>
      <w:rFonts w:ascii="Courier New" w:hAnsi="Courier New" w:cs="Courier New"/>
      <w:sz w:val="20"/>
      <w:szCs w:val="20"/>
      <w:lang w:eastAsia="ar-SA"/>
    </w:rPr>
  </w:style>
  <w:style w:type="paragraph" w:styleId="1052">
    <w:name w:val="Title"/>
    <w:basedOn w:val="948"/>
    <w:next w:val="1053"/>
    <w:link w:val="1055"/>
    <w:uiPriority w:val="99"/>
    <w:qFormat/>
    <w:pPr>
      <w:jc w:val="center"/>
      <w:widowControl/>
    </w:pPr>
    <w:rPr>
      <w:b/>
      <w:lang w:eastAsia="ar-SA"/>
    </w:rPr>
  </w:style>
  <w:style w:type="paragraph" w:styleId="1053">
    <w:name w:val="Subtitle"/>
    <w:basedOn w:val="948"/>
    <w:next w:val="1045"/>
    <w:link w:val="1054"/>
    <w:qFormat/>
    <w:pPr>
      <w:jc w:val="center"/>
      <w:keepNext/>
      <w:spacing w:before="240" w:after="120"/>
      <w:widowControl/>
    </w:pPr>
    <w:rPr>
      <w:rFonts w:ascii="Arial" w:hAnsi="Arial" w:eastAsia="MS Mincho" w:cs="Tahoma"/>
      <w:i/>
      <w:iCs/>
      <w:sz w:val="28"/>
      <w:szCs w:val="28"/>
      <w:lang w:eastAsia="ar-SA"/>
    </w:rPr>
  </w:style>
  <w:style w:type="character" w:styleId="1054" w:customStyle="1">
    <w:name w:val="Подзаголовок Знак"/>
    <w:link w:val="1053"/>
    <w:rPr>
      <w:rFonts w:ascii="Arial" w:hAnsi="Arial" w:eastAsia="MS Mincho" w:cs="Tahoma"/>
      <w:i/>
      <w:iCs/>
      <w:sz w:val="28"/>
      <w:szCs w:val="28"/>
      <w:lang w:eastAsia="ar-SA"/>
    </w:rPr>
  </w:style>
  <w:style w:type="character" w:styleId="1055" w:customStyle="1">
    <w:name w:val="Название Знак"/>
    <w:link w:val="1052"/>
    <w:uiPriority w:val="99"/>
    <w:rPr>
      <w:rFonts w:hAnsi="Times New Roman" w:eastAsia="Times New Roman" w:cs="Times New Roman"/>
      <w:b/>
      <w:sz w:val="24"/>
      <w:szCs w:val="24"/>
      <w:lang w:eastAsia="ar-SA"/>
    </w:rPr>
  </w:style>
  <w:style w:type="paragraph" w:styleId="1056" w:customStyle="1">
    <w:name w:val="ConsNormal"/>
    <w:uiPriority w:val="99"/>
    <w:pPr>
      <w:ind w:right="19772" w:firstLine="720"/>
      <w:widowControl w:val="off"/>
    </w:pPr>
    <w:rPr>
      <w:rFonts w:ascii="Arial" w:hAnsi="Arial" w:eastAsia="Arial" w:cs="Arial"/>
      <w:lang w:eastAsia="ar-SA"/>
    </w:rPr>
  </w:style>
  <w:style w:type="paragraph" w:styleId="1057" w:customStyle="1">
    <w:name w:val="ConsNonformat"/>
    <w:pPr>
      <w:widowControl w:val="off"/>
    </w:pPr>
    <w:rPr>
      <w:rFonts w:ascii="Courier New" w:hAnsi="Courier New" w:eastAsia="Arial" w:cs="Courier New"/>
      <w:lang w:eastAsia="ar-SA"/>
    </w:rPr>
  </w:style>
  <w:style w:type="paragraph" w:styleId="1058" w:customStyle="1">
    <w:name w:val="Standard"/>
    <w:pPr>
      <w:widowControl w:val="off"/>
    </w:pPr>
    <w:rPr>
      <w:rFonts w:ascii="Arial" w:hAnsi="Arial" w:eastAsia="Lucida Sans Unicode" w:cs="Tahoma"/>
      <w:sz w:val="24"/>
      <w:szCs w:val="24"/>
    </w:rPr>
  </w:style>
  <w:style w:type="paragraph" w:styleId="1059" w:customStyle="1">
    <w:name w:val="ConsPlusNonformat"/>
    <w:uiPriority w:val="99"/>
    <w:pPr>
      <w:widowControl w:val="off"/>
    </w:pPr>
    <w:rPr>
      <w:rFonts w:ascii="Courier New" w:hAnsi="Courier New" w:eastAsia="Arial" w:cs="Courier New"/>
      <w:lang w:eastAsia="ar-SA"/>
    </w:rPr>
  </w:style>
  <w:style w:type="character" w:styleId="1060" w:customStyle="1">
    <w:name w:val="Font Style17"/>
    <w:uiPriority w:val="99"/>
    <w:rPr>
      <w:rFonts w:ascii="Times New Roman" w:hAnsi="Times New Roman" w:cs="Times New Roman"/>
      <w:sz w:val="20"/>
      <w:szCs w:val="20"/>
    </w:rPr>
  </w:style>
  <w:style w:type="character" w:styleId="1061">
    <w:name w:val="footnote reference"/>
    <w:rPr>
      <w:vertAlign w:val="superscript"/>
    </w:rPr>
  </w:style>
  <w:style w:type="paragraph" w:styleId="1062" w:customStyle="1">
    <w:name w:val="Preformat"/>
    <w:pPr>
      <w:widowControl w:val="off"/>
    </w:pPr>
    <w:rPr>
      <w:rFonts w:ascii="Courier New" w:hAnsi="Courier New"/>
    </w:rPr>
  </w:style>
  <w:style w:type="paragraph" w:styleId="1063" w:customStyle="1">
    <w:name w:val="Стиль3"/>
    <w:basedOn w:val="1032"/>
    <w:pPr>
      <w:ind w:left="1080"/>
      <w:jc w:val="both"/>
      <w:spacing w:after="0" w:line="240" w:lineRule="auto"/>
      <w:tabs>
        <w:tab w:val="num" w:pos="1307" w:leader="none"/>
      </w:tabs>
    </w:pPr>
    <w:rPr>
      <w:szCs w:val="20"/>
    </w:rPr>
  </w:style>
  <w:style w:type="paragraph" w:styleId="1064" w:customStyle="1">
    <w:name w:val="Знак Знак Знак Знак Знак Знак1 Знак"/>
    <w:basedOn w:val="948"/>
    <w:pPr>
      <w:spacing w:before="100" w:beforeAutospacing="1" w:after="100" w:afterAutospacing="1"/>
      <w:widowControl/>
    </w:pPr>
    <w:rPr>
      <w:rFonts w:ascii="Tahoma" w:hAnsi="Tahoma"/>
      <w:sz w:val="20"/>
      <w:szCs w:val="20"/>
      <w:lang w:val="en-US" w:eastAsia="en-US"/>
    </w:rPr>
  </w:style>
  <w:style w:type="paragraph" w:styleId="1065">
    <w:name w:val="Body Text 2"/>
    <w:basedOn w:val="948"/>
    <w:link w:val="1066"/>
    <w:uiPriority w:val="99"/>
    <w:unhideWhenUsed/>
    <w:pPr>
      <w:spacing w:after="120" w:line="480" w:lineRule="auto"/>
    </w:pPr>
  </w:style>
  <w:style w:type="character" w:styleId="1066" w:customStyle="1">
    <w:name w:val="Основной текст 2 Знак"/>
    <w:link w:val="1065"/>
    <w:uiPriority w:val="99"/>
    <w:rPr>
      <w:rFonts w:hAnsi="Times New Roman" w:cs="Times New Roman"/>
      <w:sz w:val="24"/>
      <w:szCs w:val="24"/>
    </w:rPr>
  </w:style>
  <w:style w:type="paragraph" w:styleId="1067">
    <w:name w:val="Body Text 3"/>
    <w:basedOn w:val="948"/>
    <w:link w:val="1068"/>
    <w:pPr>
      <w:spacing w:after="120"/>
      <w:widowControl/>
    </w:pPr>
    <w:rPr>
      <w:sz w:val="16"/>
      <w:szCs w:val="16"/>
    </w:rPr>
  </w:style>
  <w:style w:type="character" w:styleId="1068" w:customStyle="1">
    <w:name w:val="Основной текст 3 Знак"/>
    <w:link w:val="1067"/>
    <w:rPr>
      <w:rFonts w:hAnsi="Times New Roman" w:eastAsia="Times New Roman" w:cs="Times New Roman"/>
      <w:sz w:val="16"/>
      <w:szCs w:val="16"/>
    </w:rPr>
  </w:style>
  <w:style w:type="paragraph" w:styleId="1069" w:customStyle="1">
    <w:name w:val="Заголовок 2.КД"/>
    <w:basedOn w:val="948"/>
    <w:next w:val="948"/>
    <w:pPr>
      <w:jc w:val="center"/>
      <w:keepNext/>
      <w:spacing w:before="240" w:after="240"/>
      <w:outlineLvl w:val="0"/>
    </w:pPr>
    <w:rPr>
      <w:b/>
      <w:sz w:val="22"/>
      <w:szCs w:val="22"/>
      <w:lang w:eastAsia="en-US"/>
    </w:rPr>
  </w:style>
  <w:style w:type="paragraph" w:styleId="1070" w:customStyle="1">
    <w:name w:val="Заголовок 3.КД_02"/>
    <w:basedOn w:val="948"/>
    <w:pPr>
      <w:ind w:left="360" w:hanging="360"/>
      <w:jc w:val="center"/>
      <w:keepNext/>
      <w:spacing w:before="240" w:after="240"/>
      <w:tabs>
        <w:tab w:val="num" w:pos="360" w:leader="none"/>
      </w:tabs>
      <w:outlineLvl w:val="0"/>
    </w:pPr>
    <w:rPr>
      <w:b/>
      <w:sz w:val="22"/>
      <w:szCs w:val="22"/>
      <w:lang w:eastAsia="en-US"/>
    </w:rPr>
  </w:style>
  <w:style w:type="paragraph" w:styleId="1071" w:customStyle="1">
    <w:name w:val="xl24"/>
    <w:basedOn w:val="948"/>
    <w:pPr>
      <w:jc w:val="center"/>
      <w:spacing w:before="100" w:after="100"/>
      <w:widowControl/>
    </w:pPr>
    <w:rPr>
      <w:szCs w:val="20"/>
    </w:rPr>
  </w:style>
  <w:style w:type="paragraph" w:styleId="1072">
    <w:name w:val="HTML Preformatted"/>
    <w:basedOn w:val="948"/>
    <w:link w:val="1073"/>
    <w:pPr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character" w:styleId="1073" w:customStyle="1">
    <w:name w:val="Стандартный HTML Знак"/>
    <w:link w:val="1072"/>
    <w:rPr>
      <w:rFonts w:ascii="Courier New" w:hAnsi="Courier New" w:eastAsia="Times New Roman" w:cs="Courier New"/>
      <w:sz w:val="20"/>
      <w:szCs w:val="20"/>
    </w:rPr>
  </w:style>
  <w:style w:type="paragraph" w:styleId="1074" w:customStyle="1">
    <w:name w:val="Базовый"/>
    <w:pPr>
      <w:spacing w:after="200" w:line="276" w:lineRule="auto"/>
      <w:widowControl w:val="off"/>
      <w:tabs>
        <w:tab w:val="left" w:pos="708" w:leader="none"/>
      </w:tabs>
    </w:pPr>
    <w:rPr>
      <w:rFonts w:hAnsi="Times New Roman"/>
    </w:rPr>
  </w:style>
  <w:style w:type="character" w:styleId="1075" w:customStyle="1">
    <w:name w:val="Основной текст Знак1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76" w:customStyle="1">
    <w:name w:val="Без интервала1"/>
    <w:rPr>
      <w:rFonts w:hAnsi="Times New Roman" w:eastAsia="Calibri"/>
      <w:sz w:val="24"/>
      <w:szCs w:val="24"/>
    </w:rPr>
  </w:style>
  <w:style w:type="paragraph" w:styleId="1077" w:customStyle="1">
    <w:name w:val="Абзац списка1"/>
    <w:basedOn w:val="948"/>
    <w:link w:val="1078"/>
    <w:pPr>
      <w:ind w:left="720"/>
      <w:spacing w:after="200" w:line="276" w:lineRule="auto"/>
      <w:widowControl/>
    </w:pPr>
    <w:rPr>
      <w:rFonts w:ascii="Calibri" w:hAnsi="Calibri" w:eastAsia="Calibri"/>
      <w:sz w:val="22"/>
      <w:szCs w:val="22"/>
    </w:rPr>
  </w:style>
  <w:style w:type="character" w:styleId="1078" w:customStyle="1">
    <w:name w:val="List Paragraph Char"/>
    <w:link w:val="1077"/>
    <w:rPr>
      <w:rFonts w:ascii="Calibri" w:hAnsi="Calibri" w:eastAsia="Calibri" w:cs="Times New Roman"/>
    </w:rPr>
  </w:style>
  <w:style w:type="character" w:styleId="1079">
    <w:name w:val="Emphasis"/>
    <w:qFormat/>
    <w:rPr>
      <w:rFonts w:cs="Times New Roman"/>
      <w:i/>
      <w:iCs/>
    </w:rPr>
  </w:style>
  <w:style w:type="paragraph" w:styleId="1080" w:customStyle="1">
    <w:name w:val="xl88"/>
    <w:basedOn w:val="948"/>
    <w:pPr>
      <w:jc w:val="both"/>
      <w:spacing w:before="280" w:after="280"/>
      <w:widowControl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eastAsia="Arial Unicode MS"/>
      <w:lang w:eastAsia="ar-SA"/>
    </w:rPr>
  </w:style>
  <w:style w:type="paragraph" w:styleId="1081" w:customStyle="1">
    <w:name w:val="ConsPlusCell"/>
    <w:uiPriority w:val="99"/>
    <w:rPr>
      <w:rFonts w:ascii="Arial" w:hAnsi="Arial" w:eastAsia="Calibri" w:cs="Arial"/>
      <w:lang w:eastAsia="en-US"/>
    </w:rPr>
  </w:style>
  <w:style w:type="character" w:styleId="1082" w:customStyle="1">
    <w:name w:val="tendersubject1"/>
    <w:rPr>
      <w:b/>
      <w:bCs/>
      <w:color w:val="0000ff"/>
      <w:sz w:val="20"/>
      <w:szCs w:val="20"/>
    </w:rPr>
  </w:style>
  <w:style w:type="paragraph" w:styleId="1083">
    <w:name w:val="Body Text Indent"/>
    <w:basedOn w:val="948"/>
    <w:link w:val="1084"/>
    <w:unhideWhenUsed/>
    <w:pPr>
      <w:ind w:left="283"/>
      <w:spacing w:after="120"/>
    </w:pPr>
  </w:style>
  <w:style w:type="character" w:styleId="1084" w:customStyle="1">
    <w:name w:val="Основной текст с отступом Знак"/>
    <w:link w:val="1083"/>
    <w:rPr>
      <w:rFonts w:hAnsi="Times New Roman" w:cs="Times New Roman"/>
      <w:sz w:val="24"/>
      <w:szCs w:val="24"/>
    </w:rPr>
  </w:style>
  <w:style w:type="character" w:styleId="1085">
    <w:name w:val="page number"/>
    <w:basedOn w:val="954"/>
    <w:uiPriority w:val="99"/>
  </w:style>
  <w:style w:type="paragraph" w:styleId="1086">
    <w:name w:val="Normal Indent"/>
    <w:basedOn w:val="948"/>
    <w:uiPriority w:val="99"/>
    <w:pPr>
      <w:ind w:firstLine="567"/>
      <w:jc w:val="both"/>
      <w:widowControl/>
    </w:pPr>
    <w:rPr>
      <w:rFonts w:eastAsia="Calibri"/>
      <w:sz w:val="28"/>
      <w:szCs w:val="28"/>
    </w:rPr>
  </w:style>
  <w:style w:type="character" w:styleId="1087" w:customStyle="1">
    <w:name w:val="Знак Знак1"/>
    <w:uiPriority w:val="99"/>
    <w:rPr>
      <w:rFonts w:ascii="Arial" w:hAnsi="Arial"/>
      <w:b/>
      <w:sz w:val="32"/>
      <w:lang w:val="ru-RU" w:eastAsia="ru-RU"/>
    </w:rPr>
  </w:style>
  <w:style w:type="paragraph" w:styleId="1088" w:customStyle="1">
    <w:name w:val="Default"/>
    <w:uiPriority w:val="99"/>
    <w:rPr>
      <w:rFonts w:hAnsi="Times New Roman" w:eastAsia="Calibri"/>
      <w:color w:val="000000"/>
      <w:sz w:val="24"/>
      <w:szCs w:val="24"/>
      <w:lang w:eastAsia="ar-SA"/>
    </w:rPr>
  </w:style>
  <w:style w:type="character" w:styleId="1089" w:customStyle="1">
    <w:name w:val="Title Char1"/>
    <w:uiPriority w:val="99"/>
    <w:rPr>
      <w:rFonts w:ascii="Arial" w:hAnsi="Arial" w:cs="Times New Roman"/>
      <w:b/>
      <w:sz w:val="20"/>
      <w:szCs w:val="20"/>
      <w:lang w:eastAsia="ru-RU"/>
    </w:rPr>
  </w:style>
  <w:style w:type="character" w:styleId="1090" w:customStyle="1">
    <w:name w:val="Текст примечания Знак"/>
    <w:link w:val="1091"/>
    <w:uiPriority w:val="99"/>
    <w:semiHidden/>
    <w:rPr>
      <w:rFonts w:ascii="Calibri" w:hAnsi="Calibri" w:eastAsia="Times New Roman" w:cs="Times New Roman"/>
      <w:sz w:val="20"/>
      <w:szCs w:val="20"/>
    </w:rPr>
  </w:style>
  <w:style w:type="paragraph" w:styleId="1091">
    <w:name w:val="annotation text"/>
    <w:basedOn w:val="948"/>
    <w:link w:val="1090"/>
    <w:uiPriority w:val="99"/>
    <w:semiHidden/>
    <w:pPr>
      <w:spacing w:after="200"/>
      <w:widowControl/>
    </w:pPr>
    <w:rPr>
      <w:rFonts w:ascii="Calibri" w:hAnsi="Calibri"/>
      <w:sz w:val="20"/>
      <w:szCs w:val="20"/>
    </w:rPr>
  </w:style>
  <w:style w:type="character" w:styleId="1092" w:customStyle="1">
    <w:name w:val="Тема примечания Знак"/>
    <w:link w:val="1093"/>
    <w:uiPriority w:val="99"/>
    <w:semiHidden/>
    <w:rPr>
      <w:rFonts w:ascii="Calibri" w:hAnsi="Calibri" w:eastAsia="Times New Roman" w:cs="Times New Roman"/>
      <w:b/>
      <w:bCs/>
      <w:sz w:val="20"/>
      <w:szCs w:val="20"/>
    </w:rPr>
  </w:style>
  <w:style w:type="paragraph" w:styleId="1093">
    <w:name w:val="annotation subject"/>
    <w:basedOn w:val="1091"/>
    <w:next w:val="1091"/>
    <w:link w:val="1092"/>
    <w:uiPriority w:val="99"/>
    <w:semiHidden/>
    <w:rPr>
      <w:b/>
      <w:bCs/>
    </w:rPr>
  </w:style>
  <w:style w:type="character" w:styleId="1094" w:customStyle="1">
    <w:name w:val="Текст концевой сноски Знак"/>
    <w:link w:val="1095"/>
    <w:uiPriority w:val="99"/>
    <w:semiHidden/>
    <w:rPr>
      <w:rFonts w:ascii="Calibri" w:hAnsi="Calibri" w:eastAsia="Times New Roman" w:cs="Times New Roman"/>
      <w:sz w:val="20"/>
      <w:szCs w:val="20"/>
    </w:rPr>
  </w:style>
  <w:style w:type="paragraph" w:styleId="1095">
    <w:name w:val="endnote text"/>
    <w:basedOn w:val="948"/>
    <w:link w:val="1094"/>
    <w:uiPriority w:val="99"/>
    <w:semiHidden/>
    <w:pPr>
      <w:widowControl/>
    </w:pPr>
    <w:rPr>
      <w:rFonts w:ascii="Calibri" w:hAnsi="Calibri"/>
      <w:sz w:val="20"/>
      <w:szCs w:val="20"/>
    </w:rPr>
  </w:style>
  <w:style w:type="character" w:styleId="1096" w:customStyle="1">
    <w:name w:val="H2 Знак1"/>
    <w:uiPriority w:val="99"/>
    <w:rPr>
      <w:rFonts w:eastAsia="Times New Roman"/>
      <w:i/>
      <w:sz w:val="22"/>
      <w:lang w:val="ru-RU" w:eastAsia="ar-SA" w:bidi="ar-SA"/>
    </w:rPr>
  </w:style>
  <w:style w:type="character" w:styleId="1097" w:customStyle="1">
    <w:name w:val="Знак Знак6"/>
    <w:uiPriority w:val="99"/>
    <w:rPr>
      <w:rFonts w:eastAsia="Times New Roman"/>
      <w:b/>
      <w:sz w:val="24"/>
      <w:lang w:val="ru-RU" w:eastAsia="ar-SA" w:bidi="ar-SA"/>
    </w:rPr>
  </w:style>
  <w:style w:type="character" w:styleId="1098" w:customStyle="1">
    <w:name w:val="Знак Знак"/>
    <w:uiPriority w:val="99"/>
    <w:rPr>
      <w:rFonts w:ascii="Calibri" w:hAnsi="Calibri"/>
      <w:b/>
      <w:sz w:val="24"/>
      <w:lang w:val="ru-RU" w:eastAsia="ar-SA" w:bidi="ar-SA"/>
    </w:rPr>
  </w:style>
  <w:style w:type="paragraph" w:styleId="1099" w:customStyle="1">
    <w:name w:val="Основной текст 31"/>
    <w:basedOn w:val="948"/>
    <w:pPr>
      <w:spacing w:after="120"/>
      <w:widowControl/>
    </w:pPr>
    <w:rPr>
      <w:sz w:val="16"/>
      <w:szCs w:val="16"/>
      <w:lang w:eastAsia="ar-SA"/>
    </w:rPr>
  </w:style>
  <w:style w:type="paragraph" w:styleId="1100" w:customStyle="1">
    <w:name w:val="Основной текст с отступом 21"/>
    <w:basedOn w:val="948"/>
    <w:pPr>
      <w:ind w:left="283"/>
      <w:spacing w:after="120" w:line="480" w:lineRule="auto"/>
      <w:widowControl/>
    </w:pPr>
    <w:rPr>
      <w:sz w:val="20"/>
      <w:szCs w:val="20"/>
      <w:lang w:eastAsia="ar-SA"/>
    </w:rPr>
  </w:style>
  <w:style w:type="paragraph" w:styleId="1101">
    <w:name w:val="Caption"/>
    <w:basedOn w:val="948"/>
    <w:next w:val="948"/>
    <w:link w:val="817"/>
    <w:qFormat/>
    <w:pPr>
      <w:spacing w:before="120" w:after="120"/>
    </w:pPr>
    <w:rPr>
      <w:b/>
      <w:sz w:val="20"/>
      <w:szCs w:val="20"/>
      <w:lang w:val="en-US"/>
    </w:rPr>
  </w:style>
  <w:style w:type="paragraph" w:styleId="1102" w:customStyle="1">
    <w:name w:val="Содержимое таблицы"/>
    <w:basedOn w:val="948"/>
    <w:pPr>
      <w:widowControl/>
      <w:suppressLineNumbers/>
    </w:pPr>
    <w:rPr>
      <w:lang w:eastAsia="ar-SA"/>
    </w:rPr>
  </w:style>
  <w:style w:type="paragraph" w:styleId="1103" w:customStyle="1">
    <w:name w:val="western"/>
    <w:basedOn w:val="948"/>
    <w:pPr>
      <w:jc w:val="center"/>
      <w:spacing w:before="280"/>
    </w:pPr>
    <w:rPr>
      <w:rFonts w:eastAsia="Arial Unicode MS" w:cs="DejaVu Sans"/>
      <w:sz w:val="32"/>
      <w:szCs w:val="32"/>
      <w:lang w:bidi="ru-RU"/>
    </w:rPr>
  </w:style>
  <w:style w:type="paragraph" w:styleId="1104">
    <w:name w:val="Plain Text"/>
    <w:basedOn w:val="948"/>
    <w:link w:val="1105"/>
    <w:uiPriority w:val="99"/>
    <w:pPr>
      <w:widowControl/>
    </w:pPr>
    <w:rPr>
      <w:rFonts w:ascii="Courier New" w:hAnsi="Courier New"/>
      <w:color w:val="000000"/>
      <w:sz w:val="20"/>
      <w:szCs w:val="20"/>
    </w:rPr>
  </w:style>
  <w:style w:type="character" w:styleId="1105" w:customStyle="1">
    <w:name w:val="Текст Знак"/>
    <w:link w:val="1104"/>
    <w:uiPriority w:val="99"/>
    <w:rPr>
      <w:rFonts w:ascii="Courier New" w:hAnsi="Courier New" w:eastAsia="Times New Roman" w:cs="Times New Roman"/>
      <w:color w:val="000000"/>
      <w:sz w:val="20"/>
      <w:szCs w:val="20"/>
    </w:rPr>
  </w:style>
  <w:style w:type="paragraph" w:styleId="1106" w:customStyle="1">
    <w:name w:val="Head 9.2"/>
    <w:basedOn w:val="948"/>
    <w:next w:val="948"/>
    <w:pPr>
      <w:widowControl/>
    </w:pPr>
    <w:rPr>
      <w:rFonts w:ascii="MS Sans Serif" w:hAnsi="MS Sans Serif"/>
      <w:b/>
      <w:bCs/>
      <w:sz w:val="20"/>
    </w:rPr>
  </w:style>
  <w:style w:type="paragraph" w:styleId="1107" w:customStyle="1">
    <w:name w:val="WW-Основной текст с отступом 2"/>
    <w:basedOn w:val="948"/>
    <w:pPr>
      <w:ind w:left="-540"/>
      <w:jc w:val="both"/>
      <w:widowControl/>
    </w:pPr>
    <w:rPr>
      <w:rFonts w:ascii="Arial" w:hAnsi="Arial" w:cs="Arial"/>
      <w:sz w:val="18"/>
      <w:szCs w:val="18"/>
      <w:lang w:eastAsia="ar-SA"/>
    </w:rPr>
  </w:style>
  <w:style w:type="paragraph" w:styleId="1108" w:customStyle="1">
    <w:name w:val="Основной текст1"/>
    <w:basedOn w:val="948"/>
    <w:pPr>
      <w:jc w:val="both"/>
      <w:spacing w:line="360" w:lineRule="auto"/>
      <w:widowControl/>
    </w:pPr>
    <w:rPr>
      <w:sz w:val="28"/>
    </w:rPr>
  </w:style>
  <w:style w:type="character" w:styleId="1109" w:customStyle="1">
    <w:name w:val="Абзац списка Знак"/>
    <w:link w:val="1050"/>
    <w:uiPriority w:val="34"/>
    <w:rPr>
      <w:rFonts w:ascii="Calibri" w:hAnsi="Calibri" w:eastAsia="Times New Roman" w:cs="Times New Roman"/>
    </w:rPr>
  </w:style>
  <w:style w:type="character" w:styleId="1110" w:customStyle="1">
    <w:name w:val="Font Style15"/>
    <w:uiPriority w:val="99"/>
    <w:rPr>
      <w:rFonts w:hint="default" w:ascii="Times New Roman" w:hAnsi="Times New Roman" w:cs="Times New Roman"/>
      <w:sz w:val="16"/>
      <w:szCs w:val="16"/>
    </w:rPr>
  </w:style>
  <w:style w:type="paragraph" w:styleId="1111" w:customStyle="1">
    <w:name w:val="Основной текст 21"/>
    <w:basedOn w:val="948"/>
    <w:pPr>
      <w:jc w:val="both"/>
      <w:widowControl/>
    </w:pPr>
    <w:rPr>
      <w:rFonts w:cs="Wingdings"/>
      <w:i/>
      <w:iCs/>
      <w:szCs w:val="28"/>
      <w:lang w:eastAsia="ar-SA"/>
    </w:rPr>
  </w:style>
  <w:style w:type="character" w:styleId="1112" w:customStyle="1">
    <w:name w:val="Заголовок 3 Знак"/>
    <w:link w:val="951"/>
    <w:semiHidden/>
    <w:rPr>
      <w:rFonts w:ascii="Cambria" w:hAnsi="Cambria" w:eastAsia="Times New Roman" w:cs="Times New Roman"/>
      <w:color w:val="243f60"/>
      <w:sz w:val="24"/>
      <w:szCs w:val="24"/>
    </w:rPr>
  </w:style>
  <w:style w:type="paragraph" w:styleId="1113" w:customStyle="1">
    <w:name w:val="Обычный1"/>
    <w:uiPriority w:val="99"/>
    <w:pPr>
      <w:ind w:firstLine="567"/>
      <w:jc w:val="both"/>
      <w:spacing w:before="120" w:after="120"/>
      <w:widowControl w:val="off"/>
    </w:pPr>
    <w:rPr>
      <w:rFonts w:hAnsi="Times New Roman"/>
    </w:rPr>
  </w:style>
  <w:style w:type="character" w:styleId="1114" w:customStyle="1">
    <w:name w:val="комментарий"/>
    <w:uiPriority w:val="99"/>
    <w:rPr>
      <w:b/>
      <w:bCs/>
      <w:i/>
      <w:iCs/>
      <w:shd w:val="clear" w:color="auto" w:fill="auto"/>
    </w:rPr>
  </w:style>
  <w:style w:type="paragraph" w:styleId="1115" w:customStyle="1">
    <w:name w:val="ConsPlusTitle"/>
    <w:uiPriority w:val="99"/>
    <w:pPr>
      <w:widowControl w:val="off"/>
    </w:pPr>
    <w:rPr>
      <w:rFonts w:ascii="Arial" w:hAnsi="Arial" w:cs="Arial"/>
      <w:b/>
      <w:bCs/>
    </w:rPr>
  </w:style>
  <w:style w:type="paragraph" w:styleId="1116">
    <w:name w:val="Body Text First Indent"/>
    <w:basedOn w:val="1045"/>
    <w:link w:val="1117"/>
    <w:uiPriority w:val="99"/>
    <w:semiHidden/>
    <w:unhideWhenUsed/>
    <w:pPr>
      <w:ind w:firstLine="360"/>
      <w:spacing w:after="0"/>
      <w:widowControl/>
    </w:pPr>
  </w:style>
  <w:style w:type="character" w:styleId="1117" w:customStyle="1">
    <w:name w:val="Красная строка Знак"/>
    <w:link w:val="1116"/>
    <w:uiPriority w:val="99"/>
    <w:semiHidden/>
    <w:rPr>
      <w:rFonts w:hAnsi="Times New Roman" w:eastAsia="Times New Roman" w:cs="Times New Roman"/>
      <w:sz w:val="24"/>
      <w:szCs w:val="24"/>
    </w:rPr>
  </w:style>
  <w:style w:type="character" w:styleId="1118">
    <w:name w:val="Strong"/>
    <w:uiPriority w:val="22"/>
    <w:qFormat/>
    <w:rPr>
      <w:b/>
      <w:bCs/>
    </w:rPr>
  </w:style>
  <w:style w:type="character" w:styleId="1119" w:customStyle="1">
    <w:name w:val="font_14"/>
  </w:style>
  <w:style w:type="paragraph" w:styleId="1120" w:customStyle="1">
    <w:name w:val="Primer"/>
    <w:uiPriority w:val="99"/>
    <w:pPr>
      <w:ind w:right="57"/>
      <w:jc w:val="center"/>
      <w:framePr w:hSpace="180" w:wrap="around" w:vAnchor="text" w:hAnchor="page" w:x="2518" w:y="261"/>
    </w:pPr>
    <w:rPr>
      <w:rFonts w:hAnsi="Times New Roman"/>
      <w:sz w:val="24"/>
      <w:szCs w:val="24"/>
    </w:rPr>
  </w:style>
  <w:style w:type="numbering" w:styleId="1121" w:customStyle="1">
    <w:name w:val="Нет списка1"/>
    <w:next w:val="956"/>
    <w:uiPriority w:val="99"/>
    <w:semiHidden/>
    <w:unhideWhenUsed/>
  </w:style>
  <w:style w:type="table" w:styleId="1122" w:customStyle="1">
    <w:name w:val="Сетка таблицы1"/>
    <w:basedOn w:val="955"/>
    <w:next w:val="1024"/>
    <w:uiPriority w:val="99"/>
    <w:rPr>
      <w:rFonts w:asci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1123" w:customStyle="1">
    <w:name w:val="Нет списка2"/>
    <w:next w:val="956"/>
    <w:uiPriority w:val="99"/>
    <w:semiHidden/>
    <w:unhideWhenUsed/>
  </w:style>
  <w:style w:type="table" w:styleId="1124" w:customStyle="1">
    <w:name w:val="Сетка таблицы2"/>
    <w:basedOn w:val="955"/>
    <w:next w:val="1024"/>
    <w:uiPriority w:val="59"/>
    <w:rPr>
      <w:rFonts w:ascii="Calibri" w:eastAsia="Calibri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25" w:customStyle="1">
    <w:name w:val="Сетка таблицы11"/>
    <w:basedOn w:val="955"/>
    <w:next w:val="1024"/>
    <w:uiPriority w:val="39"/>
    <w:rPr>
      <w:rFonts w:asci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1126" w:customStyle="1">
    <w:name w:val="Нет списка11"/>
    <w:next w:val="956"/>
    <w:uiPriority w:val="99"/>
    <w:semiHidden/>
    <w:unhideWhenUsed/>
  </w:style>
  <w:style w:type="paragraph" w:styleId="1127">
    <w:name w:val="Block Text"/>
    <w:basedOn w:val="948"/>
    <w:pPr>
      <w:ind w:left="1440" w:right="1440"/>
      <w:jc w:val="both"/>
      <w:spacing w:after="120"/>
      <w:widowControl/>
    </w:pPr>
    <w:rPr>
      <w:szCs w:val="20"/>
    </w:rPr>
  </w:style>
  <w:style w:type="paragraph" w:styleId="1128" w:customStyle="1">
    <w:name w:val=".FORMATTEXT"/>
    <w:pPr>
      <w:widowControl w:val="off"/>
    </w:pPr>
    <w:rPr>
      <w:rFonts w:hAnsi="Times New Roman"/>
      <w:sz w:val="24"/>
      <w:szCs w:val="24"/>
    </w:rPr>
  </w:style>
  <w:style w:type="paragraph" w:styleId="1129" w:customStyle="1">
    <w:name w:val="tz_txt"/>
    <w:basedOn w:val="948"/>
    <w:link w:val="1130"/>
    <w:pPr>
      <w:ind w:firstLine="709"/>
      <w:jc w:val="both"/>
      <w:spacing w:after="120"/>
      <w:widowControl/>
    </w:pPr>
  </w:style>
  <w:style w:type="character" w:styleId="1130" w:customStyle="1">
    <w:name w:val="tz_txt Знак"/>
    <w:link w:val="1129"/>
    <w:rPr>
      <w:rFonts w:hAnsi="Times New Roman" w:eastAsia="Times New Roman" w:cs="Times New Roman"/>
      <w:sz w:val="24"/>
      <w:szCs w:val="24"/>
    </w:rPr>
  </w:style>
  <w:style w:type="character" w:styleId="1131">
    <w:name w:val="Placeholder Text"/>
    <w:basedOn w:val="954"/>
    <w:uiPriority w:val="99"/>
    <w:semiHidden/>
    <w:rPr>
      <w:color w:val="80808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Relationship Id="rId12" Type="http://schemas.openxmlformats.org/officeDocument/2006/relationships/image" Target="media/media1.svg"/><Relationship Id="rId13" Type="http://schemas.openxmlformats.org/officeDocument/2006/relationships/image" Target="media/image2.png"/><Relationship Id="rId14" Type="http://schemas.openxmlformats.org/officeDocument/2006/relationships/image" Target="media/media2.svg"/><Relationship Id="rId15" Type="http://schemas.openxmlformats.org/officeDocument/2006/relationships/image" Target="media/image3.png"/><Relationship Id="rId16" Type="http://schemas.openxmlformats.org/officeDocument/2006/relationships/image" Target="media/media3.sv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2C8C30-3FD4-4C38-AFDE-F3000155D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r.gladko</dc:creator>
  <cp:keywords/>
  <dc:description/>
  <cp:lastModifiedBy>ky.ilina</cp:lastModifiedBy>
  <cp:revision>7</cp:revision>
  <dcterms:created xsi:type="dcterms:W3CDTF">2026-05-20T13:57:00Z</dcterms:created>
  <dcterms:modified xsi:type="dcterms:W3CDTF">2026-09-28T12:52:42Z</dcterms:modified>
</cp:coreProperties>
</file>