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>Контракт №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на оказание услуг для государственных нужд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Кемеровская область — Кузбасс, г. Кемерово                                                     «___» октября 2026 г.</w:t>
      </w:r>
    </w:p>
    <w:p>
      <w:pPr>
        <w:pStyle w:val="Normal"/>
        <w:spacing w:before="0" w:after="0"/>
        <w:ind w:firstLine="567" w:right="46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775658901"/>
      <w:r>
        <w:rPr>
          <w:rFonts w:cs="Times New Roman" w:ascii="Times New Roman" w:hAnsi="Times New Roman"/>
          <w:b/>
          <w:bCs/>
          <w:sz w:val="24"/>
          <w:szCs w:val="24"/>
        </w:rPr>
        <w:t>Федеральное государственное бюджетное научное учреждение «Научно-исследовательский институт комплексных проблем сердечно-сосудистых заболеваний»</w:t>
      </w:r>
      <w:bookmarkEnd w:id="0"/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shd w:fill="FFFFFF" w:val="clear"/>
          <w:lang w:eastAsia="ru-RU"/>
        </w:rPr>
        <w:t>(НИИ КПССЗ),</w:t>
      </w:r>
      <w:r>
        <w:rPr>
          <w:rFonts w:cs="Times New Roman" w:ascii="Times New Roman" w:hAnsi="Times New Roman"/>
          <w:sz w:val="24"/>
          <w:szCs w:val="24"/>
        </w:rPr>
        <w:t xml:space="preserve"> в лице начальника отдела материально-технического снабжения Кузнецовой Александры Евгеньевны, действующей на основании доверенности от 08.06.2026 г., именуемое в дальнейшем </w:t>
      </w:r>
      <w:r>
        <w:rPr>
          <w:rFonts w:cs="Times New Roman" w:ascii="Times New Roman" w:hAnsi="Times New Roman"/>
          <w:b/>
          <w:bCs/>
          <w:sz w:val="24"/>
          <w:szCs w:val="24"/>
        </w:rPr>
        <w:t>«Заказчик»</w:t>
      </w:r>
      <w:r>
        <w:rPr>
          <w:rFonts w:cs="Times New Roman" w:ascii="Times New Roman" w:hAnsi="Times New Roman"/>
          <w:sz w:val="24"/>
          <w:szCs w:val="24"/>
        </w:rPr>
        <w:t xml:space="preserve">, с одной стороны, и </w:t>
      </w:r>
      <w:r>
        <w:rPr>
          <w:rFonts w:cs="Times New Roman" w:ascii="Times New Roman" w:hAnsi="Times New Roman"/>
          <w:b/>
          <w:bCs/>
          <w:sz w:val="24"/>
          <w:szCs w:val="24"/>
        </w:rPr>
        <w:t>___________________</w:t>
      </w:r>
      <w:r>
        <w:rPr>
          <w:rFonts w:cs="Times New Roman" w:ascii="Times New Roman" w:hAnsi="Times New Roman"/>
          <w:sz w:val="24"/>
          <w:szCs w:val="24"/>
        </w:rPr>
        <w:t>, именуемое в дальнейшем «Исполнитель», в лице ________________, действующ</w:t>
      </w:r>
      <w:r>
        <w:rPr>
          <w:rFonts w:cs="Times New Roman" w:ascii="Times New Roman" w:hAnsi="Times New Roman"/>
          <w:color w:val="000000"/>
          <w:sz w:val="24"/>
          <w:szCs w:val="24"/>
        </w:rPr>
        <w:t>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____________, именуемое в дальнейшем </w:t>
      </w:r>
      <w:r>
        <w:rPr>
          <w:rFonts w:cs="Times New Roman" w:ascii="Times New Roman" w:hAnsi="Times New Roman"/>
          <w:b/>
          <w:bCs/>
          <w:sz w:val="24"/>
          <w:szCs w:val="24"/>
        </w:rPr>
        <w:t>«Исполнитель»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с другой стороны, совместно именуемые </w:t>
      </w:r>
      <w:r>
        <w:rPr>
          <w:rFonts w:cs="Times New Roman" w:ascii="Times New Roman" w:hAnsi="Times New Roman"/>
          <w:b/>
          <w:bCs/>
          <w:sz w:val="24"/>
          <w:szCs w:val="24"/>
        </w:rPr>
        <w:t>«Стороны»,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п. 4  ч. 1 ст. 93  Федерального Закона от 05.04.2013 года №44-ФЗ заключили настоящий Контра</w:t>
      </w:r>
      <w:r>
        <w:rPr>
          <w:rFonts w:cs="Times New Roman" w:ascii="Times New Roman" w:hAnsi="Times New Roman"/>
          <w:sz w:val="24"/>
          <w:szCs w:val="24"/>
        </w:rPr>
        <w:t>кт (далее – Контракт) о нижеследующем: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Контракта</w:t>
      </w:r>
    </w:p>
    <w:p>
      <w:pPr>
        <w:pStyle w:val="Normal"/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По настоящему Контракту Исполнитель обязуется по заданию Заказчика оказать услуги по проведению специальной оценки условий труда </w:t>
      </w:r>
      <w:r>
        <w:rPr>
          <w:b w:val="false"/>
          <w:bCs w:val="false"/>
          <w:color w:val="000000"/>
          <w:sz w:val="24"/>
          <w:szCs w:val="24"/>
        </w:rPr>
        <w:t xml:space="preserve">(далее –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СОУТ</w:t>
      </w:r>
      <w:r>
        <w:rPr>
          <w:b w:val="false"/>
          <w:bCs w:val="false"/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>в соответствии со Спецификацией (Приложение №1 к настоящему Контракту) и Техническим заданием (Приложение №2 к настоящему Контракту)</w:t>
      </w:r>
      <w:r>
        <w:rPr>
          <w:sz w:val="24"/>
          <w:szCs w:val="24"/>
        </w:rPr>
        <w:t>, а Заказчик обязуется оплатить указанные услуги.</w:t>
      </w:r>
    </w:p>
    <w:p>
      <w:pPr>
        <w:pStyle w:val="Normal"/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Цена Контракта и порядок расчетов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2.1. Цена контракта составляет </w:t>
      </w:r>
      <w:r>
        <w:rPr>
          <w:b w:val="false"/>
          <w:bCs w:val="false"/>
          <w:sz w:val="24"/>
          <w:szCs w:val="24"/>
        </w:rPr>
        <w:t xml:space="preserve">________, </w:t>
      </w:r>
      <w:r>
        <w:rPr>
          <w:sz w:val="24"/>
          <w:szCs w:val="24"/>
        </w:rPr>
        <w:t>в том числе НДС</w:t>
      </w:r>
      <w:r>
        <w:rPr>
          <w:b w:val="false"/>
          <w:bCs w:val="false"/>
          <w:sz w:val="24"/>
          <w:szCs w:val="24"/>
        </w:rPr>
        <w:t xml:space="preserve"> ______. </w:t>
      </w:r>
      <w:r>
        <w:rPr>
          <w:rFonts w:eastAsia="Calibri"/>
          <w:sz w:val="24"/>
          <w:szCs w:val="24"/>
          <w:lang w:eastAsia="en-US"/>
        </w:rPr>
        <w:t>В стоимость Контракта включается стоимость Услуг</w:t>
      </w:r>
      <w:r>
        <w:rPr>
          <w:rFonts w:eastAsia="Calibri"/>
          <w:color w:val="000000"/>
          <w:sz w:val="24"/>
          <w:szCs w:val="24"/>
          <w:lang w:eastAsia="en-US"/>
        </w:rPr>
        <w:t xml:space="preserve"> согласно Спецификации (Приложение №1 к настоящему Контракту)</w:t>
      </w:r>
      <w:r>
        <w:rPr>
          <w:rFonts w:eastAsia="Calibri"/>
          <w:sz w:val="24"/>
          <w:szCs w:val="24"/>
          <w:lang w:eastAsia="en-US"/>
        </w:rPr>
        <w:t xml:space="preserve">, оплату налогов, сборов и других обязательных платежей, которые Исполнитель обязан уплатить при исполнении настоящего Контракта. 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Цена Контракта является твердой на протяжении всего срока его действия.  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случае изменения законодательства Российской Федерации в отношении условия налогообложения Исполнителя цена Контракта, указанная в абзаце первом настоящего пункта, не подлежит изменению и включаете в себя НДС. Исполнитель не вправе предъявлять к оплате суммы сверх установленной настоящем пункте.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2.2. Оплата по Контракту осуществляется путем безналичного расчета. Датой оплаты считается дата списания денежных средств со счета Заказчика. В случае изменения своего расчетного счета Исполнитель обязан в течение 5 (пяти)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Исполнителя, несет Исполнитель.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color w:val="000000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2.3. Расчет по настоящему Контракту производится Заказчиком в течение 10 (десяти) рабочих дней с даты приемки результата оказанной Услуги на основании утвержденного Заказчиком Акта приемки  по форме ОКУД 0510452, утвержденной Приказ Минфина от 15.04.2021г. № 61н.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color w:val="FF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2.4. Источник финансирования: средства бюджетных учреждений.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color w:val="FF0000"/>
          <w:sz w:val="24"/>
          <w:szCs w:val="24"/>
          <w:lang w:eastAsia="en-US"/>
        </w:rPr>
      </w:pPr>
      <w:r>
        <w:rPr>
          <w:color w:val="FF0000"/>
          <w:sz w:val="24"/>
          <w:szCs w:val="24"/>
          <w:lang w:eastAsia="en-US"/>
        </w:rPr>
      </w:r>
    </w:p>
    <w:p>
      <w:pPr>
        <w:pStyle w:val="Normal"/>
        <w:widowControl/>
        <w:spacing w:before="0" w:after="0"/>
        <w:ind w:firstLine="567" w:right="46"/>
        <w:contextualSpacing/>
        <w:jc w:val="center"/>
        <w:rPr>
          <w:b/>
          <w:szCs w:val="24"/>
        </w:rPr>
      </w:pPr>
      <w:r>
        <w:rPr>
          <w:b/>
          <w:bCs/>
          <w:spacing w:val="-1"/>
          <w:sz w:val="24"/>
          <w:szCs w:val="24"/>
        </w:rPr>
        <w:t>3. Обязанности Сторон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/>
          <w:szCs w:val="24"/>
        </w:rPr>
        <w:t>3.1. Заказчик по Контракту вправе: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3.1.1. Требовать от Исполнителя надлежащего исполнения обязательств в соответствии с Контрактом, а также требовать своевременного устранения выявленных недостатков;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3.1.2. Требовать от Исполнителя выезда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3.1.3. Требовать и получать от Исполнителя обоснования результатов проведения СОУТ, разъяснения по вопросам проведения СОУТ на рабочих местах Заказчика;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3.1.4. Запрашивать у Исполнителя информацию о ходе оказания Услуг;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3.1.5. Осуществлять контроль за объемом и сроками оказания Услуг, проверять ход оказания Услуг, а также их соответствие требованиям к измерениям, осуществляемым испытательной лабораторией (центром) Исполнителя в соответствии с Федеральным законом от 28.12.2013 N 426-ФЗ, не вмешиваясь в деятельность Исполнителя;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3.1.6. Требовать от Исполнителя документы, подтверждающие, что используемые средства измерений прошли государственную поверку и внесены в Федеральный информационный фонд по обеспечению единства измерений;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3.1.7. Обжаловать в порядке, установленном статьей 26 Федерального закона от 28.12.2013 N 426-ФЗ, действия (бездействие) Исполнителя;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3.1.8. Самостоятельно в течение срока действия Контракта проверять информацию о соответствии Исполнителя требованиям, установленным пунктом 3 части 1, частями 2 и 3 статьи 19, частями 4 и 5 статьи 21 Федерального закона от 28.12.2013 N 426-ФЗ;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3.1.9. Получать от Исполнителя отчет о проведении СОУТ, оформленный в соответствии с требованиями статьи 15 Федерального закона от 28.12.2013 N 426-ФЗ, в срок, установленный Контрактом;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/>
          <w:szCs w:val="24"/>
        </w:rPr>
      </w:pPr>
      <w:r>
        <w:rPr>
          <w:b w:val="false"/>
          <w:bCs w:val="false"/>
          <w:szCs w:val="24"/>
        </w:rPr>
        <w:t>3.1.10. В случае досрочного исполнения Исполнителем обязательств по Контракту по согласованию с Заказчиком принять и оплатить Услуги в соответствии с установленным в Контракте порядком.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b/>
          <w:szCs w:val="24"/>
        </w:rPr>
        <w:t>3.2. Заказчик по Контракту обязан: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3.2.1. До начала проведения СОУТ предоставить Исполнителю: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приказ о проведении СОУТ;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сведения об организации — Заказчике которые перечислены в приложени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и</w:t>
      </w:r>
      <w:r>
        <w:rPr>
          <w:szCs w:val="24"/>
        </w:rPr>
        <w:t xml:space="preserve"> №6 приказа Министерства труда и социальной защиты РФ №834н от 24.12.2018г "Об утверждении типовых контрактов на оказание услуг по проведению специальной оценки условий труда и обучению работодателей и работников вопросам охраны труда, а также их информационных карт";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 xml:space="preserve">перечень рабочих мест, подлежащих СОУТ (приложение N 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3</w:t>
      </w:r>
      <w:r>
        <w:rPr>
          <w:szCs w:val="24"/>
        </w:rPr>
        <w:t xml:space="preserve"> к Контракту) с указанием: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индивидуального номера рабочего места;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rFonts w:eastAsia="Times New Roman" w:cs="Times New Roman"/>
          <w:color w:val="000000"/>
          <w:sz w:val="24"/>
          <w:szCs w:val="24"/>
          <w:lang w:val="ru-RU" w:eastAsia="zh-CN" w:bidi="ar-SA"/>
        </w:rPr>
      </w:pPr>
      <w:r>
        <w:rPr>
          <w:szCs w:val="24"/>
        </w:rPr>
        <w:t>- наименование рабочего места (профессии, должности) структурного подразделения в соответствии со штатным расписанием;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Другую и</w:t>
      </w:r>
      <w:r>
        <w:rPr>
          <w:szCs w:val="24"/>
        </w:rPr>
        <w:t>нформацию, имеющую отношение к проведению СОУТ, по требованию Исполнителя: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сменность работы и продолжительность смены;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работник(и), занятые на рабочем(их) месте(ах) (чел.) / из них женщин/ из них лиц в возрасте до 18 лет/ из них инвалидов;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СНИЛС работника(ов);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место проведения измерений факторов производственной среды и трудового процесса (рабочая зона);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время нахождения в рабочей зоне (в процентах к продолжительности смены);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класс условий труда по СОУТ (при наличии);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наличие СИЗ у работников (есть, 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повышенная оплата труда работника (работников)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ежегодный дополнительный оплачиваемый отпуск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сокращенная продолжительность рабочего времени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молоко или другие равноценные пищевые продукты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лечебно-профилактическое питание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право на досрочное назначение трудовой пенсии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- проведение медицинских осмотров (да/нет);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штатное расписание организации (содержащее информацию, имеющую отношение к проведению СОУТ);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копии приказов о приеме на работу работников, совмещающих должности, профессии (в случае совмещения);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должностей и профессий работников, которые подлежат обязательным предварительным и периодическим медицинским осмотрам согласно приказу Минздрав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а</w:t>
      </w:r>
      <w:r>
        <w:rPr>
          <w:szCs w:val="24"/>
        </w:rPr>
        <w:t xml:space="preserve"> России от 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28</w:t>
      </w:r>
      <w:r>
        <w:rPr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январ</w:t>
      </w:r>
      <w:r>
        <w:rPr>
          <w:szCs w:val="24"/>
        </w:rPr>
        <w:t>я 20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2</w:t>
      </w:r>
      <w:r>
        <w:rPr>
          <w:szCs w:val="24"/>
        </w:rPr>
        <w:t xml:space="preserve">1 г. N </w:t>
      </w: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29</w:t>
      </w:r>
      <w:r>
        <w:rPr>
          <w:szCs w:val="24"/>
        </w:rPr>
        <w:t>н "Об утверждении порядка проведения обязательных предварительных и периодических медицинских осмотров работников, предусмотренных частью 4 статьи 213 ТК РФ,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осмотры.";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работников, имеющих право на бесплатное получение лечебно-профилактического питания, молока или других равноценных продуктов, с указанием оснований для их выдачи;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работников, имеющих право на дополнительный отпуск и сокращенный рабочий день;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профессий рабочих и должностей служащих, имеющих право на досрочное назначение трудовой пенсии;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профессий рабочих и должностей служащих, имеющих право на доплаты (размер повышения оплаты труда) к окладу (факторы, их обусловливающие);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список работников, которым выдаются средства индивидуальной защиты;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сведения об инвалидах, работающих в организации;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страховые номера индивидуальных лицевых счетов работников, рабочие места которых подлежат СОУТ согласно Контракту;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 xml:space="preserve">перечень оборудования, инструментов и приспособлений, применяемых на рабочих местах, подлежащих СОУТ, а также используемых материалов и сырья (приложение N 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 xml:space="preserve"> к Контракту);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разъяснения по вопросам проведения СОУТ 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3.2.2. Определить ответственное лицо (лиц) со стороны Заказчика, отвечающее за взаимодействие с Исполнителем по вопросам оказания Услуг в соответствии с Контрактом. Заказчик представляет Исполнителю информацию о назначении ответственного лица (лиц) в письменной форме не позднее 3 рабочих дней с даты подписания Контракта.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3.2.3. В процессе проведения СОУТ предоставить Исполнителю необходимые сведения, документы и информацию, которые характеризуют условия труда на рабочих местах, технологический процесс, используемые на рабочем месте производственное оборудование, материалы и сырье, а также документы, регламентирующие обязанности работника, занятого на данном рабочем месте.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3.2.4. Не предпринимать каких бы то ни было преднамеренных действий, направленных на сужение круга вопросов, подлежащих выяснению при проведении СОУТ и влияющих на результаты ее проведения.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3.2.5. Содействовать Исполнителю в своевременном и полном проведении СОУТ, создавать для этого соответствующие условия.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3.2.6. Обеспечивать доступ к рабочим местам представителям Исполнителя.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3.2.7. Обеспечивать возможность беспрепятственного вноса на территорию Заказчика и выноса с территории Заказчика оборудования, принадлежащего Исполнителю, необходимого для проведения измерений (исследований) вредных и (или) опасных факторов производственной среды и трудового процесса.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 xml:space="preserve">3.2.8. Сообщать в письменной форме Исполнителю о недостатках, обнаруженных в ходе оказания Услуг, </w:t>
      </w:r>
      <w:r>
        <w:rPr>
          <w:szCs w:val="24"/>
          <w:shd w:fill="auto" w:val="clear"/>
        </w:rPr>
        <w:t>в течение 2 рабочих дней после обнаружения таких недостатков.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  <w:shd w:fill="auto" w:val="clear"/>
        </w:rPr>
      </w:pPr>
      <w:r>
        <w:rPr>
          <w:szCs w:val="24"/>
        </w:rPr>
        <w:t>3.2.9. Давать раб</w:t>
      </w:r>
      <w:r>
        <w:rPr>
          <w:szCs w:val="24"/>
          <w:shd w:fill="auto" w:val="clear"/>
        </w:rPr>
        <w:t>отникам организации — Заказчика необходимые разъяснения по вопросам проведения СОУТ на их рабочих местах.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  <w:shd w:fill="auto" w:val="clear"/>
        </w:rPr>
      </w:pPr>
      <w:r>
        <w:rPr>
          <w:szCs w:val="24"/>
          <w:shd w:fill="auto" w:val="clear"/>
        </w:rPr>
        <w:t>3.2.10. Своевременно принять и оплатить надлежащим образом оказанные Исполнителем Услуги в соответствии с Контрактом.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  <w:shd w:fill="auto" w:val="clear"/>
        </w:rPr>
      </w:pPr>
      <w:r>
        <w:rPr>
          <w:szCs w:val="24"/>
          <w:shd w:fill="auto" w:val="clear"/>
        </w:rPr>
        <w:t>3.2.11. В течение 3 рабочих дней с даты утверждения отчета о проведении СОУТ уведомить об этом Исполнителя любым доступным способом, обеспечивающим возможность подтверждения факта такого уведомления, а также направить в адрес Исполнителя копию утвержденного отчета о проведении СОУТ заказным почтовым отправлением с уведомлением о вручении либо в форме электронного документа, подписанного квалифицированной электронной подписью.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  <w:shd w:fill="auto" w:val="clear"/>
        </w:rPr>
        <w:t xml:space="preserve">3.2.12. Обеспечить присутствие своего представителя на время проведения измерений (исследований) вредных и (или) опасных факторов производственной среды и трудового процесса для предоставления необходимой </w:t>
      </w:r>
      <w:r>
        <w:rPr>
          <w:szCs w:val="24"/>
        </w:rPr>
        <w:t>информации об условиях труда на рабочих местах.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3.2.13. Исполнять требования законодательства Российской Федерации о СОУТ и иные обязанности, предусмотренные Контрактом.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2</w:t>
      </w:r>
      <w:r>
        <w:rPr>
          <w:szCs w:val="24"/>
        </w:rPr>
        <w:t>.14. Предоставляемая Заказчиком информация может содержать персональные данные работников Заказчика. Предоставляя Исполнителю указанную информацию о персональных данных,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 о персональных данных.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3.2.15. Произвести оплату в соответствии с условиями Контракта.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bookmarkStart w:id="1" w:name="_Hlk179373683"/>
      <w:bookmarkEnd w:id="1"/>
      <w:r>
        <w:rPr>
          <w:szCs w:val="24"/>
        </w:rPr>
        <w:t>3.2.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16</w:t>
      </w:r>
      <w:r>
        <w:rPr>
          <w:szCs w:val="24"/>
        </w:rPr>
        <w:t>. Надлежаще исполнять иные принятые на себя обязательства.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bookmarkStart w:id="2" w:name="_Hlk179373737"/>
      <w:bookmarkStart w:id="3" w:name="_Hlk178155480"/>
      <w:bookmarkStart w:id="4" w:name="_Hlk179373683_Копия_1"/>
      <w:bookmarkEnd w:id="3"/>
      <w:bookmarkEnd w:id="4"/>
      <w:r>
        <w:rPr>
          <w:szCs w:val="24"/>
        </w:rPr>
        <w:t>3.2.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17</w:t>
      </w:r>
      <w:r>
        <w:rPr>
          <w:szCs w:val="24"/>
        </w:rPr>
        <w:t xml:space="preserve">. При отсутствии замечаний, оформить, подписать и передать Исполнителю экземпляр Акта приемки по форме ОКУД 0510452 (Приказ Минфина от 15.04.2021 г. № 61н) (далее -ф. 0510452) в порядке и сроки, предусмотренные Контрактом.  </w:t>
      </w:r>
      <w:bookmarkEnd w:id="2"/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/>
          <w:szCs w:val="24"/>
        </w:rPr>
      </w:pPr>
      <w:bookmarkStart w:id="5" w:name="_Hlk179373863"/>
      <w:r>
        <w:rPr>
          <w:szCs w:val="24"/>
        </w:rPr>
        <w:t>3.2.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18</w:t>
      </w:r>
      <w:r>
        <w:rPr>
          <w:szCs w:val="24"/>
        </w:rPr>
        <w:t>. Требовать уплаты неустойки (штрафа, пени) в соответствии с разделом 8 Контракта.</w:t>
      </w:r>
      <w:bookmarkEnd w:id="5"/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bookmarkStart w:id="6" w:name="_Hlk178155480_Копия_1"/>
      <w:bookmarkEnd w:id="6"/>
      <w:r>
        <w:rPr>
          <w:b/>
          <w:szCs w:val="24"/>
        </w:rPr>
        <w:t>3.3. Исполнитель по Контракту вправе: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3</w:t>
      </w:r>
      <w:r>
        <w:rPr>
          <w:b w:val="false"/>
          <w:bCs w:val="false"/>
          <w:szCs w:val="24"/>
        </w:rPr>
        <w:t>.1. Отказаться в порядке, установленном Федеральным законом от 28.12.2013 N 426-ФЗ, от проведения СОУТ, если при ее проведении возникла либо может возникнуть угроза жизни или здоровью работников организации — Заказчика;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3</w:t>
      </w:r>
      <w:r>
        <w:rPr>
          <w:b w:val="false"/>
          <w:bCs w:val="false"/>
          <w:szCs w:val="24"/>
        </w:rPr>
        <w:t>.2. Получать от должностных лиц Заказчика разъяснения и подтверждения в устной и письменной форме по возникшим в ходе СОУТ вопросам, характеризующим условия труда на рабочих местах;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3</w:t>
      </w:r>
      <w:r>
        <w:rPr>
          <w:b w:val="false"/>
          <w:bCs w:val="false"/>
          <w:szCs w:val="24"/>
        </w:rPr>
        <w:t>.3. В случае выявления в ходе оказания Услуг обстоятельств, оказывающих либо способных оказать существенное влияние на результаты СОУТ, информировать об этом Заказчика;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b w:val="false"/>
          <w:bCs w:val="false"/>
          <w:szCs w:val="24"/>
        </w:rPr>
        <w:t>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3</w:t>
      </w:r>
      <w:r>
        <w:rPr>
          <w:b w:val="false"/>
          <w:bCs w:val="false"/>
          <w:szCs w:val="24"/>
        </w:rPr>
        <w:t>.4. Страховать имущественную ответственность по обязательствам, возникающим вследствие причинения ущерба Заказчику и (или) работникам Заказчика, в отношении рабочих мест которых проводилась СОУТ;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b w:val="false"/>
          <w:bCs w:val="false"/>
          <w:szCs w:val="24"/>
        </w:rPr>
        <w:t>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3</w:t>
      </w:r>
      <w:r>
        <w:rPr>
          <w:b w:val="false"/>
          <w:bCs w:val="false"/>
          <w:szCs w:val="24"/>
        </w:rPr>
        <w:t>.5. В случае при идентификации потенциально вредных и (или) опасных производственных факторов на рабочих местах не входящих в область аккредитации испытательной лаборатории Исполнителя для проведения инструментальных измерений и оценки уровней факторов производственной среды и трудового процесса. Исполнитель может привлечь соисполнителей для проведения исследований (испытаний) и измерений данных факторов испытательной лаборатории (центры), аккредитованные национальным органом по аккредитации в соответствии с законодательством Российской Федерации об аккредитации в национальной системе аккредитации, затраты на привлечение соисполнителя за счет Исполнителя. Привлечение соисполнителей допускается в соответствии с частью 2 статьи 19 Федерального закона от 28.12.2013 №426-ФЗ.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 w:val="false"/>
          <w:bCs w:val="false"/>
          <w:szCs w:val="24"/>
        </w:rPr>
      </w:pPr>
      <w:r>
        <w:rPr>
          <w:szCs w:val="24"/>
        </w:rPr>
        <w:t>3.3.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6</w:t>
      </w:r>
      <w:r>
        <w:rPr>
          <w:szCs w:val="24"/>
        </w:rPr>
        <w:t xml:space="preserve">. Получить своевременную оплату принятой Заказчиком Услуги. 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b/>
          <w:bCs/>
          <w:szCs w:val="24"/>
        </w:rPr>
      </w:pPr>
      <w:r>
        <w:rPr>
          <w:b w:val="false"/>
          <w:bCs w:val="false"/>
          <w:szCs w:val="24"/>
        </w:rPr>
        <w:t>3.3.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zh-CN" w:bidi="ar-SA"/>
        </w:rPr>
        <w:t>7</w:t>
      </w:r>
      <w:r>
        <w:rPr>
          <w:b w:val="false"/>
          <w:bCs w:val="false"/>
          <w:szCs w:val="24"/>
        </w:rPr>
        <w:t>. Осуществлять иные права в соответствии с действующим законодательством Российской Федерации.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b/>
          <w:bCs/>
          <w:szCs w:val="24"/>
        </w:rPr>
        <w:t>3.4. Исполнитель по Контракту обязан: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.1. Предоставлять по требованию Заказчика документы, подтверждающие соответствие Исполнителя требованиям, установленным статьей 19 Федерального закона от 28.12.2013 N 426-ФЗ.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.2. Предоставлять по требованию Заказчика обоснования результатов проведения СОУТ, а также давать работникам Заказчика разъяснения по вопросам проведения СОУТ на их рабочих местах.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.3. Осуществлять в обязательном порядке выезд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.4. Оказывать Услуги с соблюдением требований, установленных Федеральным законом от 28.12.2013 N 426-ФЗ, а также</w:t>
      </w:r>
      <w:r>
        <w:rPr>
          <w:b w:val="false"/>
          <w:bCs w:val="false"/>
          <w:szCs w:val="24"/>
        </w:rPr>
        <w:t xml:space="preserve"> </w:t>
      </w:r>
      <w:r>
        <w:rPr>
          <w:b w:val="false"/>
          <w:bCs w:val="false"/>
          <w:color w:val="000000"/>
        </w:rPr>
        <w:t>Приказ Минтруда России от 21.11.2023 N 817н</w:t>
      </w:r>
      <w:r>
        <w:rPr>
          <w:color w:val="000000"/>
        </w:rPr>
        <w:t xml:space="preserve"> </w:t>
      </w:r>
      <w:r>
        <w:rPr>
          <w:color w:val="000000"/>
          <w:szCs w:val="24"/>
        </w:rPr>
        <w:t xml:space="preserve"> </w:t>
      </w:r>
      <w:r>
        <w:rPr>
          <w:szCs w:val="24"/>
        </w:rPr>
        <w:t>в соответствии с областью аккредитации испытательной лаборатории (центра) Исполнителя.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.5. Применять утвержденные и аттестованные в порядке, установленном законодательством Российской Федерации об обеспечении единства измерений, методики (методы) измерений и соответствующие им средства измерений, прошедшие поверку и внесенные в Федеральный информационный фонд по обеспечению единства измерений.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.6. Проводить собственными силами лаборатории инструментальные измерения и оценку уровней факторов производственной среды и трудового процесса в ходе осуществления штатных производственных (технологических) процессов и (или) штатной деятельности организации с оформлением протоколов измерений на каждое рабочее место. Форма протоколов соответствует нормативными документами, определяющими порядок проведения измерений уровней показателей того или иного фактора. Оформление протоколов производится компьютерной программой Исполнителя.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.7. Обеспечивать соблюдение работниками, оказывающими Услуги, требований внутриобъектового режима, режима работы и внутреннего трудового распорядка Заказчика при обязательном наличии у них документов, удостоверяющих личность.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.8. Предоставлять по запросу Заказчика информацию о ходе оказания Услуг.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.9. Своевременно устранять выявленные Заказчиком недостатки.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.10. Направить Заказчику уведомление в письменной форме о случаях приостановления действия аттестата аккредитации, окончания действия аттестата аккредитации, сокращения области аккредитации, внесения в реестр организаций, проводящих СОУТ, записи о приостановлении деятельности, а также о начале процедуры подтверждения компетентности испытательной лаборатории (центра) в течение 2 рабочих дней с даты наступления указанных обстоятельств.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 xml:space="preserve">.11. </w:t>
      </w:r>
      <w:r>
        <w:rPr>
          <w:szCs w:val="24"/>
          <w:shd w:fill="auto" w:val="clear"/>
        </w:rPr>
        <w:t>Передать Заказчику в срок, установленный Контрактом, О</w:t>
      </w:r>
      <w:r>
        <w:rPr>
          <w:szCs w:val="24"/>
        </w:rPr>
        <w:t>тчет о проведении СОУТ на бумажном носителе.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.12. Соблюдать требования об обеспечении конфиденциальности информации в соответствии с требованиями законодательства Российской Федерации.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.13. Обеспечить сохранность документов, получаемых от Заказчика в ходе оказания Услуг.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.14. Предоставить список персонального состава экспертов, проводящих измерения и оценку.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.15. Обеспечить экспертов, производящих инструментальные измерения и оценку исправным инструментом и оборудованием,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пунктами 1 - 11 и 15 - 23 части 3 статьи 13 Федерального закона от 28.12.2013 № 426-ФЗ.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.16. Обеспечить экспертов, производящих инструментальные измерения специальной и санитарной одеждой и обувью, и другими средствами индивидуальной защиты.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4</w:t>
      </w:r>
      <w:r>
        <w:rPr>
          <w:szCs w:val="24"/>
        </w:rPr>
        <w:t>.17. предоставить разъяснения Заказчику в отношении оказанных Услуг в случае обнаружения уполномоченными на проведение экспертизы качества СОУТ органами несоответствия объема и стоимости Услуг, оказанных Исполнителем, сведениям, содержащимся в Календарном плане, а также акте сдачи-приемки оказанных Услуг.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 xml:space="preserve">3.4.18. Оказать Услугу в соответствии с принятыми на себя обязательствами </w:t>
      </w:r>
      <w:r>
        <w:rPr>
          <w:color w:val="000000"/>
          <w:sz w:val="24"/>
          <w:szCs w:val="24"/>
        </w:rPr>
        <w:t>в соответствии с Техническим заданием (Приложение №2 к настоящему Контракту)</w:t>
      </w:r>
      <w:r>
        <w:rPr>
          <w:szCs w:val="24"/>
        </w:rPr>
        <w:t>.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Cs w:val="24"/>
        </w:rPr>
      </w:pPr>
      <w:r>
        <w:rPr>
          <w:szCs w:val="24"/>
        </w:rPr>
        <w:t>3.4.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19</w:t>
      </w:r>
      <w:r>
        <w:rPr>
          <w:szCs w:val="24"/>
        </w:rPr>
        <w:t xml:space="preserve">. </w:t>
      </w:r>
      <w:r>
        <w:rPr>
          <w:szCs w:val="24"/>
          <w:shd w:fill="auto" w:val="clear"/>
        </w:rPr>
        <w:t xml:space="preserve">Представить Заказчику, в установленный Контрактом срок, надлежаще оформленные документы, предусмотренные Контрактом. </w:t>
      </w:r>
    </w:p>
    <w:p>
      <w:pPr>
        <w:pStyle w:val="BodyTextIndent"/>
        <w:tabs>
          <w:tab w:val="clear" w:pos="531"/>
          <w:tab w:val="left" w:pos="0" w:leader="none"/>
        </w:tabs>
        <w:spacing w:before="0" w:after="0"/>
        <w:ind w:firstLine="567" w:left="0" w:right="46"/>
        <w:contextualSpacing/>
        <w:rPr>
          <w:sz w:val="24"/>
          <w:szCs w:val="24"/>
        </w:rPr>
      </w:pPr>
      <w:r>
        <w:rPr>
          <w:szCs w:val="24"/>
        </w:rPr>
        <w:t>3.4.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20</w:t>
      </w:r>
      <w:r>
        <w:rPr>
          <w:szCs w:val="24"/>
        </w:rPr>
        <w:t>. Надлежаще исполнять иные принятые на себя обязательства.</w:t>
      </w:r>
    </w:p>
    <w:p>
      <w:pPr>
        <w:pStyle w:val="Normal"/>
        <w:shd w:val="clear" w:fill="FFFFFF"/>
        <w:tabs>
          <w:tab w:val="clear" w:pos="531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tabs>
          <w:tab w:val="clear" w:pos="531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center"/>
        <w:rPr>
          <w:color w:val="auto"/>
          <w:sz w:val="24"/>
          <w:szCs w:val="24"/>
          <w:shd w:fill="auto" w:val="clear"/>
        </w:rPr>
      </w:pPr>
      <w:r>
        <w:rPr>
          <w:b/>
          <w:sz w:val="24"/>
          <w:szCs w:val="24"/>
        </w:rPr>
        <w:t>4. Сроки и условия оказания услуг</w:t>
      </w:r>
    </w:p>
    <w:p>
      <w:pPr>
        <w:pStyle w:val="Normal"/>
        <w:shd w:val="clear" w:fill="FFFFFF"/>
        <w:tabs>
          <w:tab w:val="clear" w:pos="531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color w:val="auto"/>
          <w:sz w:val="24"/>
          <w:szCs w:val="24"/>
          <w:shd w:fill="auto" w:val="clear"/>
        </w:rPr>
        <w:t>4.1. Услуга оказывается по адрес</w:t>
      </w:r>
      <w:r>
        <w:rPr>
          <w:rFonts w:eastAsia="Times New Roman" w:cs="Times New Roman"/>
          <w:color w:val="auto"/>
          <w:sz w:val="24"/>
          <w:szCs w:val="24"/>
          <w:shd w:fill="auto" w:val="clear"/>
          <w:lang w:val="ru-RU" w:eastAsia="zh-CN" w:bidi="ar-SA"/>
        </w:rPr>
        <w:t>у</w:t>
      </w:r>
      <w:r>
        <w:rPr>
          <w:color w:val="auto"/>
          <w:sz w:val="24"/>
          <w:szCs w:val="24"/>
          <w:shd w:fill="auto" w:val="clear"/>
        </w:rPr>
        <w:t xml:space="preserve">: г. Кемерово, бульвар имени академика Л.С. Барбараша, стр. 6, в период </w:t>
      </w:r>
      <w:r>
        <w:rPr>
          <w:b/>
          <w:bCs/>
          <w:color w:val="auto"/>
          <w:sz w:val="24"/>
          <w:szCs w:val="24"/>
          <w:shd w:fill="auto" w:val="clear"/>
        </w:rPr>
        <w:t>с момента подписания Контракта до 3</w:t>
      </w:r>
      <w:r>
        <w:rPr>
          <w:b/>
          <w:bCs/>
          <w:color w:val="auto"/>
          <w:sz w:val="24"/>
          <w:szCs w:val="24"/>
          <w:shd w:fill="auto" w:val="clear"/>
        </w:rPr>
        <w:t>0.12.</w:t>
      </w:r>
      <w:r>
        <w:rPr>
          <w:b/>
          <w:bCs/>
          <w:color w:val="auto"/>
          <w:sz w:val="24"/>
          <w:szCs w:val="24"/>
          <w:shd w:fill="auto" w:val="clear"/>
        </w:rPr>
        <w:t>202</w:t>
      </w:r>
      <w:r>
        <w:rPr>
          <w:b/>
          <w:bCs/>
          <w:color w:val="auto"/>
          <w:sz w:val="24"/>
          <w:szCs w:val="24"/>
          <w:shd w:fill="auto" w:val="clear"/>
        </w:rPr>
        <w:t>6</w:t>
      </w:r>
      <w:r>
        <w:rPr>
          <w:b/>
          <w:bCs/>
          <w:color w:val="auto"/>
          <w:sz w:val="24"/>
          <w:szCs w:val="24"/>
          <w:shd w:fill="auto" w:val="clear"/>
        </w:rPr>
        <w:t xml:space="preserve">г. </w:t>
      </w:r>
      <w:r>
        <w:rPr>
          <w:color w:val="auto"/>
          <w:sz w:val="24"/>
          <w:szCs w:val="24"/>
          <w:shd w:fill="auto" w:val="clear"/>
        </w:rPr>
        <w:t xml:space="preserve">включительно, в рабочие дни с 9.00 до 15:00 ч. по согласованному графику. </w:t>
      </w:r>
    </w:p>
    <w:p>
      <w:pPr>
        <w:pStyle w:val="Normal"/>
        <w:shd w:val="clear" w:fill="FFFFFF"/>
        <w:tabs>
          <w:tab w:val="clear" w:pos="531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>
        <w:rPr>
          <w:color w:val="000000"/>
          <w:sz w:val="24"/>
          <w:szCs w:val="24"/>
        </w:rPr>
        <w:t xml:space="preserve">Датой завершения оказания Услуги считается дата получения Заказчиком </w:t>
      </w:r>
      <w:r>
        <w:rPr>
          <w:color w:val="000000"/>
          <w:sz w:val="24"/>
          <w:szCs w:val="24"/>
          <w:shd w:fill="auto" w:val="clear"/>
        </w:rPr>
        <w:t xml:space="preserve">от Исполнителя счета-фактуры (УПД), подписанного Исполнителем акта сдачи-приемки оказанных услуг, </w:t>
      </w:r>
      <w:r>
        <w:rPr>
          <w:vanish w:val="false"/>
          <w:color w:val="000000"/>
          <w:sz w:val="24"/>
          <w:szCs w:val="24"/>
          <w:shd w:fill="auto" w:val="clear"/>
        </w:rPr>
        <w:t xml:space="preserve"> </w:t>
      </w:r>
      <w:r>
        <w:rPr>
          <w:color w:val="000000"/>
          <w:sz w:val="24"/>
          <w:szCs w:val="24"/>
        </w:rPr>
        <w:t xml:space="preserve"> указанных в Спецификации (Приложении №1 к настоящему Контракту). </w:t>
      </w:r>
      <w:r>
        <w:rPr>
          <w:color w:val="000000"/>
          <w:sz w:val="24"/>
          <w:szCs w:val="24"/>
          <w:shd w:fill="90EE90" w:val="clear"/>
        </w:rPr>
        <w:t xml:space="preserve"> </w:t>
      </w:r>
    </w:p>
    <w:p>
      <w:pPr>
        <w:pStyle w:val="Normal"/>
        <w:shd w:val="clear" w:fill="FFFFFF"/>
        <w:tabs>
          <w:tab w:val="clear" w:pos="531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 </w:t>
      </w:r>
      <w:r>
        <w:rPr>
          <w:rFonts w:cs="Times New Roman" w:ascii="Times New Roman" w:hAnsi="Times New Roman"/>
          <w:b/>
          <w:bCs/>
          <w:sz w:val="24"/>
          <w:szCs w:val="24"/>
        </w:rPr>
        <w:t>Порядок приемки оказанных услуг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Приемка результата оказанных Услуг указанных в Приложении №1 осуществляется Заказчиком в течение 5 (пяти) рабочих дней после предоставления Исполнителем подписанных итоговых документов подтверждающих оказание данных Услуг, оформленных в соответствии с законодательством Российской Федерации.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имеет право присутствовать при приемке результата оказанной Услуги лично либо направить для участия в приемке своего представителя, в таком случае Заказчик производит приемку результата оказанной Услуги в присутствии Исполнителя либо его представителя. Стороны пришли к соглашению о том, что Акт приемки результата оказанной Услуги (ф. 0510452) может быть направлен Исполнителю в электронном виде и подписан  им квалифицированной электронной подписью.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По результатам приемки Комиссия по приемке, при отсутствии замечаний к результату оказанной Услуги и расхождений, составляет и подписывает Акт приемки (ф.0510452).  При присутствии Исполнителя при приемке результата оказанной Услуги, Акт приемки (ф. 0510452) составляется в двух экземплярах, подписывается Комиссией по приемке и Исполнителя или уполномоченным им лицом, в день окончания приемки. Один экземпляр Акта приемки (ф. 0510452), с подписями Сторон, передается Исполнителю.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отсутствия Исполнителя при приемке результата оказанных Услуг, подписанный Комиссией по приемке и утвержденный Заказчиком скан копия Акта приемки (ф. 0510452) в течение 1 (одного) рабочего дня, следующего за днем его утверждения Заказчиком, направляется Исполнителю. 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5.4. При обнаружении недостатков результата оказанной Услуги, Заказчик  составляет и направляет в адрес Исполнителя претензию. 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</w:rPr>
        <w:t xml:space="preserve">5.5. При признании претензии обоснованной Исполнитель обязуется устранить недостатки результата оказанной Услуги,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в срок не более 5 (пяти) дней с момента получения письменной претензии. 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5.6. В случае если Исполни</w:t>
      </w:r>
      <w:r>
        <w:rPr>
          <w:rFonts w:cs="Times New Roman" w:ascii="Times New Roman" w:hAnsi="Times New Roman"/>
          <w:sz w:val="24"/>
          <w:szCs w:val="24"/>
        </w:rPr>
        <w:t xml:space="preserve">тель оспаривает факт оказания Услуги ненадлежащего качества, Стороны привлекают для выявления характера недостатков независимого эксперта. 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Оплата услуг эксперта осуществляется за счет Исполнителя, за исключением случаев,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недостатками. В указанном случае расходы на экспертизу несет сторона, потребовавшая назначения экспертизы, а если она назначена по соглашению между сторонами, обе стороны поровну.</w:t>
      </w:r>
    </w:p>
    <w:p>
      <w:pPr>
        <w:pStyle w:val="16"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5.7. Обязательства Исполнителя по оказанию Услуг считаются выполненными Исполнителем после утверждения Заказчиком Акта приемки (ф. 0510452).</w:t>
      </w:r>
    </w:p>
    <w:p>
      <w:pPr>
        <w:pStyle w:val="16"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6"/>
        <w:bidi w:val="0"/>
        <w:spacing w:before="0" w:after="0"/>
        <w:ind w:firstLine="567" w:right="46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Ответственность сторон</w:t>
      </w:r>
    </w:p>
    <w:p>
      <w:pPr>
        <w:pStyle w:val="Normal"/>
        <w:widowControl/>
        <w:tabs>
          <w:tab w:val="clear" w:pos="531"/>
          <w:tab w:val="left" w:pos="0" w:leader="none"/>
          <w:tab w:val="left" w:pos="54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6.1. За неисполнение или ненадлежащее исполнение обязательств по настоящему Контракту Стороны несут ответственность в соответствие с действующим законодательством РФ.</w:t>
      </w:r>
    </w:p>
    <w:p>
      <w:pPr>
        <w:pStyle w:val="Normal"/>
        <w:widowControl/>
        <w:tabs>
          <w:tab w:val="clear" w:pos="531"/>
          <w:tab w:val="left" w:pos="0" w:leader="none"/>
          <w:tab w:val="left" w:pos="54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нарушения сроков оказания Услуги, установленных п.4.1 настоящего Контракта, Исполнитель уплачивает Заказчику пеню в размере 0,1% от цены Контракта, за каждый день просрочки исполнения обязательства. Пени начисляется начиная со дня, следующего за днем окончания исполнения обязательства.  </w:t>
      </w:r>
    </w:p>
    <w:p>
      <w:pPr>
        <w:pStyle w:val="Normal"/>
        <w:widowControl/>
        <w:tabs>
          <w:tab w:val="clear" w:pos="531"/>
          <w:tab w:val="left" w:pos="0" w:leader="none"/>
        </w:tabs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обязательств, Заказчик вправе требовать уплаты штрафа в размере 10% от цены Контракта, что составляет </w:t>
      </w:r>
      <w:r>
        <w:rPr>
          <w:b/>
          <w:sz w:val="24"/>
          <w:szCs w:val="24"/>
        </w:rPr>
        <w:t>_______</w:t>
      </w:r>
      <w:r>
        <w:rPr>
          <w:b/>
          <w:bCs/>
          <w:sz w:val="24"/>
          <w:szCs w:val="24"/>
        </w:rPr>
        <w:t xml:space="preserve"> руб.</w:t>
      </w:r>
      <w:r>
        <w:rPr>
          <w:b/>
          <w:bCs/>
          <w:sz w:val="24"/>
          <w:szCs w:val="24"/>
          <w:shd w:fill="FFFFFF" w:val="clear"/>
        </w:rPr>
        <w:t xml:space="preserve"> 00 коп.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6.4. За нарушение сроков оплаты, указанную в п. 2.3 Контракта, Исполнитель вправе требовать от Заказчика уплаты пени в размере 0,1% от суммы долга за каждый день просрочки исполнения обязательства. Пени за просрочку исполнения обязательства по оплате начисляется с рабочего дня следующего за днем, приходящимся на последний день срока оплаты.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6.5 Удержание с Исполнителя пени не освобождает его от выполнения обязательств по настоящему Контракту.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6.6.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 Срок действия, порядок изменения и расторжения Контракта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7.1. Настоящий Контракт вступает в силу с момента его подписания Сторонами и действует </w:t>
      </w:r>
      <w:r>
        <w:rPr>
          <w:rFonts w:cs="Times New Roman" w:ascii="Times New Roman" w:hAnsi="Times New Roman"/>
          <w:b/>
          <w:bCs/>
          <w:sz w:val="24"/>
          <w:szCs w:val="24"/>
        </w:rPr>
        <w:t>до 01.03.202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года</w:t>
      </w:r>
      <w:r>
        <w:rPr>
          <w:rFonts w:cs="Times New Roman" w:ascii="Times New Roman" w:hAnsi="Times New Roman"/>
          <w:sz w:val="24"/>
          <w:szCs w:val="24"/>
        </w:rPr>
        <w:t>, а в части оплаты – до исполнения обязательств.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 Настоящий Контракт может быть изменен по соглашению Сторон, составленному в письменной форме.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7.3. Настоящий Контракт может быть расторгнут по соглашению Сторон, с составлением соответствующего дополнительного соглашения, или по решению суда в случаях, предусмотренных действующим законодательством Российской Федерации.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7.4. Заказчик вправе отказаться от исполнения Контракта в одностороннем внесудебном порядке в случаях: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оказания услуг ненадлежащего качества с недостатками, которые не могут быть устранены в приемлемый для Заказчика срок;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неоднократного нарушения Исполнителем сроков оказания услуг;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 иных случаях, предусмотренных гражданским законодательством.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 Дополнительные условия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8.1. Во всем, что не урегулировано настоящим Контрактом, Стороны руководствуются законодательством Российской Федерации.</w:t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8.2. Стороны принимают все меры к разрешению споров и разногласий на основе взаимной договоренности. В случае недостижения договоренности все споры и разногласия решаются в судебном порядке в соответствии с законодательством Российской Федерации по месту нахождения Заказчика.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8.3. Все споры и разногласия, которые могут возникнуть по настоящему контракту, решаются путем переговоров между Сторонами. В случае если Стороны не придут к соглашению, спор подлежит рассмотрению в Арбитражном суде Кемеровской области.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8.4. Стороны подтверждают взаимное согласие на возможность осуществления обмена юридически значимыми первичными документами, адресованными Сторонам Контракта (Контракта, акты сдачи-приемки оказанных услуг, счета на оплату), в электронном виде, подписанными уполномоченными представителями Сторон с использованием усиленной квалифицированной электронной подписи, сертификат ключа проверки которой был изготовлен удостоверяющим центром, в соответствии с Федеральным законом от 06.04.2011 №63-ФЗ «Об электронной подписи». Технические средства и возможности позволяют Сторонам принимать и обрабатывать электронные формы документов. Обмен документами в электронном виде должен осуществляться по телекоммуникационным каналам связи через систему электронного документооборота «Контур.Диадок», с соблюдением требований российского законодательства, действующих на дату отправки документа.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8.5. Настоящий контракт, подписанный с использованием ЭП, признается электронным документом, равнозначным бумажному документу, подписанному собственноручной подписью уполномоченного представителя стороны по контракту.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Любые приложения, изменения и дополнения к настоящему контракту действительны и являются неотъемлемой частью настоящего контракта при условии, если они совершены в письменной форме, подписаны надлежащим образом уполномоченными представителями сторон собственноручно либо с использованием ЭП. Исключение составляют случаи изменения реквизитов сторон, которые являются действительными при наличии письменного уведомления от соответствующей стороны.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Стороны прямо договорились,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8.6.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06.04.2011 № 63-Ф3 «Об электронной подписи».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8.7.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ЭП, включая, но не ограничиваясь: использовать специализированные программные и программно-аппаратные средства защиты информации, средства антивирусной защиты, лицензионное программное обеспечение, не допускать к компьютерам посторонних лиц, обеспечивать надежность хранения ключей ЭП, имен и паролей, используемых при работе с ними, соблюдать иные требования, установленные законодательством РФ.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8.8.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8.9. Использование ЭП, владельцем которой является уполномоченное лицо стороны контракта, с нарушением конфиденциальности соответствующего ключа не освобождает сторону контракта от ответственности за неблагоприятные последствия, наступившие в результате такого использования.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8.10. Сторона несет ответственность за ущерб, возникший у другой стороны вследствие использования ЭП, владельцем которой являются уполномоченные лица первой стороны,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val="ru-RU" w:eastAsia="zh-CN" w:bidi="ar-SA"/>
        </w:rPr>
      </w:pPr>
      <w:r>
        <w:rPr>
          <w:rFonts w:cs="Times New Roman" w:ascii="Times New Roman" w:hAnsi="Times New Roman"/>
          <w:sz w:val="24"/>
          <w:szCs w:val="24"/>
        </w:rPr>
        <w:t>8.11. Настоящий контракт заключается в электронной форме.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8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12</w:t>
      </w:r>
      <w:r>
        <w:rPr>
          <w:rFonts w:cs="Times New Roman" w:ascii="Times New Roman" w:hAnsi="Times New Roman"/>
          <w:sz w:val="24"/>
          <w:szCs w:val="24"/>
        </w:rPr>
        <w:t>. Приложения к Контракту являются неотъемлемой частью Контракта: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N 1 - спецификация;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N 2 -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техническое задание на оказание Услуг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N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3</w:t>
      </w:r>
      <w:r>
        <w:rPr>
          <w:rFonts w:cs="Times New Roman" w:ascii="Times New Roman" w:hAnsi="Times New Roman"/>
          <w:sz w:val="24"/>
          <w:szCs w:val="24"/>
        </w:rPr>
        <w:t xml:space="preserve"> - перечень рабочих мест, подлежащих СОУТ.</w:t>
      </w:r>
    </w:p>
    <w:p>
      <w:pPr>
        <w:pStyle w:val="ConsPlusNonformat"/>
        <w:widowControl/>
        <w:tabs>
          <w:tab w:val="clear" w:pos="531"/>
          <w:tab w:val="left" w:pos="360" w:leader="none"/>
          <w:tab w:val="left" w:pos="540" w:leader="none"/>
          <w:tab w:val="left" w:pos="720" w:leader="none"/>
        </w:tabs>
        <w:bidi w:val="0"/>
        <w:spacing w:before="0" w:after="0"/>
        <w:ind w:firstLine="567" w:right="4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bidi w:val="0"/>
        <w:spacing w:before="0" w:after="0"/>
        <w:ind w:firstLine="567" w:right="46"/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cs="Times New Roman" w:ascii="Times New Roman" w:hAnsi="Times New Roman"/>
          <w:b/>
          <w:sz w:val="24"/>
          <w:szCs w:val="24"/>
        </w:rPr>
        <w:t>9. Адреса и реквизиты сторон</w:t>
      </w:r>
    </w:p>
    <w:tbl>
      <w:tblPr>
        <w:tblW w:w="104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4"/>
        <w:gridCol w:w="5081"/>
      </w:tblGrid>
      <w:tr>
        <w:trPr>
          <w:trHeight w:val="264" w:hRule="atLeast"/>
        </w:trPr>
        <w:tc>
          <w:tcPr>
            <w:tcW w:w="5334" w:type="dxa"/>
            <w:tcBorders/>
          </w:tcPr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bookmarkStart w:id="7" w:name="_Hlk179380629"/>
            <w:bookmarkEnd w:id="7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Заказчик: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bookmarkStart w:id="8" w:name="_Hlk179380629_Копия_1"/>
            <w:bookmarkEnd w:id="8"/>
            <w:r>
              <w:rPr>
                <w:sz w:val="24"/>
                <w:szCs w:val="24"/>
                <w:lang w:eastAsia="en-US"/>
              </w:rPr>
              <w:t>Федеральное государственное бюджетное научное учреждение «Научно-исследовательский институт комплексных проблем сердечно-сосудистых заболеваний» (НИИ КПССЗ)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Юридический и фактический адрес: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650002, г. Кемерово, бульвар имени академика Л.С. Барбараша, стр. 6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Тел.: +7 (3842) 64-33-08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Банковские реквизиты: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УФК по Новосибирской области (НИИ КПССЗ л/с 20396Х66880)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УФК по Новосибирской области (НИИ КПССЗ л/с 21396Х66880)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УФК по Новосибирской области (НИИ КПССЗ л/с 22396Х66880)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ИНН 4205012290 КПП 420501001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р/с 03214643000000015106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ОКЦ № 1 СибГУ Банка России/УФК по Новосибирской области, г. Новосибирск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БИК 015004950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к/с 40102810445370000043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КБК 00000000000000000130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ОГРН 1034205024479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ОКПО 55608705 ОКАТО 32401000000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ОКТМО 32701000 ОКФС 12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ОКОГУ 1330612 ОКОПФ 75103 ОКВЭД 72.19</w:t>
            </w:r>
          </w:p>
          <w:p>
            <w:pPr>
              <w:pStyle w:val="Normal"/>
              <w:widowControl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Эл.почта: </w:t>
            </w:r>
            <w:hyperlink r:id="rId2">
              <w:r>
                <w:rPr>
                  <w:rStyle w:val="Hyperlink"/>
                  <w:sz w:val="24"/>
                  <w:szCs w:val="24"/>
                  <w:lang w:eastAsia="en-US"/>
                </w:rPr>
                <w:t>reception@kemcardio.ru</w:t>
              </w:r>
            </w:hyperlink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материально-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технического снабжения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 А.Е. Кузнецова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81" w:type="dxa"/>
            <w:tcBorders/>
          </w:tcPr>
          <w:p>
            <w:pPr>
              <w:pStyle w:val="ConsPlusNonformat"/>
              <w:widowControl/>
              <w:bidi w:val="0"/>
              <w:spacing w:before="0" w:after="0"/>
              <w:ind w:right="-14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Исполнитель:</w:t>
            </w:r>
          </w:p>
          <w:p>
            <w:pPr>
              <w:pStyle w:val="Style22"/>
              <w:spacing w:before="0" w:after="0"/>
              <w:contextualSpacing/>
              <w:rPr/>
            </w:pPr>
            <w:r>
              <w:rPr/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</w:t>
            </w:r>
          </w:p>
          <w:p>
            <w:pPr>
              <w:pStyle w:val="ConsPlusNonformat"/>
              <w:bidi w:val="0"/>
              <w:spacing w:before="0" w:after="0"/>
              <w:ind w:right="-143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м.п.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1095" w:right="700" w:gutter="0" w:header="720" w:top="777" w:footer="720" w:bottom="777"/>
          <w:pgNumType w:start="1" w:fmt="decimal"/>
          <w:formProt w:val="false"/>
          <w:titlePg/>
          <w:textDirection w:val="lrTb"/>
          <w:docGrid w:type="default" w:linePitch="272" w:charSpace="0"/>
        </w:sectPr>
      </w:pPr>
    </w:p>
    <w:p>
      <w:pPr>
        <w:pStyle w:val="Normal"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>
      <w:pPr>
        <w:pStyle w:val="Normal"/>
        <w:spacing w:before="0" w:after="0"/>
        <w:contextualSpacing/>
        <w:jc w:val="right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к Контракту </w:t>
      </w:r>
      <w:r>
        <w:rPr>
          <w:b/>
          <w:bCs/>
          <w:sz w:val="24"/>
          <w:szCs w:val="24"/>
        </w:rPr>
        <w:t>№__________</w:t>
      </w:r>
    </w:p>
    <w:p>
      <w:pPr>
        <w:pStyle w:val="Normal"/>
        <w:spacing w:before="0" w:after="0"/>
        <w:contextualSpacing/>
        <w:jc w:val="right"/>
        <w:rPr>
          <w:b/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«   » октября 2026г.</w:t>
      </w:r>
      <w:bookmarkStart w:id="9" w:name="_Hlk180496427"/>
      <w:bookmarkEnd w:id="9"/>
    </w:p>
    <w:p>
      <w:pPr>
        <w:pStyle w:val="Normal"/>
        <w:spacing w:before="0" w:after="0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tbl>
      <w:tblPr>
        <w:tblW w:w="155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5543"/>
        <w:gridCol w:w="2266"/>
        <w:gridCol w:w="1484"/>
        <w:gridCol w:w="466"/>
        <w:gridCol w:w="667"/>
        <w:gridCol w:w="1634"/>
        <w:gridCol w:w="1082"/>
        <w:gridCol w:w="1569"/>
      </w:tblGrid>
      <w:tr>
        <w:trPr>
          <w:trHeight w:val="23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Наименование, минимальные технические (качественные) характеристики товара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происхождения ТРУ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color w:val="000000"/>
                <w:spacing w:val="-11"/>
                <w:sz w:val="24"/>
                <w:szCs w:val="24"/>
              </w:rPr>
            </w:pPr>
            <w:r>
              <w:rPr>
                <w:color w:val="000000"/>
                <w:spacing w:val="-11"/>
                <w:sz w:val="24"/>
                <w:szCs w:val="24"/>
              </w:rPr>
              <w:t>Стоимость единицы, рублей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color w:val="000000"/>
                <w:spacing w:val="-11"/>
                <w:sz w:val="24"/>
                <w:szCs w:val="24"/>
              </w:rPr>
            </w:pPr>
            <w:r>
              <w:rPr>
                <w:color w:val="000000"/>
                <w:spacing w:val="-11"/>
                <w:sz w:val="24"/>
                <w:szCs w:val="24"/>
              </w:rPr>
              <w:t>НДС, рублей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pacing w:before="0" w:after="0"/>
              <w:contextualSpacing/>
              <w:jc w:val="center"/>
              <w:rPr>
                <w:color w:val="000000"/>
                <w:spacing w:val="-11"/>
                <w:sz w:val="24"/>
                <w:szCs w:val="24"/>
              </w:rPr>
            </w:pPr>
            <w:r>
              <w:rPr>
                <w:color w:val="000000"/>
                <w:spacing w:val="-11"/>
                <w:sz w:val="24"/>
                <w:szCs w:val="24"/>
              </w:rPr>
              <w:t>Общая стоимость с НДС, рублей</w:t>
            </w:r>
          </w:p>
        </w:tc>
      </w:tr>
      <w:tr>
        <w:trPr>
          <w:trHeight w:val="23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6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Услуги по оценке условий труда рабочего места (согласно Приложению №3 к настоящему Контракту)</w:t>
            </w:r>
          </w:p>
          <w:p>
            <w:pPr>
              <w:pStyle w:val="user6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ОКПД2  71.20.19.130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6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Россия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Рабочее место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bidi w:val="0"/>
              <w:snapToGrid w:val="false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" w:hRule="atLeast"/>
        </w:trPr>
        <w:tc>
          <w:tcPr>
            <w:tcW w:w="128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10549" w:type="dxa"/>
            <w:gridSpan w:val="5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материально-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технического снабжения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 А.Е. Кузнецова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4952" w:type="dxa"/>
            <w:gridSpan w:val="4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kern w:val="2"/>
          <w:sz w:val="24"/>
          <w:szCs w:val="24"/>
          <w:lang w:bidi="hi-IN"/>
        </w:rPr>
        <w:t>Приложение №</w:t>
      </w:r>
      <w:r>
        <w:rPr>
          <w:color w:val="000000"/>
          <w:kern w:val="2"/>
          <w:sz w:val="24"/>
          <w:szCs w:val="24"/>
          <w:lang w:bidi="hi-IN"/>
        </w:rPr>
        <w:t>2</w:t>
      </w:r>
    </w:p>
    <w:p>
      <w:pPr>
        <w:pStyle w:val="Normal"/>
        <w:spacing w:before="0" w:after="0"/>
        <w:contextualSpacing/>
        <w:jc w:val="right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к Контракту </w:t>
      </w:r>
      <w:r>
        <w:rPr>
          <w:b w:val="false"/>
          <w:bCs w:val="false"/>
          <w:sz w:val="24"/>
          <w:szCs w:val="24"/>
        </w:rPr>
        <w:t>№________________</w:t>
      </w:r>
    </w:p>
    <w:p>
      <w:pPr>
        <w:pStyle w:val="Normal"/>
        <w:spacing w:before="0" w:after="0"/>
        <w:contextualSpacing/>
        <w:jc w:val="right"/>
        <w:rPr>
          <w:b/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«___» октября 2026г.</w:t>
      </w:r>
      <w:bookmarkStart w:id="10" w:name="_Hlk1804964271"/>
      <w:bookmarkEnd w:id="10"/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rFonts w:ascii="Liberation Serif;Times New Roman" w:hAnsi="Liberation Serif;Times New Roman" w:eastAsia="NSimSun" w:cs="Liberation Serif;Times New Roman"/>
          <w:kern w:val="2"/>
          <w:sz w:val="24"/>
          <w:szCs w:val="24"/>
          <w:lang w:bidi="hi-IN"/>
        </w:rPr>
      </w:pPr>
      <w:r>
        <w:rPr>
          <w:rFonts w:eastAsia="NSimSun"/>
          <w:b/>
          <w:bCs/>
          <w:kern w:val="2"/>
          <w:sz w:val="24"/>
          <w:szCs w:val="24"/>
          <w:lang w:bidi="hi-IN"/>
        </w:rPr>
        <w:t xml:space="preserve">Техническое задание </w:t>
      </w:r>
      <w:r>
        <w:rPr>
          <w:rFonts w:eastAsia="NSimSun"/>
          <w:b/>
          <w:bCs/>
          <w:color w:val="000000"/>
          <w:kern w:val="2"/>
          <w:sz w:val="24"/>
          <w:szCs w:val="24"/>
          <w:lang w:bidi="hi-IN"/>
        </w:rPr>
        <w:t>на оказание услуг по проведению специальной оценки условий труда в НИИ КПССЗ</w:t>
      </w:r>
    </w:p>
    <w:p>
      <w:pPr>
        <w:pStyle w:val="Normal"/>
        <w:jc w:val="center"/>
        <w:rPr>
          <w:rFonts w:ascii="Liberation Serif;Times New Roman" w:hAnsi="Liberation Serif;Times New Roman" w:eastAsia="NSimSun" w:cs="Liberation Serif;Times New Roman"/>
          <w:kern w:val="2"/>
          <w:sz w:val="24"/>
          <w:szCs w:val="24"/>
          <w:lang w:bidi="hi-IN"/>
        </w:rPr>
      </w:pPr>
      <w:r>
        <w:rPr>
          <w:rFonts w:eastAsia="NSimSun" w:cs="Liberation Serif;Times New Roman" w:ascii="Liberation Serif;Times New Roman" w:hAnsi="Liberation Serif;Times New Roman"/>
          <w:kern w:val="2"/>
          <w:sz w:val="24"/>
          <w:szCs w:val="24"/>
          <w:lang w:bidi="hi-IN"/>
        </w:rPr>
      </w:r>
    </w:p>
    <w:tbl>
      <w:tblPr>
        <w:tblW w:w="15423" w:type="dxa"/>
        <w:jc w:val="left"/>
        <w:tblInd w:w="108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34"/>
        <w:gridCol w:w="2468"/>
        <w:gridCol w:w="7056"/>
        <w:gridCol w:w="4965"/>
      </w:tblGrid>
      <w:tr>
        <w:trPr>
          <w:trHeight w:val="286" w:hRule="atLeast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57" w:after="57"/>
              <w:ind w:right="0"/>
              <w:jc w:val="both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4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57" w:after="57"/>
              <w:ind w:right="0"/>
              <w:jc w:val="center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Наименование (техническое задание)</w:t>
            </w:r>
          </w:p>
        </w:tc>
      </w:tr>
      <w:tr>
        <w:trPr>
          <w:trHeight w:val="4411" w:hRule="atLeast"/>
        </w:trPr>
        <w:tc>
          <w:tcPr>
            <w:tcW w:w="9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283"/>
              <w:ind w:right="0"/>
              <w:jc w:val="center"/>
              <w:rPr/>
            </w:pPr>
            <w:r>
              <w:rPr/>
              <w:t>1.</w:t>
            </w:r>
          </w:p>
        </w:tc>
        <w:tc>
          <w:tcPr>
            <w:tcW w:w="1448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b/>
                <w:bCs/>
                <w:sz w:val="20"/>
              </w:rPr>
              <w:t>Оказание услуги по проведению специальной оценки условий труда. Количество рабочих мест — 55.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Для оказания услуг Исполнителю необходимо: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1.1. Документально подтвердить аккредитацию на право оказывать услуги в области проведения специальной оценки условий труда путем предоставления копий следующих документов: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- аттестата аккредитации испытательной лаборатории, которая аккредитована национальным органом по аккредитации в соответствии с </w:t>
            </w:r>
            <w:hyperlink r:id="rId9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законодательством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      </w:r>
            <w:hyperlink r:id="rId10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пунктами 1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hyperlink r:id="rId11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11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и </w:t>
            </w:r>
            <w:hyperlink r:id="rId12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15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hyperlink r:id="rId13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23 части 3 статьи 13</w:t>
              </w:r>
            </w:hyperlink>
            <w:r>
              <w:rPr/>
              <w:t xml:space="preserve"> № </w:t>
            </w:r>
            <w:r>
              <w:rPr>
                <w:rFonts w:cs="Times New Roman;serif" w:ascii="Times New Roman;serif" w:hAnsi="Times New Roman;serif"/>
                <w:sz w:val="20"/>
              </w:rPr>
              <w:t>426 от 28.12.2014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уведомления Министерства труда и социальной защиты РФ (Минтруд России) о регистрации в реестре организаций, проводящих специальную оценку условий труда;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сертификата эксперта на право оказание услуг по специальной оценки условий труда;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устав организации;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свидетельства о поверки или справка, о материально-технических ресурсах с указанием срока действия поверки средств измерений испытательной лаборатории организации, использовавшихся при проведении специальной оценки условий труда.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справки о кадровых ресурсах;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диплома эксперта, имеющего высшее образование по одной из специальностей – врач по общей гигиене, гигиена труда, санитарно-гигиенические лабораторные исследования.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1.2. Предоставить список персонального состава экспертов, проводящих измерения и оценку.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1.3. Обеспечить экспертов, производящих инструментальные измерения и оценку исправным инструментом и оборудованием,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пунктами 1 - 11 и 15 - 23 части 3 статьи 13 Федерального закона от 28.12.2013 № 426-ФЗ.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  <w:shd w:fill="auto" w:val="clear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1.4. Обеспечить экспертов, производящих инструментальные измерения специальной и санитарной одеждой и обувью, и другими средствами индивидуальной защиты.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  <w:shd w:fill="auto" w:val="clear"/>
              </w:rPr>
              <w:t>1.5. Оказание услуги Исполнителем должно производиться по графику согласованным с Заказчиком.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1.6. Осуществить идентификацию потенциально вредных и (или) опасных производственных факторов на рабочих местах в соответствии со ст.10 Федерального закона от 28.12.2013 № 426-ФЗ. Результаты идентификации потенциально вредных и (или) опасных производственных факторов утверждаются комиссией, формируемой в порядке, установленном ст.9 Федерального закона от 28.12.2013 № 426-ФЗ.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При осуществлении на рабочих местах идентификации потенциально вредных и (или) опасных производственных факторов должны учитываться: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1) производственное оборудование, материалы и сырье, используемые работниками и являющиеся источниками вредных и (или) опасных производственных факторов, которые идентифицируются и при наличии которых в случаях, установленных </w:t>
            </w:r>
            <w:hyperlink r:id="rId14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законодательством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Российской Федерации, проводятся обязательные предварительные (при поступлении на работу) и периодические (в течение трудовой деятельности) медицинские осмотры работников;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2) результаты ранее проводившихся на данных рабочих местах исследований (испытаний) и измерений вредных и (или) опасных производственных факторов;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3) предложения работников по осуществлению на их рабочих местах идентификации потенциально вредных и (или) опасных производственных факторов.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1.7. Сформировать перечень факторов производственной среды и трудового процесса, подлежащих оценке.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1.8. Провести собственными силами лаборатории Исполнителя инструментальные измерения и оценку уровней факторов производственной среды и трудового процесса в ходе осуществления штатных производственных (технологических) процессов и (или) штатной деятельности организации с оформлением протоколов измерений на каждое рабочее место. Форма протоколов соответствует нормативными документами, определяющими порядок проведения измерений уровней показателей того или иного фактора. Оформление протоколов производится компьютерной программой Исполнителя.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1.9. Определить виды компенсаций на рабочих местах по результатам СОУТ.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1.10. Составить карты специальной оценки условий труда, протоколы проведения исследований (испытаний) и измерений идентифицированных вредных и (или) опасных производственных факторов, протоколы оценки эффективности средств индивидуальной защиты. Форма протоколов соответствует нормативными документами, определяющими порядок проведения измерений уровней показателей того или иного фактора. Оформление протоколов производится компьютерной программой Исполнителя.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1.11. Составить перечень рабочих мест, на которых проводилась специальная оценка условий труда, с указанием вредных и (или) опасных производственных факторов, которые идентифицированы на данных рабочих местах. Составить сводную ведомость специальной оценки условий труда.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1.12. Исполнитель устанавливает по результатам специальной оценки виды гарантий и компенсаций за вредные и (или) опасные условия труда: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повышенная оплата труда работника (работников);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ежегодный дополнительный оплачиваемый отпуск;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сокращенная продолжительность рабочего времени;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молоко или другие равноценные пищевые продукты;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лечебно-профилактическое питание;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право на досрочное назначение страховой пенсии;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проведение медицинских осмотров.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1.13. Исполнитель должен: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в строке 010 карты специальной оценки условий труда делает ссылку на выпуск Единого тарифно-квалификационного справочника работ и профессий рабочих (ЕТКС), раздел Единого квалификационного справочника должностей руководителей, специалистов и служащих (ЕКС), в котором содержится тарифно-квалификационная характеристика (квалификационная характеристика) профессии (должности) работника, занятого на данном рабочем месте, указывается нормативный правовой акт, которым он утвержден, дата и номер утверждения и определяет код профессии (должности).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составить сводную ведомость специальной оценки условий труда.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разработать проект плана мероприятий по улучшению и оздоровлению условий труда в организации.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1.14. По окончанию работ на бумажном и электронном носителе представить Отчет о проведении специальной оценки условий труда, в который включаются следующие результаты проведения специальной оценки условий труда: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сведения об организации, проводящей специальную оценку условий труда, с приложением копий документов, подтверждающих ее соответствие установленным статьей 19 Федерального закона от 28.12.2013 № 426-ФЗ требованиям;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перечень рабочих мест, на которых проводилась специальная оценка условий труда, с указанием вредных и (или) опасных производственных факторов, которые идентифицированы на данных рабочих местах;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карты специальной оценки условий труда, содержащие сведения об установленном экспертом организации, проводящей специальную оценку условий труда, классе (подклассе) условий труда на конкретных рабочих местах;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протоколы проведения исследований (испытаний) и измерений идентифицированных вредных и (или) опасных производственных факторов;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протокол комиссии, содержащий решение о невозможности проведения исследований (испытаний) и измерений по основанию, указанному в части 9 статьи 12 Федерального закона от 28.12.2013г № 426-ФЗ (при наличии такого решения).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сводная ведомость специальной оценки условий труда;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перечень мероприятий по улучшению условий и охраны труда работников, на рабочих местах которых проводилась специальная оценка условий труда;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заключения эксперта организации, проводящей специальную оценку условий труда;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в случае возникновения спорных ситуаций Исполнитель предоставляет в письменном виде обоснование результатов проведения специальной оценки условий труда.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•</w:t>
            </w:r>
            <w:r>
              <w:rPr>
                <w:rFonts w:eastAsia="Times New Roman;serif" w:cs="Times New Roman;serif" w:ascii="Times New Roman;serif" w:hAnsi="Times New Roman;serif"/>
                <w:sz w:val="20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декларация соответствия условий труда государственным нормативным требованиям охраны труда на рабочие места, на которых вредные и (или) опасные производственные факторы не выявлены, а также условия труда,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части 6 статьи 10 Федеральный закона РФ от 28.12.2013 №426-ФЗ.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1.15. Исполнитель в течение 10 (десяти) рабочих дней с даты утверждения отчета о проведении СОУТ передает в Федеральную государственную информационную систему учета результатов проведения специальной оценки условий труда в форме электронного документа, подписанного квалифицированной электронной подписью, сведения, предусмотренные частью 2 статьи 18 Федерального закона от 28.12.2013 № 426-ФЗ. Заказчик обязан уведомить Исполнителя в течение трех рабочих дней со дня утверждения отчета о проведении специальной оценки условий труда. Заказчик должен получить от Исполнителя подтверждение передачи сведений посредствам связи по электронной почте между ответственными лицами Заказчика и Исполнителя, предусмотренные частью 2 статьи 18 Федерального закона от 28.12.2013 № 426-ФЗ в Федеральную государственную информационную систему учета результатов проведения специальной оценки условий труда.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1.16. При обнаружении Заказчиком каких-либо недостатков (технические ошибки и пр.) в документах на бумажном носителе по результатам проведения специальной оценки условий труда, все исправления вносятся Исполнителем и предоставляются Заказчику на бумажном носителе за счет средств Исполнителя.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1.17. Обмен документами в рамках исполнения контракта производится по электронной почте, факсимильной связи, почте России, контактному телефону, предоставленному Исполнителем.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1.18. Исполнитель должен передать результаты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соответствии с требованиями статьи 18 Закона № 426-ФЗ.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283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Классификация поставляемых товаров, выполняемых работ, оказываемых услуг по коду ОКПД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283"/>
              <w:ind w:right="0"/>
              <w:jc w:val="both"/>
              <w:rPr/>
            </w:pPr>
            <w:r>
              <w:rPr>
                <w:rFonts w:cs="Times New Roman;serif" w:ascii="Times New Roman;serif" w:hAnsi="Times New Roman;serif"/>
                <w:sz w:val="20"/>
              </w:rPr>
              <w:t>71.20.19.130 — У</w:t>
            </w:r>
            <w:r>
              <w:rPr>
                <w:rFonts w:cs="Times New Roman;serif" w:ascii="Times New Roman;serif" w:hAnsi="Times New Roman;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слуги по оценке условий труда</w:t>
            </w:r>
          </w:p>
        </w:tc>
      </w:tr>
      <w:tr>
        <w:trPr>
          <w:trHeight w:val="3720" w:hRule="atLeast"/>
        </w:trPr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Требование к безопасности товара, работ, услуг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 Исполнитель обязан: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1.1. Нести ответственность за нарушение нормативных требований охраны труда, правил безопасности, пожарной безопасности, экологии и охраны окружающей среды при оказании услуг на территории Заказчика, в том числе за экспертов, направляемых соисполнителем, в случае привлечения Исполнителем таковых в соответсвии с частью 2 статьи 19 Федерального закона от 28.12.2013 №426-ФЗ.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1.2. Оказывать Услуги с соблюдением требований, установленных Федеральным законом от 28.12.2013 № 426-ФЗ, а также Приказом Министерства труда и социальной защиты РФ от 21.11.2023 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 в соответствии с областью аккредитации испытательной лаборатории (центра) Исполнителя.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1.3. Обеспечивать соблюдение работниками, оказывающими Услуги, требований внутриобъектового режима, режима работы и внутреннего трудового распорядка, нормативные требования охраны труда, правил безопасности, пожарной безопасности, санитарно-гигиенического режима, экологии при выполнении работ на территории Заказчика при обязательном наличии у них документов, удостоверяющих личность;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1.4. Соблюдать требования об обеспечении конфиденциальности информации в соответствии с требованиями законодательства Российской Федерации.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1.6. Обеспечить сохранность документов, получаемых от Заказчика в ходе оказания Услуг.</w:t>
            </w:r>
          </w:p>
          <w:p>
            <w:pPr>
              <w:pStyle w:val="user6"/>
              <w:widowControl/>
              <w:spacing w:lineRule="auto" w:line="240"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2. Исполнитель несет имущественную ответственность по обязательствам, возникающим вследствие причинения ущерба Заказчику и (или) работникам Заказчика, в отношении рабочих мест, на которых проводилась СОУТ.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283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Требование к качеству товара, работ, услуг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1. Качество оказываемых услуг соответствует нормативным требованиям охраны труда, действующей на территории РФ: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Трудовой кодекс Российской Федерации от 30.12.2001 №197-ФЗ;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Федеральный закон РФ от 28.12.2013 №426-ФЗ «О специальной оценки условий труда»;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Приказ Министерства труда и социальной защиты РФ от 21.11.2023 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Постановление Правительства Российской Федерации от 16.12.2021 № 2334 «Об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труда».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Федеральный закон от 28.12.2013 № 421-ФЗ «О внесений изменений в отдельные законодательные акты РФ в связи с принятием Федерального закона «О специальной оценке условий труда»;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Федеральный закон от 26.06.2008 N 102-ФЗ «Об обеспечении единства измерений»;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hyperlink r:id="rId15">
              <w:r>
                <w:rPr>
                  <w:rStyle w:val="Hyperlink"/>
                  <w:rFonts w:cs="Times New Roman;serif" w:ascii="Times New Roman;serif" w:hAnsi="Times New Roman;serif"/>
                  <w:color w:val="000000"/>
                  <w:sz w:val="20"/>
                  <w:u w:val="single"/>
                </w:rPr>
                <w:t>Постановление</w:t>
              </w:r>
            </w:hyperlink>
            <w:r>
              <w:rPr>
                <w:rFonts w:cs="Times New Roman;serif" w:ascii="Times New Roman;serif" w:hAnsi="Times New Roman;serif"/>
                <w:color w:val="000000"/>
                <w:sz w:val="20"/>
                <w:u w:val="single"/>
              </w:rPr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Правительства Российской Федерации от 31 октября 2002 г. № 787 «О порядке утверждения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служащих» (Собрание законодательства Российской Федерации, 2002,№ 44, ст. 4399; 2003, №52 (ч. II), ст. 5066);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r>
              <w:rPr>
                <w:rFonts w:cs="Times New Roman;serif" w:ascii="Times New Roman;serif" w:hAnsi="Times New Roman;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Приказ Минтруда России от 10.04.2025 N 197н "Об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труда".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Приказ Министерства труда и социальной защиты РФ от 24.12.2018 № 834н «Об утверждении типовых контрактов на оказание услуг по проведению специальной оценки условий труда и обучению работодателей и работников вопросам охраны труда, а также их информационных карт»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2. В соответствии со ст. 19 Федерального закона от 28.12.2013 №426-ФЗ «О специальной оценке условий труда» Исполнитель должен соответствовать следующим требованиям: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2.1.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2.2. Наличие не менее пяти экспертов, работающих по трудовому договору и имеющих сертификат эксперта на право выполнения работ по специальной оценки условий труда, в том числе не менее одного эксперта, имеющего высшее образование по одной из специальностей – врач по общей гигиене, гигиена труда, санитарно-гигиенические лабораторные исследования;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2.3. Наличие Уведомления Министерства труда и социальной защиты РФ (Минтруд России) о регистрации в реестре организаций, проводящих специальную оценку условий труда.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3. Наличие у Исполнителя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</w:t>
            </w:r>
            <w:hyperlink r:id="rId16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законодательством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      </w:r>
            <w:hyperlink r:id="rId17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пунктами 1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hyperlink r:id="rId18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11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и </w:t>
            </w:r>
            <w:hyperlink r:id="rId19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15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- </w:t>
            </w:r>
            <w:hyperlink r:id="rId20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23 части 3 статьи 13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настоящего Федерального закона.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4. Наличие сертификата у эксперта Исполнителя, проводящего специальную оценку условий труда в соответствии со ст.20 Федерального закона от 28.12.2013 №426-ФЗ и регистрации в реестре экспертов организации, проводящих специальную оценку условий труда, который формирует и ведет Министерство труда и социальной защиты РФ на официальном сайте ведомства.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5. Исполнитель обязан направить Заказчику уведомление в письменной форме о случаях приостановления действия аттестата аккредитации, окончания действия аттестата аккредитации, сокращения области аккредитации, внесения в реестр организаций, проводящих СОУТ, записи о приостановлении деятельности, а также о начале процедуры подтверждения компетентности испытательной лаборатории (центра) в течение 2 рабочих дней с даты наступления указанных обстоятельств.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6. Требования к методам исследований (испытаний) и методикам измерений при проведении СОУТ: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6.1. При проведении исследований (испытаний) и измерений вредных и (или) опасных факторов Исполнителем применяются утвержденные и аттестованные в порядке, установленном Федеральным законом от 26.06.2008 № 102-ФЗ «Об обеспечении единства измерений», методы исследований (испытаний) и методики (методы) измерений и соответствующие им средства измерений, прошедшие проверку и внесенные в Федеральный информационный фонд по обеспечению единства измерений.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6.2. Испытательная лаборатория (центр) должна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пунктами 1 - 11 и 15 - 23 части 3 статьи 13 Федерального закона от 28.12.2013 № 426-ФЗ.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 Заказчик обязуется до начала проведения СОУТ предоставить Исполнителю: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7.1. Приказ о проведении СОУТ;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7.2. Сведения об организации-Заказчике;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7.3. Перечень рабочих мест, подлежащих СОУТ с указанием: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индивидуального номера рабочего места,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наименование рабочего места (профессии, должности) структурного подразделения в соответствии со штатным расписанием;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сменность работы и продолжительность смены;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работник(и), занятые на рабочем(их) месте(ах) (чел.) / из них женщин/ из них лиц в возрасте до 18 лет/ из них инвалидов;</w:t>
            </w:r>
          </w:p>
          <w:p>
            <w:pPr>
              <w:pStyle w:val="user6"/>
              <w:widowControl w:val="false"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СНИЛС работника(ов);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место проведения измерений факторов производственной среды и трудового процесса (рабочая зона);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время нахождения в рабочей зоне (в процентах к продолжительности смены);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класс условий труда по СОУТ (при наличии);</w:t>
            </w:r>
          </w:p>
          <w:p>
            <w:pPr>
              <w:pStyle w:val="user6"/>
              <w:widowControl w:val="false"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наличие СИЗ у работников (есть, нет);</w:t>
            </w:r>
          </w:p>
          <w:p>
            <w:pPr>
              <w:pStyle w:val="user6"/>
              <w:widowControl w:val="false"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повышенная оплата труда работника (работников) (да/нет);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ежегодный дополнительный оплачиваемый отпуск (да/нет);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сокращенная продолжительность рабочего времени (да/нет);</w:t>
            </w:r>
          </w:p>
          <w:p>
            <w:pPr>
              <w:pStyle w:val="user6"/>
              <w:widowControl w:val="false"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молоко или другие равноценные пищевые продукты (да/нет);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лечебно-профилактическое питание (да/нет);</w:t>
            </w:r>
          </w:p>
          <w:p>
            <w:pPr>
              <w:pStyle w:val="user6"/>
              <w:widowControl w:val="false"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право на досрочное назначение трудовой пенсии (да/нет)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проведение медицинских осмотров (да/нет).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7.4. Выписка из штатного расписания организации (содержащее информацию, имеющую отношение к проведению СОУТ);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7.5. Список должностей и профессий работников, которые подлежат обязательным предварительным и периодическим медицинским осмотрам согласно Приказу Министерства здравоохранения Российской Федерации от 28.01.2021 года № 29н  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7.6. Перечень оборудования, инструментов и приспособлений, применяемых на рабочих местах, подлежащих СОУТ, а также используемых материалов и сырья;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7.7. Разъяснения по вопросам проведения СОУТ 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8. В целях проведения специальной оценки условий труда исследованию (испытанию) и измерению подлежат следующие вредные и (или) опасные факторы производственной среды, при идентификации данных факторов: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химический фактор;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биологический фактор;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физический фактор;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тяжесть трудового процесса;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напряженность трудового процесса.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9. Эксперт, организации проводящий специальную оценку условий труда осуществляет идентификацию потенциально вредных и (или) опасных производственных факторов на рабочих местах в соответствии со ст.10 Федерального закона от 28.12.2013 № 426-ФЗ.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В случае, если вредные и (или) опасные производственные факторы на рабочем месте не идентифицированы, условия труда на данном рабочем месте признаются комиссией допустимыми, а исследования (испытания) и измерения вредных и (или) опасных производственных факторов не проводятся.</w:t>
            </w:r>
          </w:p>
          <w:p>
            <w:pPr>
              <w:pStyle w:val="user6"/>
              <w:widowControl/>
              <w:suppressLineNumbers/>
              <w:suppressAutoHyphens w:val="true"/>
              <w:overflowPunct w:val="false"/>
              <w:bidi w:val="0"/>
              <w:spacing w:before="0" w:after="0"/>
              <w:ind w:firstLine="510" w:left="170" w:right="113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В случае, если вредные и (или) опасные производственные факторы на рабочем месте идентифицированы, комиссия принимает решение о проведении исследований (испытаний) и измерений данных вредных и (или) опасных производственных факторов в порядке, установленном </w:t>
            </w:r>
            <w:hyperlink r:id="rId21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статьей 12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Федерального закона от 28.12.2013 № 426-ФЗ.</w:t>
            </w:r>
          </w:p>
          <w:p>
            <w:pPr>
              <w:pStyle w:val="user6"/>
              <w:widowControl/>
              <w:suppressLineNumbers/>
              <w:suppressAutoHyphens w:val="true"/>
              <w:overflowPunct w:val="false"/>
              <w:bidi w:val="0"/>
              <w:spacing w:before="0" w:after="0"/>
              <w:ind w:right="113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10. Заказчик в процессе проведения СОУТ обязан предоставить Исполнителю необходимые сведения, документы и информацию, которые характеризуют условия труда на рабочих местах, технологический процесс, используемые на рабочем месте производственное оборудование, материалы и сырье, а также документы, регламентирующие обязанности работника, занятого на данном рабочем месте.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11. Исполнитель проводит собственными силами лаборатории инструментальные измерения и оценку уровней факторов производственной среды и трудового процесса в ходе осуществления штатных производственных (технологических) процессов и (или) штатной деятельности организации с оформлением протоколов измерений на каждое рабочее место. Форма протоколов соответствует нормативными документами, определяющими порядок проведения измерений уровней показателей того или иного фактора. Оформление протоколов производится компьютерной программой Исполнителя.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12. В случае при идентификации потенциально вредных и (или) опасных производственных факторов на рабочих местах не входящих в область аккредитации испытательной лаборатории Исполнителя для проведения инструментальных измерений и оценки уровней факторов производственной среды и трудового процесса. Исполнитель может привлечь соисполнителей для проведения исследований (испытаний) и измерений данных факторов испытательной лаборатории (центры), аккредитованные национальным органом по аккредитации в соответствии с </w:t>
            </w:r>
            <w:hyperlink r:id="rId22">
              <w:r>
                <w:rPr>
                  <w:rStyle w:val="Hyperlink"/>
                  <w:rFonts w:cs="Times New Roman;serif" w:ascii="Times New Roman;serif" w:hAnsi="Times New Roman;serif"/>
                  <w:color w:val="000080"/>
                  <w:sz w:val="20"/>
                  <w:u w:val="single"/>
                </w:rPr>
                <w:t>законодательством</w:t>
              </w:r>
            </w:hyperlink>
            <w:r>
              <w:rPr/>
              <w:t xml:space="preserve"> </w:t>
            </w:r>
            <w:r>
              <w:rPr>
                <w:rFonts w:cs="Times New Roman;serif" w:ascii="Times New Roman;serif" w:hAnsi="Times New Roman;serif"/>
                <w:sz w:val="20"/>
              </w:rPr>
              <w:t>Российской Федерации об аккредитации в национальной системе аккредитации, затраты на привлечение соисполнителя за счет Исполнителя. Привлечение соисполнителей допускается в соответствии с частью 2 статьи 19 Федерального закона от 28.12.2013 №426-ФЗ.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13. Исполнитель обязан предоставить разъяснения Заказчику в отношении оказанных Услуг в случае обнаружения уполномоченными на проведение экспертизы качества СОУТ органами несоответствия объема и стоимости Услуг, оказанных Исполнителем, сведениям, содержащимся в Календарном плане, а также акте сдачи-приемки оказанных Услуг.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14. Заказчик обеспечивает: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возможность вноса на свою территорию и вынос с территории оборудования Исполнителя, необходимого для проведения измерений (исследований) вредных и (или) опасных факторов производственной среды и трудового процесса;</w:t>
            </w:r>
          </w:p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- доступ к рабочим местам представителям Исполнителя.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Требования к иным показателям товара, работы, услуги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55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Заказчик не предоставляет средства индивидуальной защиты, санитарную и (или) специальную одежду и обувь, складские помещения, транспорт, раздевалки, душевые, питание, проживание для специалистов исполнителя.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Требование о предоставлении гарантии поставщика на товар и срок действия такой гарантии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169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Гарантийный срок оказания услуг – 5 лет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55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Требование к остаточному сроку годности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В заявляемый срок гарантии Исполнитель без каких-либо затрат со стороны Заказчика обязуется устранить недостатки оказанной услуги по проведению специальной оценки условий труда, допущенные по вине Исполнителя и выявленные при проверке уполномоченным контролирующим органом в течение 10 дней с момента их обнаружения (либо в иной, согласованный Заказчиком срок).</w:t>
            </w:r>
          </w:p>
        </w:tc>
      </w:tr>
      <w:tr>
        <w:trPr>
          <w:trHeight w:val="484" w:hRule="atLeast"/>
        </w:trPr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55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Условия поставки товара, выполнения работ, оказания услуг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/>
            </w:pPr>
            <w:r>
              <w:rPr>
                <w:rFonts w:cs="Times New Roman;serif" w:ascii="Times New Roman;serif" w:hAnsi="Times New Roman;serif"/>
                <w:sz w:val="20"/>
                <w:szCs w:val="20"/>
              </w:rPr>
              <w:t>Оказание услуг производится по адресу: г. Кемерово, бульвар им. академика Леонида Барбараша</w:t>
            </w:r>
            <w:r>
              <w:rPr>
                <w:sz w:val="20"/>
                <w:szCs w:val="20"/>
              </w:rPr>
              <w:t>, 6</w:t>
            </w:r>
          </w:p>
        </w:tc>
      </w:tr>
      <w:tr>
        <w:trPr/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283"/>
              <w:ind w:right="0"/>
              <w:jc w:val="both"/>
              <w:rPr>
                <w:rFonts w:ascii="Times New Roman;serif" w:hAnsi="Times New Roman;serif" w:cs="Times New Roman;serif"/>
                <w:sz w:val="20"/>
              </w:rPr>
            </w:pPr>
            <w:r>
              <w:rPr>
                <w:rFonts w:cs="Times New Roman;serif" w:ascii="Times New Roman;serif" w:hAnsi="Times New Roman;serif"/>
                <w:sz w:val="20"/>
              </w:rPr>
              <w:t>Этапы, график поставки товара, выполнения работ, оказания услуг</w:t>
            </w:r>
          </w:p>
        </w:tc>
        <w:tc>
          <w:tcPr>
            <w:tcW w:w="12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6"/>
              <w:widowControl/>
              <w:spacing w:before="0" w:after="0"/>
              <w:ind w:right="0"/>
              <w:jc w:val="both"/>
              <w:rPr/>
            </w:pPr>
            <w:r>
              <w:rPr>
                <w:rFonts w:cs="Times New Roman;serif" w:ascii="Times New Roman;serif" w:hAnsi="Times New Roman;serif"/>
                <w:sz w:val="20"/>
              </w:rPr>
              <w:t xml:space="preserve">Общий срок оказания услуг –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с момента заключения контракта </w:t>
            </w:r>
            <w:r>
              <w:rPr>
                <w:rFonts w:cs="Times New Roman;serif" w:ascii="Times New Roman;serif" w:hAnsi="Times New Roman;serif"/>
                <w:sz w:val="20"/>
              </w:rPr>
              <w:t>до 3</w:t>
            </w:r>
            <w:r>
              <w:rPr>
                <w:rFonts w:cs="Times New Roman;serif" w:ascii="Times New Roman;serif" w:hAnsi="Times New Roman;serif"/>
                <w:sz w:val="20"/>
              </w:rPr>
              <w:t>0</w:t>
            </w:r>
            <w:r>
              <w:rPr>
                <w:rFonts w:cs="Times New Roman;serif" w:ascii="Times New Roman;serif" w:hAnsi="Times New Roman;serif"/>
                <w:sz w:val="20"/>
              </w:rPr>
              <w:t>.</w:t>
            </w:r>
            <w:r>
              <w:rPr>
                <w:rFonts w:cs="Times New Roman;serif" w:ascii="Times New Roman;serif" w:hAnsi="Times New Roman;serif"/>
                <w:sz w:val="20"/>
              </w:rPr>
              <w:t>12</w:t>
            </w:r>
            <w:r>
              <w:rPr>
                <w:rFonts w:cs="Times New Roman;serif" w:ascii="Times New Roman;serif" w:hAnsi="Times New Roman;serif"/>
                <w:sz w:val="20"/>
              </w:rPr>
              <w:t>.202</w:t>
            </w:r>
            <w:r>
              <w:rPr>
                <w:rFonts w:cs="Times New Roman;serif" w:ascii="Times New Roman;serif" w:hAnsi="Times New Roman;serif"/>
                <w:sz w:val="20"/>
              </w:rPr>
              <w:t>6г. включительно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. </w:t>
            </w:r>
            <w:r>
              <w:rPr>
                <w:rFonts w:cs="Times New Roman;serif" w:ascii="Times New Roman;serif" w:hAnsi="Times New Roman;serif"/>
                <w:color w:val="000000"/>
                <w:sz w:val="20"/>
              </w:rPr>
              <w:t xml:space="preserve">Исполнитель обязуется произвести идентификацию вредных производственных факторов и необходимые измерения, оценку рабочих мест. После завершения процедуры измерения и оценки Исполнитель обязуется предоставить результаты специальной оценки условий труда в течение 30 календарных дней в электронном виде </w:t>
            </w:r>
            <w:r>
              <w:rPr>
                <w:rFonts w:cs="Times New Roman;serif" w:ascii="Times New Roman;serif" w:hAnsi="Times New Roman;serif"/>
                <w:color w:val="000000"/>
                <w:sz w:val="20"/>
              </w:rPr>
              <w:t>до 01.02.2027г</w:t>
            </w:r>
            <w:r>
              <w:rPr>
                <w:rFonts w:cs="Times New Roman;serif" w:ascii="Times New Roman;serif" w:hAnsi="Times New Roman;serif"/>
                <w:color w:val="000000"/>
                <w:sz w:val="20"/>
              </w:rPr>
              <w:t xml:space="preserve">. Заказчик в течение 30 календарных дней с момента получения результатов СОУТ обязан рассмотреть документы. 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При обнаружении Заказчиком каких-либо недостатков (технические ошибки и пр.) в документах по результатам проведения специальной оценки условий труда все исправления вносятся </w:t>
            </w:r>
            <w:r>
              <w:rPr>
                <w:rFonts w:cs="Times New Roman;serif" w:ascii="Times New Roman;serif" w:hAnsi="Times New Roman;serif"/>
                <w:sz w:val="20"/>
                <w:shd w:fill="auto" w:val="clear"/>
              </w:rPr>
              <w:t>Исполнителем в течение 5 рабочих дней после получения указанных замечаний. В этот</w:t>
            </w:r>
            <w:r>
              <w:rPr>
                <w:rFonts w:cs="Times New Roman;serif" w:ascii="Times New Roman;serif" w:hAnsi="Times New Roman;serif"/>
                <w:sz w:val="20"/>
              </w:rPr>
              <w:t xml:space="preserve"> же срок входит направление Заказчику в электронном виде для просмотра устраненные недостатки в документах по результатам СОУТ. Исполнитель после устранения всех недостатков за свой счет направляет документы по результатам СОУТ указанных в п.1.15 технического задания на бумажном носителе Заказчику в течение 14 календарных дней.</w:t>
            </w:r>
          </w:p>
        </w:tc>
      </w:tr>
      <w:tr>
        <w:trPr>
          <w:trHeight w:val="23" w:hRule="atLeast"/>
        </w:trPr>
        <w:tc>
          <w:tcPr>
            <w:tcW w:w="10458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материально-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технического снабжения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 А.Е. Кузнецова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496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>
          <w:kern w:val="2"/>
          <w:sz w:val="24"/>
          <w:szCs w:val="24"/>
          <w:lang w:bidi="hi-IN"/>
        </w:rPr>
        <w:t>Приложение №</w:t>
      </w:r>
      <w:r>
        <w:rPr>
          <w:color w:val="000000"/>
          <w:kern w:val="2"/>
          <w:sz w:val="24"/>
          <w:szCs w:val="24"/>
          <w:lang w:bidi="hi-IN"/>
        </w:rPr>
        <w:t>3</w:t>
      </w:r>
    </w:p>
    <w:p>
      <w:pPr>
        <w:pStyle w:val="Normal"/>
        <w:spacing w:before="0" w:after="0"/>
        <w:contextualSpacing/>
        <w:jc w:val="right"/>
        <w:rPr>
          <w:rFonts w:eastAsia="Calibri" w:cs="Times New Roman"/>
          <w:b w:val="false"/>
          <w:bCs w:val="false"/>
          <w:sz w:val="24"/>
          <w:szCs w:val="24"/>
          <w:lang w:eastAsia="en-US"/>
        </w:rPr>
      </w:pPr>
      <w:r>
        <w:rPr>
          <w:sz w:val="24"/>
          <w:szCs w:val="24"/>
        </w:rPr>
        <w:t xml:space="preserve">к Контракту </w:t>
      </w:r>
      <w:r>
        <w:rPr>
          <w:b w:val="false"/>
          <w:bCs w:val="false"/>
          <w:sz w:val="24"/>
          <w:szCs w:val="24"/>
        </w:rPr>
        <w:t>№</w:t>
      </w:r>
      <w:r>
        <w:rPr>
          <w:rFonts w:eastAsia="Calibri" w:cs="Times New Roman"/>
          <w:b w:val="false"/>
          <w:bCs w:val="false"/>
          <w:sz w:val="24"/>
          <w:szCs w:val="24"/>
          <w:lang w:eastAsia="en-US"/>
        </w:rPr>
        <w:t>________________</w:t>
      </w:r>
    </w:p>
    <w:p>
      <w:pPr>
        <w:pStyle w:val="Normal"/>
        <w:spacing w:before="0" w:after="0"/>
        <w:contextualSpacing/>
        <w:jc w:val="right"/>
        <w:rPr>
          <w:rFonts w:cs="Times New Roman"/>
          <w:b/>
          <w:bCs/>
          <w:sz w:val="28"/>
          <w:szCs w:val="28"/>
        </w:rPr>
      </w:pPr>
      <w:r>
        <w:rPr>
          <w:rFonts w:eastAsia="Calibri" w:cs="Times New Roman"/>
          <w:b w:val="false"/>
          <w:bCs w:val="false"/>
          <w:sz w:val="24"/>
          <w:szCs w:val="24"/>
          <w:lang w:eastAsia="en-US"/>
        </w:rPr>
        <w:t>«   » октября 2026г.</w:t>
      </w:r>
      <w:bookmarkStart w:id="11" w:name="_Hlk1804964271_Копия_1"/>
      <w:bookmarkEnd w:id="11"/>
    </w:p>
    <w:p>
      <w:pPr>
        <w:pStyle w:val="Heading1"/>
        <w:numPr>
          <w:ilvl w:val="0"/>
          <w:numId w:val="1"/>
        </w:numPr>
        <w:spacing w:lineRule="exact" w:line="283" w:before="109" w:after="109"/>
        <w:ind w:hanging="0" w:left="0" w:right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Перечень рабочих мест для</w:t>
      </w:r>
    </w:p>
    <w:p>
      <w:pPr>
        <w:pStyle w:val="Heading1"/>
        <w:numPr>
          <w:ilvl w:val="0"/>
          <w:numId w:val="0"/>
        </w:numPr>
        <w:spacing w:lineRule="exact" w:line="283" w:before="109" w:after="109"/>
        <w:ind w:hanging="0" w:left="0" w:right="0"/>
        <w:jc w:val="center"/>
        <w:rPr>
          <w:rFonts w:cs="Times New Roman"/>
          <w:b/>
          <w:bCs/>
          <w:sz w:val="20"/>
          <w:szCs w:val="20"/>
          <w:lang w:eastAsia="ru-RU"/>
        </w:rPr>
      </w:pPr>
      <w:r>
        <w:rPr>
          <w:rFonts w:cs="Times New Roman"/>
          <w:b/>
          <w:bCs/>
          <w:sz w:val="28"/>
          <w:szCs w:val="28"/>
        </w:rPr>
        <w:t xml:space="preserve">проведения плановой специальной оценки условий труда на 2026 год </w:t>
      </w:r>
    </w:p>
    <w:tbl>
      <w:tblPr>
        <w:tblW w:w="15300" w:type="dxa"/>
        <w:jc w:val="left"/>
        <w:tblInd w:w="2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2713"/>
        <w:gridCol w:w="1470"/>
        <w:gridCol w:w="1649"/>
        <w:gridCol w:w="744"/>
        <w:gridCol w:w="1303"/>
        <w:gridCol w:w="2937"/>
      </w:tblGrid>
      <w:tr>
        <w:trPr>
          <w:trHeight w:val="97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Наименование  должность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рабочего места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Дата подписания отчета о проведении специальной оценки условий труда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Количество рабочих мест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ru-RU"/>
              </w:rPr>
              <w:t>Дата следующей специальной оценки условий труда</w:t>
            </w:r>
          </w:p>
        </w:tc>
      </w:tr>
      <w:tr>
        <w:trPr>
          <w:trHeight w:val="253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Аппарат управления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Заместитель директора по информационной безопасности и общим вопросам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74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Аппарат управления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Специалист по ГО и ЧС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73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Аптека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Заведующий структурным подразделением аптечной организации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tabs>
                <w:tab w:val="clear" w:pos="531"/>
                <w:tab w:val="left" w:pos="317" w:leader="none"/>
              </w:tabs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2026</w:t>
            </w:r>
          </w:p>
        </w:tc>
      </w:tr>
      <w:tr>
        <w:trPr>
          <w:trHeight w:val="255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Аптека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Провизор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2026</w:t>
            </w:r>
          </w:p>
        </w:tc>
      </w:tr>
      <w:tr>
        <w:trPr>
          <w:trHeight w:val="242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Заведующий отделением - врач - детский 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val="en-US" w:eastAsia="ru-RU"/>
              </w:rPr>
              <w:t>587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Врач - детский 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0" w:after="29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Врач - детский 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Врач-педиатр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Медицинский психолог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Старшая медицинская сестра (медицинский брат)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Медицинская сестра палатная (постовая) (медицинский брат палатный (постовой)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Медицинская сестра палатная (постовая) (медицинский брат палатный (постовой)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Медицинская сестра процедурной (медицинский брат процедурной)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9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Буфетчица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Уборщик производственных помещений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Уборщик производственных помещений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0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overflowPunct w:val="true"/>
              <w:spacing w:before="0" w:after="0"/>
              <w:jc w:val="both"/>
              <w:textAlignment w:val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Младшая медицинская сестра по уходу за больными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Детское 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Кастелянша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both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Заведующий отделением, врач-кардиолог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9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Врач-кардиолог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Врач-кардиолог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/>
            </w:pPr>
            <w:r>
              <w:rPr/>
              <w:t>С</w:t>
            </w:r>
            <w:r>
              <w:rPr>
                <w:rFonts w:cs="Times New Roman"/>
                <w:color w:val="000000"/>
              </w:rPr>
              <w:t>таршая медицинская сестра (медицинский брат)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Медицинская сестра палатная (постовая) (медицинский брат палатный (постовой)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Медицинская сестра палатная (постовая) (медицинский брат палатный (постовой)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Медицинская сестра процедурной (медицинский брат процедурной)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Буфетчица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Санитар (санитарка)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Кастелянша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Кардиологическое отделение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младшая медицинская сестра по уходу за больными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Отделение кардиохирургии №2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медицинская сестра процедурная (медицинский брат процедурной)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  <w:r>
              <w:rPr>
                <w:rFonts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29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Лаборатория новых биоматериалов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9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Инженер-исследователь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  <w:r>
              <w:rPr>
                <w:rFonts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08.11.2019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Лаборатория новых биоматериалов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Ведущий 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  <w:r>
              <w:rPr>
                <w:rFonts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Лаборатория новых биоматериалов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Младший 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  <w:r>
              <w:rPr>
                <w:rFonts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Лаборатория тканевой инженерии и внутрисосудистой визуализации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Старший 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57" w:after="86"/>
              <w:jc w:val="both"/>
              <w:rPr/>
            </w:pPr>
            <w:r>
              <w:rPr>
                <w:rFonts w:cs="Times New Roman"/>
                <w:color w:val="000000"/>
                <w:sz w:val="20"/>
                <w:szCs w:val="20"/>
              </w:rPr>
              <w:t>№</w:t>
            </w:r>
            <w:r>
              <w:rPr>
                <w:rFonts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57" w:after="86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21.10.2025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Отдел управления материальными запасами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Отдел управления материальными запасами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Заведующий складом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организации инновационных и клинических исследований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Ведущий специалист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организации инновационных и клинических исследований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86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Специалист отдела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организации инновационных и клинических исследований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9"/>
              <w:jc w:val="both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Бухгалтер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организации инновационных и клинических исследований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Специалист по связям с общественностью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Отделение кардиохирургии №1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Медицинская сестра по массажу (медицинский брат по массажу)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Отделение хирургического лечения сложных нарушений ритма сердца и электрокардиостимуляции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Заведующий отделением, врач-сердечно-сосудистый хирург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spacing w:before="0" w:after="29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Отделение хирургического лечения сложных нарушений ритма сердца и электрокардиостимуляции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Врач-сердечно-сосудистый хирург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351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val="en-US" w:eastAsia="ru-RU"/>
              </w:rPr>
            </w:pPr>
            <w:r>
              <w:rPr>
                <w:rFonts w:cs="Times New Roman"/>
                <w:sz w:val="20"/>
                <w:szCs w:val="20"/>
                <w:lang w:val="en-US" w:eastAsia="ru-RU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27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Лаборатория тканевой инженерии и внутрисосудистой визуализации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206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27"/>
              <w:spacing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Лаборатория эпидемиологии сердечно-сосудистых заболеваний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27"/>
              <w:spacing w:before="0" w:after="2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Научно-образовательный отдел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Доцент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29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Отделение анестезиологии-реанимации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Инженерно-техническая служба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Техник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Хозяйственный отдел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Облицовщик-плиточник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453/1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snapToGrid w:val="false"/>
              <w:spacing w:before="0" w:after="2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2026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Лаборатория анестезиологии-реаниматологии и патофизиологии критических состояний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Заведующий лабораторией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/>
            </w:pPr>
            <w:r>
              <w:rPr>
                <w:color w:val="000000"/>
              </w:rPr>
              <w:t>№</w:t>
            </w:r>
            <w:r>
              <w:rPr>
                <w:rFonts w:cs="Times New Roman"/>
                <w:color w:val="000000"/>
              </w:rPr>
              <w:t>247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23.12.2022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cs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Лаборатория анестезиологии-реаниматологии и патофизиологии критических состояний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Ведущий 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/>
            </w:pPr>
            <w:r>
              <w:rPr>
                <w:color w:val="000000"/>
              </w:rPr>
              <w:t>№</w:t>
            </w:r>
            <w:r>
              <w:rPr>
                <w:rFonts w:cs="Times New Roman"/>
                <w:color w:val="000000"/>
              </w:rPr>
              <w:t>248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23.12.2022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cs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Лаборатория анестезиологии-реаниматологии и патофизиологии критических состояний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Младший научный сотрудник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/>
            </w:pPr>
            <w:r>
              <w:rPr/>
              <w:t>№</w:t>
            </w:r>
            <w:r>
              <w:rPr>
                <w:rFonts w:cs="Times New Roman"/>
              </w:rPr>
              <w:t>249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23.12.2022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cs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Лаборатория анестезиологии-реаниматологии и патофизиологии критических состояний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Лаборант-исследователь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ind w:right="0"/>
              <w:jc w:val="both"/>
              <w:rPr/>
            </w:pPr>
            <w:r>
              <w:rPr/>
              <w:t>№</w:t>
            </w:r>
            <w:r>
              <w:rPr>
                <w:rFonts w:cs="Times New Roman"/>
              </w:rPr>
              <w:t>41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user6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23.12.2022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cs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99" w:hRule="atLeast"/>
        </w:trPr>
        <w:tc>
          <w:tcPr>
            <w:tcW w:w="4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Отделение функциональной и ультразвуковой диагностики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lineRule="auto" w:line="240" w:before="114" w:after="114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медицинский регистратор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both"/>
              <w:rPr>
                <w:rFonts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  <w:t>23.12.2022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cs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99" w:hRule="atLeast"/>
        </w:trPr>
        <w:tc>
          <w:tcPr>
            <w:tcW w:w="110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jc w:val="right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Итого на 2026 год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jc w:val="right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10316" w:type="dxa"/>
            <w:gridSpan w:val="4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rFonts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 отдела материально-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технического снабжения</w:t>
            </w:r>
          </w:p>
          <w:p>
            <w:pPr>
              <w:pStyle w:val="Normal"/>
              <w:widowControl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 А.Е. Кузнецова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4984" w:type="dxa"/>
            <w:gridSpan w:val="3"/>
            <w:tcBorders>
              <w:top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>
            <w:pPr>
              <w:pStyle w:val="Normal"/>
              <w:tabs>
                <w:tab w:val="clear" w:pos="531"/>
                <w:tab w:val="left" w:pos="7680" w:leader="none"/>
              </w:tabs>
              <w:snapToGrid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>
      <w:pPr>
        <w:pStyle w:val="Normal"/>
        <w:jc w:val="lef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before="0" w:after="0"/>
        <w:contextualSpacing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sectPr>
      <w:headerReference w:type="even" r:id="rId23"/>
      <w:headerReference w:type="default" r:id="rId24"/>
      <w:headerReference w:type="first" r:id="rId25"/>
      <w:footerReference w:type="even" r:id="rId26"/>
      <w:footerReference w:type="default" r:id="rId27"/>
      <w:footerReference w:type="first" r:id="rId28"/>
      <w:type w:val="nextPage"/>
      <w:pgSz w:orient="landscape" w:w="16838" w:h="11906"/>
      <w:pgMar w:left="720" w:right="720" w:gutter="0" w:header="720" w:top="777" w:footer="709" w:bottom="766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charset w:val="01"/>
    <w:family w:val="swiss"/>
    <w:pitch w:val="default"/>
  </w:font>
  <w:font w:name="Tinos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altName w:val="serif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defaultTabStop w:val="531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BodyText"/>
    <w:qFormat/>
    <w:pPr>
      <w:widowControl/>
      <w:numPr>
        <w:ilvl w:val="0"/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WW8Num2z0">
    <w:name w:val="WW8Num2z0"/>
    <w:qFormat/>
    <w:rPr>
      <w:rFonts w:ascii="Courier New" w:hAnsi="Courier New" w:cs="Symbol"/>
      <w:sz w:val="20"/>
      <w:szCs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2z6">
    <w:name w:val="WW8Num2z6"/>
    <w:qFormat/>
    <w:rPr>
      <w:rFonts w:ascii="Symbol" w:hAnsi="Symbol" w:cs="Symbol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2">
    <w:name w:val="Основной шрифт абзаца"/>
    <w:qFormat/>
    <w:rPr/>
  </w:style>
  <w:style w:type="character" w:styleId="3">
    <w:name w:val="Основной шрифт абзаца3"/>
    <w:qFormat/>
    <w:rPr/>
  </w:style>
  <w:style w:type="character" w:styleId="2">
    <w:name w:val="Основной шрифт абзаца2"/>
    <w:qFormat/>
    <w:rPr/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2z4">
    <w:name w:val="WW8Num12z4"/>
    <w:qFormat/>
    <w:rPr>
      <w:rFonts w:ascii="Courier New" w:hAnsi="Courier New" w:cs="Courier New"/>
    </w:rPr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>
      <w:sz w:val="20"/>
    </w:rPr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>
      <w:sz w:val="24"/>
    </w:rPr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>
      <w:rFonts w:ascii="Symbol" w:hAnsi="Symbol" w:cs="Symbol"/>
      <w:sz w:val="20"/>
    </w:rPr>
  </w:style>
  <w:style w:type="character" w:styleId="WW8Num24z1">
    <w:name w:val="WW8Num24z1"/>
    <w:qFormat/>
    <w:rPr>
      <w:rFonts w:ascii="Courier New" w:hAnsi="Courier New" w:cs="Courier New"/>
      <w:sz w:val="20"/>
    </w:rPr>
  </w:style>
  <w:style w:type="character" w:styleId="WW8Num24z2">
    <w:name w:val="WW8Num24z2"/>
    <w:qFormat/>
    <w:rPr>
      <w:rFonts w:ascii="Wingdings" w:hAnsi="Wingdings" w:cs="Wingdings"/>
      <w:sz w:val="20"/>
    </w:rPr>
  </w:style>
  <w:style w:type="character" w:styleId="WW8Num25z0">
    <w:name w:val="WW8Num25z0"/>
    <w:qFormat/>
    <w:rPr/>
  </w:style>
  <w:style w:type="character" w:styleId="WW8Num26z0">
    <w:name w:val="WW8Num26z0"/>
    <w:qFormat/>
    <w:rPr>
      <w:rFonts w:ascii="Symbol" w:hAnsi="Symbol" w:cs="Symbol"/>
      <w:sz w:val="20"/>
    </w:rPr>
  </w:style>
  <w:style w:type="character" w:styleId="WW8Num26z1">
    <w:name w:val="WW8Num26z1"/>
    <w:qFormat/>
    <w:rPr>
      <w:rFonts w:ascii="Courier New" w:hAnsi="Courier New" w:cs="Courier New"/>
      <w:sz w:val="20"/>
    </w:rPr>
  </w:style>
  <w:style w:type="character" w:styleId="WW8Num26z2">
    <w:name w:val="WW8Num26z2"/>
    <w:qFormat/>
    <w:rPr>
      <w:rFonts w:ascii="Wingdings" w:hAnsi="Wingdings" w:cs="Wingdings"/>
      <w:sz w:val="20"/>
    </w:rPr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ascii="Symbol" w:hAnsi="Symbol" w:cs="Symbol"/>
      <w:sz w:val="20"/>
    </w:rPr>
  </w:style>
  <w:style w:type="character" w:styleId="WW8Num28z1">
    <w:name w:val="WW8Num28z1"/>
    <w:qFormat/>
    <w:rPr>
      <w:rFonts w:ascii="Courier New" w:hAnsi="Courier New" w:cs="Courier New"/>
      <w:sz w:val="20"/>
    </w:rPr>
  </w:style>
  <w:style w:type="character" w:styleId="WW8Num28z2">
    <w:name w:val="WW8Num28z2"/>
    <w:qFormat/>
    <w:rPr>
      <w:rFonts w:ascii="Wingdings" w:hAnsi="Wingdings" w:cs="Wingdings"/>
      <w:sz w:val="20"/>
    </w:rPr>
  </w:style>
  <w:style w:type="character" w:styleId="WW8Num29z0">
    <w:name w:val="WW8Num29z0"/>
    <w:qFormat/>
    <w:rPr/>
  </w:style>
  <w:style w:type="character" w:styleId="WW8Num30z0">
    <w:name w:val="WW8Num30z0"/>
    <w:qFormat/>
    <w:rPr>
      <w:rFonts w:ascii="Symbol" w:hAnsi="Symbol" w:cs="Symbol"/>
      <w:sz w:val="20"/>
    </w:rPr>
  </w:style>
  <w:style w:type="character" w:styleId="WW8Num30z1">
    <w:name w:val="WW8Num30z1"/>
    <w:qFormat/>
    <w:rPr>
      <w:rFonts w:ascii="Courier New" w:hAnsi="Courier New" w:cs="Courier New"/>
      <w:sz w:val="20"/>
    </w:rPr>
  </w:style>
  <w:style w:type="character" w:styleId="WW8Num30z2">
    <w:name w:val="WW8Num30z2"/>
    <w:qFormat/>
    <w:rPr>
      <w:rFonts w:ascii="Wingdings" w:hAnsi="Wingdings" w:cs="Wingdings"/>
      <w:sz w:val="20"/>
    </w:rPr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>
      <w:rFonts w:ascii="Courier New" w:hAnsi="Courier New" w:cs="Courier New"/>
      <w:sz w:val="20"/>
    </w:rPr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/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0">
    <w:name w:val="WW8Num36z0"/>
    <w:qFormat/>
    <w:rPr/>
  </w:style>
  <w:style w:type="character" w:styleId="WW8Num36z1">
    <w:name w:val="WW8Num36z1"/>
    <w:qFormat/>
    <w:rPr>
      <w:rFonts w:ascii="Courier New" w:hAnsi="Courier New" w:cs="Courier New"/>
      <w:sz w:val="20"/>
    </w:rPr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/>
  </w:style>
  <w:style w:type="character" w:styleId="WW8Num38z1">
    <w:name w:val="WW8Num38z1"/>
    <w:qFormat/>
    <w:rPr/>
  </w:style>
  <w:style w:type="character" w:styleId="WW8Num38z2">
    <w:name w:val="WW8Num38z2"/>
    <w:qFormat/>
    <w:rPr/>
  </w:style>
  <w:style w:type="character" w:styleId="WW8Num38z3">
    <w:name w:val="WW8Num38z3"/>
    <w:qFormat/>
    <w:rPr/>
  </w:style>
  <w:style w:type="character" w:styleId="WW8Num38z4">
    <w:name w:val="WW8Num38z4"/>
    <w:qFormat/>
    <w:rPr/>
  </w:style>
  <w:style w:type="character" w:styleId="WW8Num38z5">
    <w:name w:val="WW8Num38z5"/>
    <w:qFormat/>
    <w:rPr/>
  </w:style>
  <w:style w:type="character" w:styleId="WW8Num38z6">
    <w:name w:val="WW8Num38z6"/>
    <w:qFormat/>
    <w:rPr/>
  </w:style>
  <w:style w:type="character" w:styleId="WW8Num38z7">
    <w:name w:val="WW8Num38z7"/>
    <w:qFormat/>
    <w:rPr/>
  </w:style>
  <w:style w:type="character" w:styleId="WW8Num38z8">
    <w:name w:val="WW8Num38z8"/>
    <w:qFormat/>
    <w:rPr/>
  </w:style>
  <w:style w:type="character" w:styleId="WW8Num39z0">
    <w:name w:val="WW8Num39z0"/>
    <w:qFormat/>
    <w:rPr/>
  </w:style>
  <w:style w:type="character" w:styleId="WW8Num39z1">
    <w:name w:val="WW8Num39z1"/>
    <w:qFormat/>
    <w:rPr/>
  </w:style>
  <w:style w:type="character" w:styleId="WW8Num39z2">
    <w:name w:val="WW8Num39z2"/>
    <w:qFormat/>
    <w:rPr/>
  </w:style>
  <w:style w:type="character" w:styleId="WW8Num39z3">
    <w:name w:val="WW8Num39z3"/>
    <w:qFormat/>
    <w:rPr/>
  </w:style>
  <w:style w:type="character" w:styleId="WW8Num39z4">
    <w:name w:val="WW8Num39z4"/>
    <w:qFormat/>
    <w:rPr/>
  </w:style>
  <w:style w:type="character" w:styleId="WW8Num39z5">
    <w:name w:val="WW8Num39z5"/>
    <w:qFormat/>
    <w:rPr/>
  </w:style>
  <w:style w:type="character" w:styleId="WW8Num39z6">
    <w:name w:val="WW8Num39z6"/>
    <w:qFormat/>
    <w:rPr/>
  </w:style>
  <w:style w:type="character" w:styleId="WW8Num39z7">
    <w:name w:val="WW8Num39z7"/>
    <w:qFormat/>
    <w:rPr/>
  </w:style>
  <w:style w:type="character" w:styleId="WW8Num39z8">
    <w:name w:val="WW8Num39z8"/>
    <w:qFormat/>
    <w:rPr/>
  </w:style>
  <w:style w:type="character" w:styleId="WW8Num40z0">
    <w:name w:val="WW8Num40z0"/>
    <w:qFormat/>
    <w:rPr/>
  </w:style>
  <w:style w:type="character" w:styleId="WW8Num41z0">
    <w:name w:val="WW8Num41z0"/>
    <w:qFormat/>
    <w:rPr>
      <w:rFonts w:ascii="Symbol" w:hAnsi="Symbol" w:cs="Symbol"/>
      <w:sz w:val="20"/>
    </w:rPr>
  </w:style>
  <w:style w:type="character" w:styleId="WW8Num41z1">
    <w:name w:val="WW8Num41z1"/>
    <w:qFormat/>
    <w:rPr>
      <w:rFonts w:ascii="Courier New" w:hAnsi="Courier New" w:cs="Courier New"/>
      <w:sz w:val="20"/>
    </w:rPr>
  </w:style>
  <w:style w:type="character" w:styleId="WW8Num41z2">
    <w:name w:val="WW8Num41z2"/>
    <w:qFormat/>
    <w:rPr>
      <w:rFonts w:ascii="Wingdings" w:hAnsi="Wingdings" w:cs="Wingdings"/>
      <w:sz w:val="20"/>
    </w:rPr>
  </w:style>
  <w:style w:type="character" w:styleId="WW8Num42z0">
    <w:name w:val="WW8Num42z0"/>
    <w:qFormat/>
    <w:rPr/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4z0">
    <w:name w:val="WW8Num44z0"/>
    <w:qFormat/>
    <w:rPr>
      <w:rFonts w:ascii="Symbol" w:hAnsi="Symbol" w:cs="Symbol"/>
      <w:sz w:val="20"/>
    </w:rPr>
  </w:style>
  <w:style w:type="character" w:styleId="WW8Num44z1">
    <w:name w:val="WW8Num44z1"/>
    <w:qFormat/>
    <w:rPr>
      <w:rFonts w:ascii="Courier New" w:hAnsi="Courier New" w:cs="Courier New"/>
      <w:sz w:val="20"/>
    </w:rPr>
  </w:style>
  <w:style w:type="character" w:styleId="WW8Num44z2">
    <w:name w:val="WW8Num44z2"/>
    <w:qFormat/>
    <w:rPr>
      <w:rFonts w:ascii="Wingdings" w:hAnsi="Wingdings" w:cs="Wingdings"/>
      <w:sz w:val="20"/>
    </w:rPr>
  </w:style>
  <w:style w:type="character" w:styleId="WW8Num45z0">
    <w:name w:val="WW8Num45z0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rPr>
      <w:sz w:val="20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Style13">
    <w:name w:val="Текст Знак"/>
    <w:qFormat/>
    <w:rPr>
      <w:rFonts w:ascii="Courier New" w:hAnsi="Courier New" w:cs="Courier New"/>
      <w:lang w:val="ru-RU" w:bidi="ar-SA"/>
    </w:rPr>
  </w:style>
  <w:style w:type="character" w:styleId="apple-converted-space">
    <w:name w:val="apple-converted-space"/>
    <w:basedOn w:val="1"/>
    <w:qFormat/>
    <w:rPr/>
  </w:style>
  <w:style w:type="character" w:styleId="Style14">
    <w:name w:val="Без интервала Знак"/>
    <w:qFormat/>
    <w:rPr>
      <w:rFonts w:ascii="Calibri" w:hAnsi="Calibri" w:cs="Calibri"/>
      <w:sz w:val="22"/>
      <w:szCs w:val="22"/>
    </w:rPr>
  </w:style>
  <w:style w:type="character" w:styleId="11">
    <w:name w:val="Знак примечания1"/>
    <w:qFormat/>
    <w:rPr>
      <w:sz w:val="16"/>
      <w:szCs w:val="16"/>
    </w:rPr>
  </w:style>
  <w:style w:type="character" w:styleId="Style15">
    <w:name w:val="Текст примечания Знак"/>
    <w:basedOn w:val="1"/>
    <w:qFormat/>
    <w:rPr/>
  </w:style>
  <w:style w:type="character" w:styleId="1w9o2igt">
    <w:name w:val="_1w9o2igt"/>
    <w:qFormat/>
    <w:rPr/>
  </w:style>
  <w:style w:type="character" w:styleId="WW8Num3z6">
    <w:name w:val="WW8Num3z6"/>
    <w:qFormat/>
    <w:rPr>
      <w:rFonts w:ascii="Symbol" w:hAnsi="Symbol" w:cs="Symbol"/>
    </w:rPr>
  </w:style>
  <w:style w:type="character" w:styleId="Style16">
    <w:name w:val="Поле"/>
    <w:qFormat/>
    <w:rPr>
      <w:rFonts w:ascii="Times New Roman" w:hAnsi="Times New Roman" w:cs="Times New Roman"/>
      <w:sz w:val="24"/>
      <w:u w:val="single"/>
    </w:rPr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;Arial Unicode MS" w:hAnsi="OpenSymbol;Arial Unicode MS" w:eastAsia="OpenSymbol;Arial Unicode MS" w:cs="OpenSymbol;Arial Unicode MS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;Times New Roman" w:hAnsi="PT Astra Serif;Times New Roman" w:cs="Noto Sans Devanagari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;Times New Roman" w:hAnsi="PT Astra Serif;Times New Roman" w:eastAsia="Tahoma" w:cs="Noto Sans Devanagari;Times New Roman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ascii="PT Astra Serif;Times New Roman" w:hAnsi="PT Astra Serif;Times New Roman" w:cs="Noto Sans Devanagari;Times New Roman"/>
      <w:i/>
      <w:iCs/>
      <w:sz w:val="24"/>
      <w:szCs w:val="24"/>
    </w:rPr>
  </w:style>
  <w:style w:type="paragraph" w:styleId="31">
    <w:name w:val="Указатель3"/>
    <w:basedOn w:val="Normal"/>
    <w:qFormat/>
    <w:pPr>
      <w:suppressLineNumbers/>
    </w:pPr>
    <w:rPr>
      <w:rFonts w:ascii="PT Astra Serif;Times New Roman" w:hAnsi="PT Astra Serif;Times New Roman" w:cs="Noto Sans Devanagari;Times New Roman"/>
    </w:rPr>
  </w:style>
  <w:style w:type="paragraph" w:styleId="2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;Times New Roman" w:hAnsi="PT Astra Serif;Times New Roman" w:eastAsia="Tahoma" w:cs="Noto Sans Devanagari;Times New Roman"/>
      <w:sz w:val="28"/>
      <w:szCs w:val="28"/>
    </w:rPr>
  </w:style>
  <w:style w:type="paragraph" w:styleId="32">
    <w:name w:val="Название объекта3"/>
    <w:basedOn w:val="Normal"/>
    <w:qFormat/>
    <w:pPr>
      <w:suppressLineNumbers/>
      <w:spacing w:before="120" w:after="120"/>
    </w:pPr>
    <w:rPr>
      <w:rFonts w:ascii="PT Astra Serif;Times New Roman" w:hAnsi="PT Astra Serif;Times New Roman" w:cs="Noto Sans Devanagari;Times New Roman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ascii="PT Astra Serif;Times New Roman" w:hAnsi="PT Astra Serif;Times New Roman" w:cs="Noto Sans Devanagari;Times New Roman"/>
    </w:rPr>
  </w:style>
  <w:style w:type="paragraph" w:styleId="12">
    <w:name w:val="Заголовок1"/>
    <w:basedOn w:val="Normal"/>
    <w:next w:val="BodyText"/>
    <w:qFormat/>
    <w:pPr>
      <w:widowControl/>
      <w:jc w:val="center"/>
    </w:pPr>
    <w:rPr>
      <w:rFonts w:ascii="Tahoma" w:hAnsi="Tahoma" w:cs="Tahoma"/>
      <w:b/>
      <w:sz w:val="64"/>
    </w:rPr>
  </w:style>
  <w:style w:type="paragraph" w:styleId="23">
    <w:name w:val="Название объекта2"/>
    <w:basedOn w:val="Normal"/>
    <w:qFormat/>
    <w:pPr>
      <w:suppressLineNumbers/>
      <w:spacing w:before="120" w:after="120"/>
    </w:pPr>
    <w:rPr>
      <w:rFonts w:ascii="PT Astra Serif;Times New Roman" w:hAnsi="PT Astra Serif;Times New Roman" w:cs="Noto Sans Devanagari;Times New Roman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;Times New Roman" w:hAnsi="PT Astra Serif;Times New Roman" w:cs="Noto Sans Devanagari;Times New Roman"/>
    </w:rPr>
  </w:style>
  <w:style w:type="paragraph" w:styleId="Style20">
    <w:name w:val="Верхний и нижний колонтитулы"/>
    <w:basedOn w:val="Normal"/>
    <w:qFormat/>
    <w:pPr>
      <w:suppressLineNumbers/>
      <w:tabs>
        <w:tab w:val="clear" w:pos="531"/>
        <w:tab w:val="center" w:pos="4819" w:leader="none"/>
        <w:tab w:val="right" w:pos="9638" w:leader="none"/>
      </w:tabs>
    </w:pPr>
    <w:rPr/>
  </w:style>
  <w:style w:type="paragraph" w:styleId="Style21">
    <w:name w:val="Колонтитулы"/>
    <w:basedOn w:val="Normal"/>
    <w:qFormat/>
    <w:pPr>
      <w:suppressLineNumbers/>
      <w:tabs>
        <w:tab w:val="clear" w:pos="531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>
      <w:suppressLineNumbers/>
      <w:tabs>
        <w:tab w:val="clear" w:pos="531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531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531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spacing w:before="0" w:after="60"/>
      <w:ind w:hanging="143" w:left="851" w:right="0"/>
      <w:jc w:val="both"/>
    </w:pPr>
    <w:rPr>
      <w:sz w:val="24"/>
    </w:rPr>
  </w:style>
  <w:style w:type="paragraph" w:styleId="211">
    <w:name w:val="Основной текст с отступом 21"/>
    <w:basedOn w:val="Normal"/>
    <w:qFormat/>
    <w:pPr>
      <w:ind w:firstLine="284" w:left="0" w:right="0"/>
      <w:jc w:val="both"/>
    </w:pPr>
    <w:rPr>
      <w:sz w:val="24"/>
    </w:rPr>
  </w:style>
  <w:style w:type="paragraph" w:styleId="311">
    <w:name w:val="Основной текст с отступом 31"/>
    <w:basedOn w:val="Normal"/>
    <w:qFormat/>
    <w:pPr>
      <w:ind w:hanging="0" w:left="993" w:right="0"/>
      <w:jc w:val="both"/>
    </w:pPr>
    <w:rPr>
      <w:sz w:val="24"/>
    </w:rPr>
  </w:style>
  <w:style w:type="paragraph" w:styleId="BodyTextIndent21">
    <w:name w:val="Body Text Indent 21"/>
    <w:basedOn w:val="Normal"/>
    <w:qFormat/>
    <w:pPr>
      <w:ind w:hanging="426" w:left="426" w:right="0"/>
      <w:jc w:val="both"/>
    </w:pPr>
    <w:rPr>
      <w:sz w:val="24"/>
    </w:rPr>
  </w:style>
  <w:style w:type="paragraph" w:styleId="Style22">
    <w:name w:val="Таблицы (моноширинный)"/>
    <w:basedOn w:val="Normal"/>
    <w:next w:val="Normal"/>
    <w:qFormat/>
    <w:pPr>
      <w:jc w:val="both"/>
    </w:pPr>
    <w:rPr>
      <w:rFonts w:ascii="Courier New" w:hAnsi="Courier New" w:cs="Courier New"/>
    </w:rPr>
  </w:style>
  <w:style w:type="paragraph" w:styleId="Style23">
    <w:name w:val="Заголовок статьи"/>
    <w:basedOn w:val="Normal"/>
    <w:next w:val="Normal"/>
    <w:qFormat/>
    <w:pPr>
      <w:ind w:hanging="892" w:left="1612" w:right="0"/>
      <w:jc w:val="both"/>
    </w:pPr>
    <w:rPr>
      <w:rFonts w:ascii="Arial" w:hAnsi="Arial" w:cs="Arial"/>
    </w:rPr>
  </w:style>
  <w:style w:type="paragraph" w:styleId="user5">
    <w:name w:val="Комментарий (user)"/>
    <w:basedOn w:val="Normal"/>
    <w:next w:val="Normal"/>
    <w:qFormat/>
    <w:pPr>
      <w:ind w:hanging="0" w:left="170" w:right="0"/>
      <w:jc w:val="both"/>
    </w:pPr>
    <w:rPr>
      <w:rFonts w:ascii="Arial" w:hAnsi="Arial" w:cs="Arial"/>
      <w:i/>
      <w:iCs/>
      <w:color w:val="800080"/>
    </w:rPr>
  </w:style>
  <w:style w:type="paragraph" w:styleId="ConsNormal">
    <w:name w:val="Con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zh-CN" w:bidi="ar-SA"/>
    </w:rPr>
  </w:style>
  <w:style w:type="paragraph" w:styleId="HTML">
    <w:name w:val="Стандартный HTML"/>
    <w:basedOn w:val="Normal"/>
    <w:qFormat/>
    <w:pPr>
      <w:widowControl/>
      <w:tabs>
        <w:tab w:val="clear" w:pos="531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3"/>
      <w:szCs w:val="23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2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Style25">
    <w:name w:val="Обычный (веб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14">
    <w:name w:val="Текст1"/>
    <w:basedOn w:val="Normal"/>
    <w:qFormat/>
    <w:pPr>
      <w:widowControl/>
    </w:pPr>
    <w:rPr>
      <w:rFonts w:ascii="Courier New" w:hAnsi="Courier New" w:cs="Courier New"/>
    </w:rPr>
  </w:style>
  <w:style w:type="paragraph" w:styleId="FR1">
    <w:name w:val="FR1"/>
    <w:qFormat/>
    <w:pPr>
      <w:widowControl w:val="false"/>
      <w:suppressAutoHyphens w:val="true"/>
      <w:overflowPunct w:val="false"/>
      <w:bidi w:val="0"/>
      <w:spacing w:lineRule="auto" w:line="420" w:before="60" w:after="0"/>
      <w:ind w:hanging="0" w:left="920" w:right="1400"/>
      <w:jc w:val="center"/>
    </w:pPr>
    <w:rPr>
      <w:rFonts w:ascii="Times New Roman" w:hAnsi="Times New Roman" w:eastAsia="Times New Roman" w:cs="Times New Roman"/>
      <w:color w:val="auto"/>
      <w:kern w:val="0"/>
      <w:sz w:val="32"/>
      <w:szCs w:val="20"/>
      <w:lang w:val="ru-RU" w:eastAsia="zh-CN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15">
    <w:name w:val="Название объекта1"/>
    <w:basedOn w:val="Normal"/>
    <w:qFormat/>
    <w:pPr>
      <w:widowControl/>
      <w:suppressLineNumbers/>
      <w:suppressAutoHyphens w:val="true"/>
      <w:spacing w:lineRule="atLeast" w:line="100" w:before="120" w:after="120"/>
    </w:pPr>
    <w:rPr>
      <w:rFonts w:cs="Lohit Hindi;Times New Roman"/>
      <w:i/>
      <w:iCs/>
      <w:color w:val="00000A"/>
      <w:sz w:val="24"/>
      <w:szCs w:val="24"/>
    </w:rPr>
  </w:style>
  <w:style w:type="paragraph" w:styleId="16">
    <w:name w:val="Без интервала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17">
    <w:name w:val="Текст примечания1"/>
    <w:basedOn w:val="Normal"/>
    <w:qFormat/>
    <w:pPr>
      <w:widowControl/>
    </w:pPr>
    <w:rPr/>
  </w:style>
  <w:style w:type="paragraph" w:styleId="user6">
    <w:name w:val="Содержимое таблицы (user)"/>
    <w:basedOn w:val="Normal"/>
    <w:qFormat/>
    <w:pPr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paragraph" w:styleId="user8">
    <w:name w:val="Содержимое врезки (user)"/>
    <w:basedOn w:val="Normal"/>
    <w:qFormat/>
    <w:pPr/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FreeSans"/>
      <w:color w:val="auto"/>
      <w:kern w:val="0"/>
      <w:sz w:val="20"/>
      <w:szCs w:val="22"/>
      <w:lang w:val="ru-RU" w:eastAsia="zh-CN" w:bidi="ar-SA"/>
    </w:rPr>
  </w:style>
  <w:style w:type="paragraph" w:styleId="WW-">
    <w:name w:val="WW-Базовый"/>
    <w:qFormat/>
    <w:pPr>
      <w:widowControl/>
      <w:tabs>
        <w:tab w:val="clear" w:pos="531"/>
        <w:tab w:val="left" w:pos="709" w:leader="none"/>
      </w:tabs>
      <w:suppressAutoHyphens w:val="true"/>
      <w:overflowPunct w:val="false"/>
      <w:bidi w:val="0"/>
      <w:spacing w:lineRule="atLeast" w:line="20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zh-CN" w:bidi="ar-SA"/>
    </w:rPr>
  </w:style>
  <w:style w:type="paragraph" w:styleId="18">
    <w:name w:val="Обычный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lineRule="auto" w:line="240" w:before="0" w:after="0"/>
      <w:ind w:hanging="0" w:left="720" w:right="0"/>
    </w:pPr>
    <w:rPr>
      <w:rFonts w:ascii="Times New Roman" w:hAnsi="Times New Roman" w:cs="Times New Roman"/>
      <w:sz w:val="20"/>
      <w:szCs w:val="20"/>
    </w:rPr>
  </w:style>
  <w:style w:type="paragraph" w:styleId="Style26">
    <w:name w:val="Центрированный (таблица)"/>
    <w:basedOn w:val="Normal"/>
    <w:next w:val="Normal"/>
    <w:qFormat/>
    <w:pPr>
      <w:widowControl w:val="false"/>
      <w:spacing w:lineRule="auto" w:line="240" w:before="0" w:after="0"/>
      <w:jc w:val="center"/>
    </w:pPr>
    <w:rPr>
      <w:rFonts w:ascii="Arial" w:hAnsi="Arial" w:cs="Arial"/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eception@kemcardio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yperlink" Target="consultantplus://offline/ref=130F882E59FE0C7C11D327C9AED9368630F8945F6E5096CF25BEEF806998D299387751B3161470E115C6C8E9E5D530B312B9E934364F43BB5DbCC" TargetMode="External"/><Relationship Id="rId10" Type="http://schemas.openxmlformats.org/officeDocument/2006/relationships/hyperlink" Target="consultantplus://offline/ref=130F882E59FE0C7C11D327C9AED9368630F9935F635D96CF25BEEF806998D299387751B3161470EB1AC6C8E9E5D530B312B9E934364F43BB5DbCC" TargetMode="External"/><Relationship Id="rId11" Type="http://schemas.openxmlformats.org/officeDocument/2006/relationships/hyperlink" Target="consultantplus://offline/ref=130F882E59FE0C7C11D327C9AED9368630F9935F635D96CF25BEEF806998D299387751B3161470EA1AC6C8E9E5D530B312B9E934364F43BB5DbCC" TargetMode="External"/><Relationship Id="rId12" Type="http://schemas.openxmlformats.org/officeDocument/2006/relationships/hyperlink" Target="consultantplus://offline/ref=130F882E59FE0C7C11D327C9AED9368630F9935F635D96CF25BEEF806998D299387751B3161470ED10C6C8E9E5D530B312B9E934364F43BB5DbCC" TargetMode="External"/><Relationship Id="rId13" Type="http://schemas.openxmlformats.org/officeDocument/2006/relationships/hyperlink" Target="consultantplus://offline/ref=130F882E59FE0C7C11D327C9AED9368630F9935F635D96CF25BEEF806998D299387751B3161470EC12C6C8E9E5D530B312B9E934364F43BB5DbCC" TargetMode="External"/><Relationship Id="rId14" Type="http://schemas.openxmlformats.org/officeDocument/2006/relationships/hyperlink" Target="consultantplus://offline/ref=4EE9AA2D7A090BAF2D9CB7FEBB0A6EE34055D2B7B66665B8A0A5E471843385046D63D1B8950147089C0B94B54242A683A4082712DD3AA1E4QAm2D" TargetMode="External"/><Relationship Id="rId15" Type="http://schemas.openxmlformats.org/officeDocument/2006/relationships/hyperlink" Target="consultantplus://offline/ref=F9413994AF32687685E3BCB95536A004C2288632A826224DC470B98F54GAF" TargetMode="External"/><Relationship Id="rId16" Type="http://schemas.openxmlformats.org/officeDocument/2006/relationships/hyperlink" Target="consultantplus://offline/ref=130F882E59FE0C7C11D327C9AED9368630F8945F6E5096CF25BEEF806998D299387751B3161470E115C6C8E9E5D530B312B9E934364F43BB5DbCC" TargetMode="External"/><Relationship Id="rId17" Type="http://schemas.openxmlformats.org/officeDocument/2006/relationships/hyperlink" Target="consultantplus://offline/ref=130F882E59FE0C7C11D327C9AED9368630F9935F635D96CF25BEEF806998D299387751B3161470EB1AC6C8E9E5D530B312B9E934364F43BB5DbCC" TargetMode="External"/><Relationship Id="rId18" Type="http://schemas.openxmlformats.org/officeDocument/2006/relationships/hyperlink" Target="consultantplus://offline/ref=130F882E59FE0C7C11D327C9AED9368630F9935F635D96CF25BEEF806998D299387751B3161470EA1AC6C8E9E5D530B312B9E934364F43BB5DbCC" TargetMode="External"/><Relationship Id="rId19" Type="http://schemas.openxmlformats.org/officeDocument/2006/relationships/hyperlink" Target="consultantplus://offline/ref=130F882E59FE0C7C11D327C9AED9368630F9935F635D96CF25BEEF806998D299387751B3161470ED10C6C8E9E5D530B312B9E934364F43BB5DbCC" TargetMode="External"/><Relationship Id="rId20" Type="http://schemas.openxmlformats.org/officeDocument/2006/relationships/hyperlink" Target="consultantplus://offline/ref=130F882E59FE0C7C11D327C9AED9368630F9935F635D96CF25BEEF806998D299387751B3161470EC12C6C8E9E5D530B312B9E934364F43BB5DbCC" TargetMode="External"/><Relationship Id="rId21" Type="http://schemas.openxmlformats.org/officeDocument/2006/relationships/hyperlink" Target="consultantplus://offline/ref=A56118B5CC750894912CF587EF1B382C9756619565EC0275239964C6746BE151ABBF2C3290347CFBB3EA4EE57A8F720FEC1D409AC71E7D7DGE12D" TargetMode="External"/><Relationship Id="rId22" Type="http://schemas.openxmlformats.org/officeDocument/2006/relationships/hyperlink" Target="consultantplus://offline/ref=6008A01BC2CA3017F7B57802BCC3796B9241EA0981749720C8EDBB33F62E50AE988E26FB1D783B79A9C5BC9EB060FDB721B30B024CE674F5X0v3I" TargetMode="External"/><Relationship Id="rId23" Type="http://schemas.openxmlformats.org/officeDocument/2006/relationships/header" Target="header4.xml"/><Relationship Id="rId24" Type="http://schemas.openxmlformats.org/officeDocument/2006/relationships/header" Target="header5.xml"/><Relationship Id="rId25" Type="http://schemas.openxmlformats.org/officeDocument/2006/relationships/header" Target="header6.xml"/><Relationship Id="rId26" Type="http://schemas.openxmlformats.org/officeDocument/2006/relationships/footer" Target="footer4.xml"/><Relationship Id="rId27" Type="http://schemas.openxmlformats.org/officeDocument/2006/relationships/footer" Target="footer5.xml"/><Relationship Id="rId28" Type="http://schemas.openxmlformats.org/officeDocument/2006/relationships/footer" Target="footer6.xml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731</TotalTime>
  <Application>LibreOffice/25.8.3.2$Linux_X86_64 LibreOffice_project/580$Build-2</Application>
  <AppVersion>15.0000</AppVersion>
  <Pages>21</Pages>
  <Words>7198</Words>
  <Characters>52014</Characters>
  <CharactersWithSpaces>58655</CharactersWithSpaces>
  <Paragraphs>658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2025-07-17T16:12:00Z</dcterms:created>
  <dc:creator/>
  <dc:description/>
  <dc:language>ru-RU</dc:language>
  <cp:lastModifiedBy/>
  <cp:lastPrinted>2025-08-11T13:05:00Z</cp:lastPrinted>
  <dcterms:modified xsi:type="dcterms:W3CDTF">2026-10-21T11:25:38Z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