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/>
      <w:bookmarkStart w:id="0" w:name="1"/>
      <w:r>
        <w:rPr>
          <w:b/>
          <w:sz w:val="28"/>
          <w:szCs w:val="28"/>
        </w:rPr>
        <w:t xml:space="preserve">СУБЛИЦЕНЗИОННЫЙ ДОГОВОР</w:t>
      </w:r>
      <w:bookmarkEnd w:id="0"/>
      <w:r>
        <w:rPr>
          <w:b/>
          <w:sz w:val="28"/>
          <w:szCs w:val="28"/>
        </w:rPr>
        <w:t xml:space="preserve"> № ___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г. Архангельск                                                            _________________ 2026 г.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360"/>
        <w:jc w:val="both"/>
        <w:spacing w:line="250" w:lineRule="auto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Федеральной службы государственной регистрации, кадастра и картографии по Архангельской области и Ненецкому автономному округу, именуемое в дальнейшем «Сублицензиат», в лице ______________________, </w:t>
      </w:r>
      <w:r>
        <w:rPr>
          <w:spacing w:val="-4"/>
          <w:sz w:val="28"/>
          <w:szCs w:val="28"/>
          <w:lang w:eastAsia="ar-SA"/>
        </w:rPr>
        <w:t xml:space="preserve">действующе</w:t>
      </w:r>
      <w:r>
        <w:rPr>
          <w:spacing w:val="-4"/>
          <w:sz w:val="28"/>
          <w:szCs w:val="28"/>
          <w:lang w:eastAsia="ar-SA"/>
        </w:rPr>
        <w:t xml:space="preserve">__ на основании ______________________</w:t>
      </w:r>
      <w:r>
        <w:rPr>
          <w:sz w:val="28"/>
          <w:szCs w:val="28"/>
        </w:rPr>
        <w:t xml:space="preserve">, с одной стороны, и ______________________, именуем___ в дальнейшем «Лицензиат», в лице __________________________, </w:t>
      </w:r>
      <w:r>
        <w:rPr>
          <w:sz w:val="28"/>
          <w:szCs w:val="28"/>
        </w:rPr>
        <w:t xml:space="preserve">действующе</w:t>
      </w:r>
      <w:r>
        <w:rPr>
          <w:sz w:val="28"/>
          <w:szCs w:val="28"/>
        </w:rPr>
        <w:t xml:space="preserve">__ на основании __________________, с другой стороны, вместе именуемые Стороны, в соответствии с пунктом 4 части 1 статьи 93 Федерального закона от 05.04.2013 № 44-ФЗ «О контрактной системе</w:t>
      </w:r>
      <w:r>
        <w:rPr>
          <w:sz w:val="28"/>
          <w:szCs w:val="28"/>
        </w:rPr>
        <w:t xml:space="preserve"> в сфере закупок товаров, работ, услуг для обеспечения государственных и муниципальных нужд» заключили настоящий </w:t>
      </w:r>
      <w:r>
        <w:rPr>
          <w:sz w:val="28"/>
          <w:szCs w:val="28"/>
        </w:rPr>
        <w:t xml:space="preserve">Сублицензионный</w:t>
      </w:r>
      <w:r>
        <w:rPr>
          <w:sz w:val="28"/>
          <w:szCs w:val="28"/>
        </w:rPr>
        <w:t xml:space="preserve"> договор (далее - Договор) (идентификационный код закупки 261290113122829010100100130000000000, МПИ 321.001А3024.20.Э.30197.26, протокол закупочной сессии от _______ № ______________</w:t>
      </w:r>
      <w:r>
        <w:rPr>
          <w:sz w:val="28"/>
          <w:szCs w:val="28"/>
        </w:rPr>
        <w:t xml:space="preserve"> )</w:t>
      </w:r>
      <w:r>
        <w:rPr>
          <w:sz w:val="28"/>
          <w:szCs w:val="28"/>
        </w:rPr>
        <w:t xml:space="preserve"> о нижеследующем: </w:t>
      </w:r>
      <w:r>
        <w:rPr>
          <w:sz w:val="28"/>
          <w:szCs w:val="28"/>
        </w:rPr>
      </w:r>
    </w:p>
    <w:p>
      <w:pPr>
        <w:ind w:firstLine="284"/>
        <w:jc w:val="both"/>
        <w:spacing w:line="25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"/>
        </w:numPr>
        <w:jc w:val="center"/>
        <w:spacing w:line="25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Договора</w:t>
      </w:r>
      <w:r>
        <w:rPr>
          <w:b/>
          <w:sz w:val="28"/>
          <w:szCs w:val="28"/>
        </w:rPr>
      </w:r>
    </w:p>
    <w:p>
      <w:pPr>
        <w:numPr>
          <w:ilvl w:val="1"/>
          <w:numId w:val="14"/>
        </w:numPr>
        <w:ind w:left="540" w:hanging="540"/>
        <w:jc w:val="both"/>
        <w:spacing w:line="250" w:lineRule="auto"/>
        <w:tabs>
          <w:tab w:val="left" w:pos="540" w:leader="none"/>
          <w:tab w:val="clear" w:pos="9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Лицензиат обязуется предоставить Сублицензиату права </w:t>
      </w:r>
      <w:r>
        <w:rPr>
          <w:sz w:val="28"/>
          <w:szCs w:val="28"/>
        </w:rPr>
        <w:t xml:space="preserve">(лицензию) на использование программного продукта </w:t>
      </w:r>
      <w:r>
        <w:rPr>
          <w:sz w:val="28"/>
          <w:szCs w:val="28"/>
          <w:highlight w:val="white"/>
          <w:lang w:val="en-US"/>
        </w:rPr>
        <w:t xml:space="preserve">Saby</w:t>
      </w:r>
      <w:r>
        <w:rPr>
          <w:sz w:val="28"/>
          <w:szCs w:val="28"/>
          <w:highlight w:val="white"/>
        </w:rPr>
        <w:t xml:space="preserve"> (</w:t>
      </w:r>
      <w:r>
        <w:rPr>
          <w:sz w:val="28"/>
          <w:szCs w:val="28"/>
          <w:highlight w:val="white"/>
        </w:rPr>
        <w:t xml:space="preserve">рег</w:t>
      </w:r>
      <w:r>
        <w:rPr>
          <w:sz w:val="28"/>
          <w:szCs w:val="28"/>
        </w:rPr>
        <w:t xml:space="preserve">истрационный № в РРПО № 332) (в сфере ИКТ) (далее - </w:t>
      </w:r>
      <w:r>
        <w:rPr>
          <w:sz w:val="28"/>
          <w:szCs w:val="28"/>
          <w:highlight w:val="white"/>
        </w:rPr>
        <w:t xml:space="preserve">Права использования </w:t>
      </w:r>
      <w:r>
        <w:rPr>
          <w:sz w:val="28"/>
          <w:szCs w:val="28"/>
          <w:highlight w:val="white"/>
        </w:rPr>
        <w:t xml:space="preserve">Saby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Report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Базовый</w:t>
      </w:r>
      <w:r>
        <w:rPr>
          <w:sz w:val="28"/>
          <w:szCs w:val="28"/>
          <w:highlight w:val="white"/>
        </w:rPr>
        <w:t xml:space="preserve"> ОСНО; </w:t>
      </w:r>
      <w:r>
        <w:rPr>
          <w:sz w:val="28"/>
          <w:szCs w:val="28"/>
          <w:highlight w:val="white"/>
        </w:rPr>
        <w:t xml:space="preserve">Программа)</w:t>
      </w:r>
      <w:r>
        <w:rPr>
          <w:sz w:val="28"/>
          <w:szCs w:val="28"/>
          <w:highlight w:val="white"/>
        </w:rPr>
        <w:t xml:space="preserve">, в</w:t>
      </w:r>
      <w:r>
        <w:rPr>
          <w:sz w:val="28"/>
          <w:szCs w:val="28"/>
          <w:highlight w:val="white"/>
        </w:rPr>
        <w:t xml:space="preserve"> пределах,</w:t>
      </w:r>
      <w:r>
        <w:rPr>
          <w:sz w:val="28"/>
          <w:szCs w:val="28"/>
        </w:rPr>
        <w:t xml:space="preserve"> указанных п. 2 Договора, а Сублицензиат за предоставление этих прав уплачивает лицензионное вознаграждение Лицензиату. Перечень прав, которые передаются Сублицензиату, приведен в </w:t>
      </w:r>
      <w:r>
        <w:rPr>
          <w:sz w:val="28"/>
          <w:szCs w:val="28"/>
        </w:rPr>
        <w:t xml:space="preserve">Приложении</w:t>
      </w:r>
      <w:r>
        <w:rPr>
          <w:sz w:val="28"/>
          <w:szCs w:val="28"/>
        </w:rPr>
        <w:t xml:space="preserve"> № 1 к Договору.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4"/>
        </w:numPr>
        <w:ind w:left="540" w:hanging="540"/>
        <w:jc w:val="both"/>
        <w:spacing w:line="250" w:lineRule="auto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Исключительные имущественные права на Программу принадлежат ООО «Компания «Тензор».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4"/>
        </w:numPr>
        <w:ind w:left="540" w:hanging="540"/>
        <w:jc w:val="both"/>
        <w:spacing w:line="250" w:lineRule="auto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Лицензиат имеет соответствующие полномочия для заключения </w:t>
      </w:r>
      <w:r>
        <w:rPr>
          <w:sz w:val="28"/>
          <w:szCs w:val="28"/>
        </w:rPr>
        <w:t xml:space="preserve">сублицензионных</w:t>
      </w:r>
      <w:r>
        <w:rPr>
          <w:sz w:val="28"/>
          <w:szCs w:val="28"/>
        </w:rPr>
        <w:t xml:space="preserve"> договоров на использование Программы от правообладателя ООО «Компания «Тензор».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5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0"/>
          <w:numId w:val="2"/>
        </w:numPr>
        <w:jc w:val="center"/>
        <w:spacing w:line="25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Права и обязанности сторон</w:t>
      </w:r>
      <w:r>
        <w:rPr>
          <w:b/>
          <w:sz w:val="28"/>
          <w:szCs w:val="28"/>
        </w:rPr>
      </w:r>
    </w:p>
    <w:p>
      <w:pPr>
        <w:numPr>
          <w:ilvl w:val="1"/>
          <w:numId w:val="2"/>
        </w:numPr>
        <w:ind w:left="540" w:hanging="540"/>
        <w:jc w:val="both"/>
        <w:spacing w:line="250" w:lineRule="auto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настоящему Договору Лицензиат предоставляет Сублицензиату право на установку и использование Программы в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с приобретенными лицензиями.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ind w:left="540" w:hanging="540"/>
        <w:jc w:val="both"/>
        <w:spacing w:line="250" w:lineRule="auto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Сублицензиату не принадлежат никакие другие права на использование Программы, права собственности или другие вспомогательные права на нее, кроме тех прав, которые явно описаны в Договоре.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ind w:left="540" w:hanging="540"/>
        <w:jc w:val="both"/>
        <w:spacing w:line="250" w:lineRule="auto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Лицензиат вправе:</w:t>
      </w:r>
      <w:r>
        <w:rPr>
          <w:sz w:val="28"/>
          <w:szCs w:val="28"/>
        </w:rPr>
      </w:r>
    </w:p>
    <w:p>
      <w:pPr>
        <w:numPr>
          <w:ilvl w:val="0"/>
          <w:numId w:val="1"/>
        </w:numPr>
        <w:contextualSpacing w:val="0"/>
        <w:ind w:left="567" w:right="0" w:hanging="567"/>
        <w:jc w:val="both"/>
        <w:spacing w:line="240" w:lineRule="auto"/>
        <w:widowControl w:val="off"/>
        <w:tabs>
          <w:tab w:val="left" w:pos="540" w:leader="none"/>
          <w:tab w:val="clear" w:pos="1068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осуществлять </w:t>
      </w:r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использованием Сублицензиатом предоставленных ему прав.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contextualSpacing w:val="0"/>
        <w:ind w:left="540" w:hanging="540"/>
        <w:jc w:val="both"/>
        <w:spacing w:line="240" w:lineRule="auto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Сублицензиат обязан: </w:t>
      </w:r>
      <w:r>
        <w:rPr>
          <w:sz w:val="28"/>
          <w:szCs w:val="28"/>
        </w:rPr>
      </w:r>
    </w:p>
    <w:p>
      <w:pPr>
        <w:numPr>
          <w:ilvl w:val="0"/>
          <w:numId w:val="1"/>
        </w:numPr>
        <w:contextualSpacing w:val="0"/>
        <w:ind w:left="567" w:right="0" w:hanging="567"/>
        <w:jc w:val="both"/>
        <w:spacing w:line="240" w:lineRule="auto"/>
        <w:widowControl w:val="off"/>
        <w:tabs>
          <w:tab w:val="left" w:pos="540" w:leader="none"/>
          <w:tab w:val="clear" w:pos="1068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не совершать действия, противоречащие условиям настоящего Договора и наносящие ущерб Лицензиату;</w:t>
      </w:r>
      <w:r>
        <w:rPr>
          <w:sz w:val="28"/>
          <w:szCs w:val="28"/>
        </w:rPr>
      </w:r>
    </w:p>
    <w:p>
      <w:pPr>
        <w:numPr>
          <w:ilvl w:val="0"/>
          <w:numId w:val="1"/>
        </w:numPr>
        <w:contextualSpacing w:val="0"/>
        <w:ind w:left="567" w:right="0" w:hanging="567"/>
        <w:jc w:val="both"/>
        <w:spacing w:line="240" w:lineRule="auto"/>
        <w:widowControl w:val="off"/>
        <w:tabs>
          <w:tab w:val="left" w:pos="540" w:leader="none"/>
          <w:tab w:val="clear" w:pos="1068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не передавать Программу (полностью или частично, включая документацию на неё, копии файлов Программы, архивные копии, а также любые иные данные, позволяющие её воспроизвести) третьим лицам;</w:t>
      </w:r>
      <w:r>
        <w:rPr>
          <w:sz w:val="28"/>
          <w:szCs w:val="28"/>
        </w:rPr>
      </w:r>
    </w:p>
    <w:p>
      <w:pPr>
        <w:numPr>
          <w:ilvl w:val="0"/>
          <w:numId w:val="1"/>
        </w:numPr>
        <w:contextualSpacing w:val="0"/>
        <w:ind w:left="567" w:right="0" w:hanging="567"/>
        <w:jc w:val="both"/>
        <w:spacing w:line="240" w:lineRule="auto"/>
        <w:widowControl w:val="off"/>
        <w:tabs>
          <w:tab w:val="left" w:pos="540" w:leader="none"/>
          <w:tab w:val="clear" w:pos="1068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не вскрывать технологию и не </w:t>
      </w:r>
      <w:r>
        <w:rPr>
          <w:sz w:val="28"/>
          <w:szCs w:val="28"/>
        </w:rPr>
        <w:t xml:space="preserve">декомпилировать</w:t>
      </w:r>
      <w:r>
        <w:rPr>
          <w:sz w:val="28"/>
          <w:szCs w:val="28"/>
        </w:rPr>
        <w:t xml:space="preserve"> Программу или ее составные части.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contextualSpacing w:val="0"/>
        <w:ind w:left="540" w:hanging="540"/>
        <w:jc w:val="both"/>
        <w:spacing w:line="240" w:lineRule="auto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Для реализации возможности представления сведений о застрах</w:t>
      </w:r>
      <w:r>
        <w:rPr>
          <w:sz w:val="28"/>
          <w:szCs w:val="28"/>
        </w:rPr>
        <w:t xml:space="preserve">ованных лицах по телекоммуникационным каналам связи в СФР, Сублицензиату необходимо направить Заявление о подключении к электронному документообороту и заключить Соглашение об обмене электронными документами в СЭД СФР по телекоммуникационным каналам связи.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contextualSpacing w:val="0"/>
        <w:ind w:left="540" w:hanging="540"/>
        <w:jc w:val="both"/>
        <w:spacing w:line="240" w:lineRule="auto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Лицензиат обязан в течение 3 (Трех) рабочих дней с момента получения оригинала Договора, подписанного с обеих сторон, передать Сублицензиату права на использование Программы. Перечень передаваемых прав приведен в </w:t>
      </w:r>
      <w:r>
        <w:rPr>
          <w:sz w:val="28"/>
          <w:szCs w:val="28"/>
        </w:rPr>
        <w:t xml:space="preserve">Приложении</w:t>
      </w:r>
      <w:r>
        <w:rPr>
          <w:sz w:val="28"/>
          <w:szCs w:val="28"/>
        </w:rPr>
        <w:t xml:space="preserve"> к Договору.</w:t>
      </w:r>
      <w:r>
        <w:rPr>
          <w:sz w:val="28"/>
          <w:szCs w:val="28"/>
        </w:rPr>
      </w:r>
    </w:p>
    <w:p>
      <w:pPr>
        <w:contextualSpacing w:val="0"/>
        <w:jc w:val="both"/>
        <w:spacing w:line="240" w:lineRule="auto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"/>
        </w:numPr>
        <w:contextualSpacing w:val="0"/>
        <w:ind w:left="0" w:right="0" w:firstLine="0"/>
        <w:jc w:val="center"/>
        <w:spacing w:line="240" w:lineRule="auto"/>
        <w:widowControl w:val="off"/>
        <w:tabs>
          <w:tab w:val="clear" w:pos="360" w:leader="none"/>
        </w:tabs>
        <w:rPr>
          <w:b/>
          <w:sz w:val="28"/>
          <w:szCs w:val="28"/>
        </w:rPr>
        <w:suppressLineNumbers w:val="0"/>
      </w:pPr>
      <w:r>
        <w:rPr>
          <w:b/>
          <w:sz w:val="28"/>
          <w:szCs w:val="28"/>
        </w:rPr>
        <w:t xml:space="preserve">Цена Договора и порядок расчетов</w:t>
      </w:r>
      <w:r>
        <w:rPr>
          <w:b/>
          <w:sz w:val="28"/>
          <w:szCs w:val="28"/>
        </w:rPr>
      </w:r>
    </w:p>
    <w:p>
      <w:pPr>
        <w:numPr>
          <w:ilvl w:val="1"/>
          <w:numId w:val="2"/>
        </w:numPr>
        <w:contextualSpacing w:val="0"/>
        <w:ind w:left="540" w:hanging="540"/>
        <w:jc w:val="both"/>
        <w:spacing w:line="240" w:lineRule="auto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Размер лицензионного вознаграждения (цена Договора) определен в </w:t>
      </w:r>
      <w:r>
        <w:rPr>
          <w:sz w:val="28"/>
          <w:szCs w:val="28"/>
        </w:rPr>
        <w:t xml:space="preserve">Приложении</w:t>
      </w:r>
      <w:r>
        <w:rPr>
          <w:sz w:val="28"/>
          <w:szCs w:val="28"/>
        </w:rPr>
        <w:t xml:space="preserve"> к Договору. 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contextualSpacing w:val="0"/>
        <w:ind w:left="540" w:hanging="540"/>
        <w:jc w:val="both"/>
        <w:spacing w:line="240" w:lineRule="auto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Цена Договора </w:t>
      </w:r>
      <w:r>
        <w:rPr>
          <w:sz w:val="28"/>
          <w:szCs w:val="28"/>
        </w:rPr>
        <w:t xml:space="preserve">является твердой и определяется</w:t>
      </w:r>
      <w:r>
        <w:rPr>
          <w:sz w:val="28"/>
          <w:szCs w:val="28"/>
        </w:rPr>
        <w:t xml:space="preserve"> на весь срок исполнения Договора, за исключением случаев, предусмотренных Договором.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contextualSpacing w:val="0"/>
        <w:ind w:left="540" w:hanging="540"/>
        <w:jc w:val="both"/>
        <w:spacing w:line="240" w:lineRule="auto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Лицензионное вознаграждение не облагается НДС на основании </w:t>
      </w:r>
      <w:r>
        <w:rPr>
          <w:sz w:val="28"/>
          <w:szCs w:val="28"/>
        </w:rPr>
        <w:t xml:space="preserve">пп</w:t>
      </w:r>
      <w:r>
        <w:rPr>
          <w:sz w:val="28"/>
          <w:szCs w:val="28"/>
        </w:rPr>
        <w:t xml:space="preserve">. 26 п. 2 ст. 149 НК РФ.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contextualSpacing w:val="0"/>
        <w:ind w:left="540" w:hanging="540"/>
        <w:jc w:val="both"/>
        <w:spacing w:line="240" w:lineRule="auto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Сублицензиат в 5-дневный срок с момента передачи прав и подписания Универсального передаточного документа производ</w:t>
      </w:r>
      <w:r>
        <w:rPr>
          <w:sz w:val="28"/>
          <w:szCs w:val="28"/>
        </w:rPr>
        <w:t xml:space="preserve">ит 100% оплату по Договору путем перечисления указанной суммы в безналичной форме на расчетный счет Лицензиата с указанием в платежном поручении «Оплата по Договору № __________ от _______________ 2026 г. Приобретение прав на программный продукт, без НДС».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contextualSpacing w:val="0"/>
        <w:ind w:left="540" w:hanging="540"/>
        <w:jc w:val="both"/>
        <w:spacing w:line="240" w:lineRule="auto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Сублицензиат в течение 3 (Трех) дней со дня получения Универсального передаточного документа обязан направить Лицензиату подписанный со своей стороны экземпляр Универсального передаточного документа.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contextualSpacing w:val="0"/>
        <w:ind w:left="540" w:hanging="540"/>
        <w:jc w:val="both"/>
        <w:spacing w:line="240" w:lineRule="auto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невозврата</w:t>
      </w:r>
      <w:r>
        <w:rPr>
          <w:sz w:val="28"/>
          <w:szCs w:val="28"/>
        </w:rPr>
        <w:t xml:space="preserve"> подписанного Универсального передаточного документа Лицензиату и </w:t>
      </w:r>
      <w:r>
        <w:rPr>
          <w:sz w:val="28"/>
          <w:szCs w:val="28"/>
        </w:rPr>
        <w:t xml:space="preserve">непредоставления</w:t>
      </w:r>
      <w:r>
        <w:rPr>
          <w:sz w:val="28"/>
          <w:szCs w:val="28"/>
        </w:rPr>
        <w:t xml:space="preserve"> Сублицензиатом письменного обосн</w:t>
      </w:r>
      <w:r>
        <w:rPr>
          <w:sz w:val="28"/>
          <w:szCs w:val="28"/>
        </w:rPr>
        <w:t xml:space="preserve">ования отказа в подписании в течение 10 (Десяти) дней с момента его выставления, Лицензиат вправе подписать Универсальный передаточный документ в одностороннем порядке, который будет считаться подтверждением надлежащего выполнения обязательств по Договору.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ind w:left="540" w:hanging="540"/>
        <w:jc w:val="both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Сумма, подлежащая уплате Сублицензиатом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</w:t>
      </w:r>
      <w:r>
        <w:rPr>
          <w:sz w:val="28"/>
          <w:szCs w:val="28"/>
        </w:rPr>
        <w:t xml:space="preserve">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r>
        <w:rPr>
          <w:sz w:val="28"/>
          <w:szCs w:val="28"/>
        </w:rPr>
        <w:t xml:space="preserve"> Российской Федерации Сублицензиатом.</w:t>
      </w:r>
      <w:r>
        <w:rPr>
          <w:sz w:val="28"/>
          <w:szCs w:val="28"/>
        </w:rPr>
      </w:r>
    </w:p>
    <w:p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Ответственность сторон</w:t>
      </w:r>
      <w:r>
        <w:rPr>
          <w:b/>
          <w:sz w:val="28"/>
          <w:szCs w:val="28"/>
        </w:rPr>
      </w:r>
    </w:p>
    <w:p>
      <w:pPr>
        <w:numPr>
          <w:ilvl w:val="1"/>
          <w:numId w:val="2"/>
        </w:numPr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невыполнение или ненадлежащее выполнение своих обязательств по Договору Стороны несут ответственность в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с действующим законодательством Российской Федерации в рамках выполнения Сторонами обязательств в соответствии с п. 1.1. Договора.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ind w:left="540" w:hanging="540"/>
        <w:jc w:val="both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Нелегальное использование, распространение, воспроизведение для третьих лиц, копирование Программы </w:t>
      </w:r>
      <w:r>
        <w:rPr>
          <w:sz w:val="28"/>
          <w:szCs w:val="28"/>
        </w:rPr>
        <w:t xml:space="preserve">является нарушением законодательства Российской Федерации и преследуется</w:t>
      </w:r>
      <w:r>
        <w:rPr>
          <w:sz w:val="28"/>
          <w:szCs w:val="28"/>
        </w:rPr>
        <w:t xml:space="preserve"> по закону.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ind w:left="540" w:hanging="540"/>
        <w:jc w:val="both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случае нарушения Сублицензиатом своих обязанностей, указанных в п. 2 и п. 3.4 Договора</w:t>
      </w:r>
      <w:r>
        <w:rPr>
          <w:sz w:val="28"/>
          <w:szCs w:val="28"/>
        </w:rPr>
        <w:t xml:space="preserve"> Сублицензиат лишается права на использование Программы.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Переход права пользования</w:t>
      </w:r>
      <w:r>
        <w:rPr>
          <w:b/>
          <w:sz w:val="28"/>
          <w:szCs w:val="28"/>
        </w:rPr>
      </w:r>
    </w:p>
    <w:p>
      <w:pPr>
        <w:ind w:left="567" w:right="0" w:firstLine="0"/>
        <w:jc w:val="both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Права на использование Программы по Договору переходят к Сублицензиату с момента выпуска лицензии. Срок действия лицензии определен в Приложении к Договору. Более длительное использование Программы должно сопровождаться заключением нового </w:t>
      </w:r>
      <w:r>
        <w:rPr>
          <w:sz w:val="28"/>
          <w:szCs w:val="28"/>
        </w:rPr>
        <w:t xml:space="preserve">сублицензионного</w:t>
      </w:r>
      <w:r>
        <w:rPr>
          <w:sz w:val="28"/>
          <w:szCs w:val="28"/>
        </w:rPr>
        <w:t xml:space="preserve"> договора.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Разрешение споров</w:t>
      </w:r>
      <w:r>
        <w:rPr>
          <w:b/>
          <w:sz w:val="28"/>
          <w:szCs w:val="28"/>
        </w:rPr>
      </w:r>
    </w:p>
    <w:p>
      <w:pPr>
        <w:ind w:left="567" w:right="0" w:firstLine="0"/>
        <w:jc w:val="both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Споры и разногласия, возникающие при исполнении Договора, разрешаются по соглашению Сторон, а в случае </w:t>
      </w:r>
      <w:r>
        <w:rPr>
          <w:sz w:val="28"/>
          <w:szCs w:val="28"/>
        </w:rPr>
        <w:t xml:space="preserve">недостижения</w:t>
      </w:r>
      <w:r>
        <w:rPr>
          <w:sz w:val="28"/>
          <w:szCs w:val="28"/>
        </w:rPr>
        <w:t xml:space="preserve"> согласия, в порядке, установленном действующим законодательством Российской Федерации в Арбитражном суде Архангельской области.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действия Договора</w:t>
      </w:r>
      <w:r>
        <w:rPr>
          <w:b/>
          <w:sz w:val="28"/>
          <w:szCs w:val="28"/>
        </w:rPr>
      </w:r>
    </w:p>
    <w:p>
      <w:pPr>
        <w:contextualSpacing w:val="0"/>
        <w:ind w:left="567" w:right="0" w:firstLine="0"/>
        <w:jc w:val="both"/>
        <w:widowControl w:val="off"/>
        <w:tabs>
          <w:tab w:val="num" w:pos="5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Договор вступает в </w:t>
      </w:r>
      <w:r>
        <w:rPr>
          <w:sz w:val="28"/>
          <w:szCs w:val="28"/>
        </w:rPr>
        <w:t xml:space="preserve">силу </w:t>
      </w:r>
      <w:r>
        <w:rPr>
          <w:sz w:val="28"/>
          <w:szCs w:val="28"/>
        </w:rPr>
        <w:t xml:space="preserve">с момента подписания его сторонами</w:t>
      </w:r>
      <w:r>
        <w:rPr>
          <w:sz w:val="28"/>
          <w:szCs w:val="28"/>
        </w:rPr>
        <w:t xml:space="preserve"> и действует до момента выполнения Сторонами своих обязательств в соответствии с п. 1.1 Договора.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 xml:space="preserve">Права использования </w:t>
      </w:r>
      <w:r>
        <w:rPr>
          <w:sz w:val="28"/>
          <w:szCs w:val="28"/>
          <w:highlight w:val="white"/>
        </w:rPr>
        <w:t xml:space="preserve">Saby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Report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Базовый</w:t>
      </w:r>
      <w:r>
        <w:rPr>
          <w:sz w:val="28"/>
          <w:szCs w:val="28"/>
          <w:highlight w:val="white"/>
        </w:rPr>
        <w:t xml:space="preserve"> ОСНО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й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у</w:t>
      </w:r>
      <w:r>
        <w:rPr>
          <w:sz w:val="28"/>
          <w:szCs w:val="28"/>
          <w:highlight w:val="white"/>
        </w:rPr>
        <w:t xml:space="preserve">ю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р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5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0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4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0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7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60" w:firstLine="0"/>
        <w:jc w:val="both"/>
        <w:tabs>
          <w:tab w:val="num" w:pos="540" w:leader="none"/>
        </w:tabs>
        <w:rPr>
          <w:sz w:val="28"/>
          <w:szCs w:val="28"/>
          <w:highlight w:val="green"/>
        </w:rPr>
      </w:pPr>
      <w:r>
        <w:rPr>
          <w:sz w:val="28"/>
          <w:szCs w:val="28"/>
          <w:highlight w:val="green"/>
        </w:rPr>
      </w:r>
      <w:r>
        <w:rPr>
          <w:sz w:val="28"/>
          <w:szCs w:val="28"/>
          <w:highlight w:val="green"/>
        </w:rPr>
      </w:r>
    </w:p>
    <w:p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Прочие условия</w:t>
      </w:r>
      <w:r>
        <w:rPr>
          <w:b/>
          <w:sz w:val="28"/>
          <w:szCs w:val="28"/>
        </w:rPr>
      </w:r>
    </w:p>
    <w:p>
      <w:pPr>
        <w:numPr>
          <w:ilvl w:val="1"/>
          <w:numId w:val="2"/>
        </w:numPr>
        <w:ind w:left="540" w:hanging="540"/>
        <w:jc w:val="both"/>
        <w:tabs>
          <w:tab w:val="num" w:pos="54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Все приложения к Договору являются его неотъемлемой частью при условии, что они </w:t>
      </w:r>
      <w:r>
        <w:rPr>
          <w:sz w:val="28"/>
          <w:szCs w:val="28"/>
        </w:rPr>
        <w:t xml:space="preserve">оформлены в письменной форме и подписаны</w:t>
      </w:r>
      <w:r>
        <w:rPr>
          <w:sz w:val="28"/>
          <w:szCs w:val="28"/>
        </w:rPr>
        <w:t xml:space="preserve"> с обеих Сторон уполномоченными на то лицами. </w:t>
      </w:r>
      <w:r>
        <w:rPr>
          <w:sz w:val="28"/>
          <w:szCs w:val="28"/>
        </w:rPr>
      </w:r>
    </w:p>
    <w:p>
      <w:pPr>
        <w:numPr>
          <w:ilvl w:val="1"/>
          <w:numId w:val="2"/>
        </w:numPr>
        <w:ind w:left="540" w:hanging="540"/>
        <w:jc w:val="both"/>
        <w:tabs>
          <w:tab w:val="left" w:pos="540" w:leader="none"/>
          <w:tab w:val="clear" w:pos="9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изменении любой информации, касающейся Сублицензиата, указанной в документах на получение прав на использование Программы (ИНН, Название организации, ФИО и др.), лицензия становится недействительной. Сублицензиат обязан письменно в однодневный срок </w:t>
      </w:r>
      <w:r>
        <w:rPr>
          <w:sz w:val="28"/>
          <w:szCs w:val="28"/>
        </w:rPr>
        <w:t xml:space="preserve">сообщить Лицензиату о произошедших изменениях и произвести</w:t>
      </w:r>
      <w:r>
        <w:rPr>
          <w:sz w:val="28"/>
          <w:szCs w:val="28"/>
        </w:rPr>
        <w:t xml:space="preserve"> замену лицензии. Замена лицензии осуществляется на возмездной основе.</w:t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Адреса и реквизиты Сторон</w:t>
      </w:r>
      <w:r>
        <w:rPr>
          <w:b/>
          <w:sz w:val="28"/>
          <w:szCs w:val="28"/>
        </w:rPr>
      </w:r>
    </w:p>
    <w:tbl>
      <w:tblPr>
        <w:tblpPr w:horzAnchor="margin" w:tblpX="534" w:vertAnchor="text" w:tblpY="242" w:leftFromText="180" w:topFromText="0" w:rightFromText="180" w:bottomFromText="0"/>
        <w:tblW w:w="8897" w:type="dxa"/>
        <w:tblLayout w:type="fixed"/>
        <w:tblLook w:val="01E0" w:firstRow="1" w:lastRow="1" w:firstColumn="1" w:lastColumn="1" w:noHBand="0" w:noVBand="0"/>
      </w:tblPr>
      <w:tblGrid>
        <w:gridCol w:w="8897"/>
      </w:tblGrid>
      <w:tr>
        <w:tblPrEx/>
        <w:trPr>
          <w:trHeight w:val="1435"/>
        </w:trPr>
        <w:tc>
          <w:tcPr>
            <w:tcW w:w="8897" w:type="dxa"/>
            <w:textDirection w:val="lrTb"/>
            <w:noWrap w:val="false"/>
          </w:tcPr>
          <w:p>
            <w:pPr>
              <w:ind w:left="0" w:right="0" w:firstLine="70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Лицензиат:   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_________________, ИНН ___________ КПП ____________________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____________________________________________________________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тел/факс. ________________________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</w:rPr>
              <w:t xml:space="preserve">/с № ___________________________________________________________ 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БИК _________________, К/с ___________________________________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_______________________________________________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Электронная почта: ____________________________________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317"/>
        </w:trPr>
        <w:tc>
          <w:tcPr>
            <w:tcW w:w="8897" w:type="dxa"/>
            <w:textDirection w:val="lrTb"/>
            <w:noWrap w:val="false"/>
          </w:tcPr>
          <w:p>
            <w:pPr>
              <w:ind w:firstLine="567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firstLine="709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Сублицензиат: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Федеральной службы государственной регистрации, кадастра и картографии по Архангельской области и Ненецкому автономному округу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ИНН/КПП 2901131228/290101001, </w:t>
            </w:r>
            <w:r>
              <w:rPr>
                <w:sz w:val="28"/>
                <w:szCs w:val="28"/>
                <w:highlight w:val="white"/>
              </w:rPr>
              <w:t xml:space="preserve">ОКТМО 11701000.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163000, г. Архангельск, ул. </w:t>
            </w:r>
            <w:r>
              <w:rPr>
                <w:sz w:val="28"/>
                <w:szCs w:val="28"/>
              </w:rPr>
              <w:t xml:space="preserve">Садовая</w:t>
            </w:r>
            <w:r>
              <w:rPr>
                <w:sz w:val="28"/>
                <w:szCs w:val="28"/>
              </w:rPr>
              <w:t xml:space="preserve">, д. 5, корп. 1,</w:t>
            </w:r>
            <w:r>
              <w:rPr>
                <w:sz w:val="28"/>
                <w:szCs w:val="28"/>
              </w:rPr>
            </w:r>
          </w:p>
          <w:p>
            <w:pPr>
              <w:widowControl w:val="off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Тел: 22-99-57, 22-99</w:t>
            </w:r>
            <w:r>
              <w:rPr>
                <w:color w:val="000000" w:themeColor="text1"/>
                <w:sz w:val="28"/>
                <w:szCs w:val="28"/>
              </w:rPr>
              <w:t xml:space="preserve">-65,</w:t>
            </w:r>
            <w:r>
              <w:rPr>
                <w:color w:val="000000" w:themeColor="text1"/>
                <w:sz w:val="28"/>
                <w:szCs w:val="28"/>
              </w:rPr>
            </w:r>
          </w:p>
          <w:p>
            <w:pPr>
              <w:widowControl w:val="off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Электронная почта: </w:t>
            </w:r>
            <w:hyperlink r:id="rId12" w:tooltip="mailto:29_upr@rosreestr.ru" w:history="1">
              <w:r>
                <w:rPr>
                  <w:rStyle w:val="912"/>
                  <w:bCs/>
                  <w:color w:val="000000" w:themeColor="text1"/>
                  <w:sz w:val="28"/>
                  <w:szCs w:val="28"/>
                </w:rPr>
                <w:t xml:space="preserve">29_upr</w:t>
              </w:r>
              <w:r>
                <w:rPr>
                  <w:rStyle w:val="912"/>
                  <w:color w:val="000000" w:themeColor="text1"/>
                  <w:sz w:val="28"/>
                  <w:szCs w:val="28"/>
                </w:rPr>
                <w:t xml:space="preserve">@rosreestr.ru</w:t>
              </w:r>
            </w:hyperlink>
            <w:r>
              <w:rPr>
                <w:color w:val="000000" w:themeColor="text1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  <w:p>
            <w:pPr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both"/>
              <w:widowControl w:val="off"/>
              <w:tabs>
                <w:tab w:val="left" w:pos="3986" w:leader="none"/>
              </w:tabs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Казначейский счет </w:t>
            </w:r>
            <w:r>
              <w:rPr>
                <w:rFonts w:eastAsia="Calibri"/>
                <w:sz w:val="28"/>
                <w:szCs w:val="28"/>
              </w:rPr>
              <w:t xml:space="preserve">03211643000000013244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в </w:t>
            </w:r>
            <w:r>
              <w:rPr>
                <w:rFonts w:eastAsia="Calibri"/>
                <w:sz w:val="28"/>
                <w:szCs w:val="28"/>
              </w:rPr>
              <w:t xml:space="preserve">УФК по </w:t>
            </w:r>
            <w:r>
              <w:rPr>
                <w:rFonts w:eastAsia="Calibri"/>
                <w:sz w:val="28"/>
                <w:szCs w:val="28"/>
              </w:rPr>
              <w:t xml:space="preserve">Нижегородской</w:t>
            </w:r>
            <w:r>
              <w:rPr>
                <w:rFonts w:eastAsia="Calibri"/>
                <w:sz w:val="28"/>
                <w:szCs w:val="28"/>
              </w:rPr>
              <w:t xml:space="preserve"> области,  л/счет 03241А30240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jc w:val="both"/>
              <w:widowControl w:val="off"/>
              <w:tabs>
                <w:tab w:val="left" w:pos="3986" w:leader="none"/>
              </w:tabs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Единый казначейский счет 40102810745370000024 в ОКЦ № 1 ВВГУ БАНКА РОССИИ//УФК по Нижегородской области, г. Нижний Новгород, БИК 012202102.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Style w:val="919"/>
              <w:ind w:left="-56"/>
              <w:jc w:val="both"/>
              <w:tabs>
                <w:tab w:val="left" w:pos="382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544"/>
        <w:gridCol w:w="4394"/>
      </w:tblGrid>
      <w:tr>
        <w:tblPrEx/>
        <w:trPr>
          <w:trHeight w:val="265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44" w:type="dxa"/>
            <w:textDirection w:val="lrTb"/>
            <w:noWrap w:val="false"/>
          </w:tcPr>
          <w:p>
            <w:pPr>
              <w:ind w:left="72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Лицензиат:   </w:t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/ФИО/</w:t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0"/>
                <w:szCs w:val="20"/>
              </w:rPr>
              <w:t xml:space="preserve"> М.П.</w:t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94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Сублицензиат:  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</w:t>
            </w:r>
            <w:r>
              <w:rPr>
                <w:sz w:val="28"/>
                <w:szCs w:val="28"/>
              </w:rPr>
              <w:t xml:space="preserve">Росреестра</w:t>
            </w:r>
            <w:r>
              <w:rPr>
                <w:sz w:val="28"/>
                <w:szCs w:val="28"/>
              </w:rPr>
              <w:t xml:space="preserve"> по Архангельской области и Ненецкому автономному округу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540" w:hanging="468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__________________ /ФИО/</w:t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0"/>
              <w:jc w:val="both"/>
              <w:widowControl w:val="off"/>
              <w:tabs>
                <w:tab w:val="left" w:pos="0" w:leader="none"/>
              </w:tabs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М.</w:t>
            </w:r>
            <w:r>
              <w:rPr>
                <w:sz w:val="20"/>
                <w:szCs w:val="20"/>
              </w:rPr>
              <w:t xml:space="preserve">П.</w:t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ind w:left="0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  <w:p>
            <w:pPr>
              <w:ind w:left="0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  <w:p>
            <w:pPr>
              <w:ind w:left="0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  <w:lang w:val="en-US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</w:tr>
    </w:tbl>
    <w:tbl>
      <w:tblPr>
        <w:tblStyle w:val="760"/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58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                                                                           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87" w:type="dxa"/>
            <w:textDirection w:val="lrTb"/>
            <w:noWrap w:val="false"/>
          </w:tcPr>
          <w:p>
            <w:pPr>
              <w:jc w:val="center"/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№ 1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 xml:space="preserve">Сублицензионному</w:t>
            </w:r>
            <w:r>
              <w:rPr>
                <w:sz w:val="28"/>
                <w:szCs w:val="28"/>
              </w:rPr>
              <w:t xml:space="preserve"> договору </w:t>
            </w:r>
            <w:r>
              <w:rPr>
                <w:sz w:val="28"/>
                <w:szCs w:val="28"/>
              </w:rPr>
              <w:br/>
              <w:t xml:space="preserve">от ___________2026 г. №______</w:t>
            </w:r>
            <w:r>
              <w:rPr>
                <w:sz w:val="28"/>
                <w:szCs w:val="28"/>
              </w:rPr>
            </w:r>
          </w:p>
          <w:p>
            <w:pPr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Перечень передаваемых прав</w:t>
      </w:r>
      <w:r>
        <w:rPr>
          <w:sz w:val="28"/>
          <w:szCs w:val="28"/>
        </w:rPr>
      </w:r>
    </w:p>
    <w:tbl>
      <w:tblPr>
        <w:tblpPr w:horzAnchor="page" w:tblpX="1843" w:vertAnchor="page" w:tblpY="3388" w:leftFromText="180" w:topFromText="0" w:rightFromText="180" w:bottomFromText="0"/>
        <w:tblW w:w="93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525"/>
        <w:gridCol w:w="1701"/>
        <w:gridCol w:w="1701"/>
        <w:gridCol w:w="850"/>
        <w:gridCol w:w="1417"/>
        <w:gridCol w:w="2126"/>
      </w:tblGrid>
      <w:tr>
        <w:tblPrEx/>
        <w:trPr/>
        <w:tc>
          <w:tcPr>
            <w:tcW w:w="1525" w:type="dxa"/>
            <w:vAlign w:val="center"/>
            <w:textDirection w:val="lrTb"/>
            <w:noWrap w:val="false"/>
          </w:tcPr>
          <w:p>
            <w:pPr>
              <w:pStyle w:val="905"/>
              <w:ind w:left="-57" w:right="-57"/>
              <w:jc w:val="center"/>
              <w:spacing w:after="0"/>
              <w:rPr>
                <w:b/>
                <w:sz w:val="20"/>
                <w:szCs w:val="20"/>
              </w:rPr>
              <w:suppressLineNumbers w:val="0"/>
            </w:pPr>
            <w:r>
              <w:rPr>
                <w:b/>
                <w:sz w:val="20"/>
                <w:szCs w:val="20"/>
              </w:rPr>
              <w:t xml:space="preserve">Наименование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05"/>
              <w:ind w:left="-57" w:right="-57"/>
              <w:rPr>
                <w:b/>
                <w:bCs/>
                <w:sz w:val="20"/>
                <w:szCs w:val="20"/>
              </w:rPr>
              <w:suppressLineNumbers w:val="0"/>
            </w:pPr>
            <w:r>
              <w:rPr>
                <w:b/>
                <w:bCs/>
                <w:sz w:val="20"/>
                <w:szCs w:val="20"/>
              </w:rPr>
              <w:t xml:space="preserve">Характеристика и ее значение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05"/>
              <w:ind w:left="-57" w:right="-57"/>
              <w:jc w:val="center"/>
              <w:spacing w:after="0"/>
              <w:rPr>
                <w:b/>
                <w:bCs/>
                <w:sz w:val="20"/>
                <w:szCs w:val="20"/>
              </w:rPr>
              <w:suppressLineNumbers w:val="0"/>
            </w:pPr>
            <w:r>
              <w:rPr>
                <w:b/>
                <w:sz w:val="20"/>
                <w:szCs w:val="20"/>
              </w:rPr>
              <w:t xml:space="preserve">Цена Договора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905"/>
              <w:ind w:left="-57" w:right="-57"/>
              <w:jc w:val="center"/>
              <w:spacing w:after="0"/>
              <w:rPr>
                <w:b/>
                <w:bCs/>
                <w:sz w:val="20"/>
                <w:szCs w:val="20"/>
              </w:rPr>
              <w:suppressLineNumbers w:val="0"/>
            </w:pPr>
            <w:r>
              <w:rPr>
                <w:b/>
                <w:sz w:val="20"/>
                <w:szCs w:val="20"/>
              </w:rPr>
              <w:t xml:space="preserve">(Лицензионное вознаграждение),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905"/>
              <w:ind w:left="-57" w:right="-57"/>
              <w:jc w:val="center"/>
              <w:spacing w:after="0"/>
              <w:rPr>
                <w:b/>
                <w:sz w:val="20"/>
                <w:szCs w:val="20"/>
              </w:rPr>
              <w:suppressLineNumbers w:val="0"/>
            </w:pPr>
            <w:r>
              <w:rPr>
                <w:b/>
                <w:sz w:val="20"/>
                <w:szCs w:val="20"/>
              </w:rPr>
              <w:t xml:space="preserve">руб. без НДС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905"/>
              <w:ind w:left="-57" w:right="-57"/>
              <w:jc w:val="center"/>
              <w:spacing w:after="0"/>
              <w:rPr>
                <w:b/>
                <w:sz w:val="20"/>
                <w:szCs w:val="20"/>
              </w:rPr>
              <w:suppressLineNumbers w:val="0"/>
            </w:pPr>
            <w:r>
              <w:rPr>
                <w:b/>
                <w:sz w:val="20"/>
                <w:szCs w:val="20"/>
              </w:rPr>
              <w:t xml:space="preserve">Кол-во, шт.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05"/>
              <w:ind w:left="-57" w:right="-57"/>
              <w:jc w:val="center"/>
              <w:spacing w:after="0"/>
              <w:rPr>
                <w:b/>
                <w:sz w:val="20"/>
                <w:szCs w:val="20"/>
              </w:rPr>
              <w:suppressLineNumbers w:val="0"/>
            </w:pPr>
            <w:r>
              <w:rPr>
                <w:b/>
                <w:sz w:val="20"/>
                <w:szCs w:val="20"/>
              </w:rPr>
              <w:t xml:space="preserve">Сумма,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pStyle w:val="905"/>
              <w:ind w:left="-57" w:right="-57"/>
              <w:jc w:val="center"/>
              <w:spacing w:after="0"/>
              <w:rPr>
                <w:b/>
                <w:sz w:val="20"/>
                <w:szCs w:val="20"/>
              </w:rPr>
              <w:suppressLineNumbers w:val="0"/>
            </w:pPr>
            <w:r>
              <w:rPr>
                <w:b/>
                <w:sz w:val="20"/>
                <w:szCs w:val="20"/>
              </w:rPr>
              <w:t xml:space="preserve">руб. без НДС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ind w:left="-57" w:right="-57"/>
              <w:jc w:val="center"/>
              <w:spacing w:after="0"/>
              <w:rPr>
                <w:b/>
                <w:sz w:val="20"/>
                <w:szCs w:val="20"/>
              </w:rPr>
              <w:suppressLineNumbers w:val="0"/>
            </w:pPr>
            <w:r>
              <w:rPr>
                <w:b/>
                <w:sz w:val="20"/>
                <w:szCs w:val="20"/>
              </w:rPr>
              <w:t xml:space="preserve">Примечание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trHeight w:val="945"/>
        </w:trPr>
        <w:tc>
          <w:tcPr>
            <w:tcW w:w="1525" w:type="dxa"/>
            <w:vAlign w:val="center"/>
            <w:textDirection w:val="lrTb"/>
            <w:noWrap w:val="false"/>
          </w:tcPr>
          <w:p>
            <w:pPr>
              <w:ind w:left="-57" w:right="-57"/>
              <w:rPr>
                <w:sz w:val="20"/>
                <w:szCs w:val="20"/>
                <w:highlight w:val="non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  <w:t xml:space="preserve">Права использования </w:t>
            </w:r>
            <w:r>
              <w:rPr>
                <w:sz w:val="20"/>
                <w:szCs w:val="20"/>
                <w:highlight w:val="white"/>
              </w:rPr>
              <w:t xml:space="preserve">Saby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Report</w:t>
            </w:r>
            <w:r>
              <w:rPr>
                <w:sz w:val="20"/>
                <w:szCs w:val="20"/>
                <w:highlight w:val="white"/>
              </w:rPr>
              <w:t xml:space="preserve">, </w:t>
            </w:r>
            <w:r>
              <w:rPr>
                <w:sz w:val="20"/>
                <w:szCs w:val="20"/>
                <w:highlight w:val="white"/>
              </w:rPr>
              <w:t xml:space="preserve">Базовый</w:t>
            </w:r>
            <w:r>
              <w:rPr>
                <w:sz w:val="20"/>
                <w:szCs w:val="20"/>
                <w:highlight w:val="white"/>
              </w:rPr>
              <w:t xml:space="preserve"> ОСНО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Theme="minorHAnsi"/>
                <w:sz w:val="20"/>
                <w:szCs w:val="20"/>
              </w:rPr>
              <w:t xml:space="preserve">1.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ласс программ для электронных вычислительных машин и баз данных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Программное</w:t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обеспечение для</w:t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функционирования системы</w:t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юридически значимого</w:t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электронного</w:t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r>
          </w:p>
          <w:p>
            <w:pPr>
              <w:ind w:left="-57" w:right="-57"/>
              <w:rPr>
                <w:rFonts w:eastAsiaTheme="minorHAnsi"/>
                <w:sz w:val="20"/>
                <w:szCs w:val="20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документооборота</w:t>
            </w:r>
            <w:r>
              <w:rPr>
                <w:rFonts w:eastAsiaTheme="minorHAnsi"/>
                <w:sz w:val="20"/>
                <w:szCs w:val="20"/>
                <w:highlight w:val="none"/>
              </w:rPr>
            </w:r>
            <w:r>
              <w:rPr>
                <w:rFonts w:eastAsiaTheme="minorHAnsi"/>
                <w:sz w:val="20"/>
                <w:szCs w:val="20"/>
                <w:highlight w:val="none"/>
              </w:rPr>
            </w:r>
          </w:p>
          <w:p>
            <w:pPr>
              <w:ind w:left="-57" w:right="-57"/>
              <w:rPr>
                <w:rFonts w:eastAsiaTheme="minorHAnsi"/>
                <w:sz w:val="20"/>
                <w:szCs w:val="20"/>
              </w:rPr>
              <w:suppressLineNumbers w:val="0"/>
            </w:pPr>
            <w:r>
              <w:rPr>
                <w:rFonts w:eastAsiaTheme="minorHAnsi"/>
                <w:sz w:val="20"/>
                <w:szCs w:val="20"/>
              </w:rPr>
            </w:r>
            <w:r>
              <w:rPr>
                <w:rFonts w:eastAsiaTheme="minorHAnsi"/>
                <w:sz w:val="20"/>
                <w:szCs w:val="20"/>
              </w:rPr>
            </w:r>
            <w:r>
              <w:rPr>
                <w:rFonts w:eastAsiaTheme="minorHAnsi"/>
                <w:sz w:val="20"/>
                <w:szCs w:val="20"/>
              </w:rPr>
            </w:r>
          </w:p>
          <w:p>
            <w:pPr>
              <w:ind w:left="-57" w:right="-57"/>
              <w:rPr>
                <w:rFonts w:eastAsiaTheme="minorHAnsi"/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  <w:highlight w:val="none"/>
              </w:rPr>
              <w:t xml:space="preserve">2.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Способ предоставления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Копия электронного экземпляра</w:t>
            </w:r>
            <w:r>
              <w:rPr>
                <w:rFonts w:eastAsiaTheme="minorHAnsi"/>
                <w:sz w:val="20"/>
                <w:szCs w:val="20"/>
              </w:rPr>
            </w:r>
            <w:r>
              <w:rPr>
                <w:rFonts w:eastAsiaTheme="minorHAnsi"/>
                <w:sz w:val="20"/>
                <w:szCs w:val="20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Theme="minorHAnsi"/>
                <w:sz w:val="20"/>
                <w:szCs w:val="20"/>
              </w:rPr>
              <w:suppressLineNumbers w:val="0"/>
            </w:pPr>
            <w:r>
              <w:rPr>
                <w:rFonts w:eastAsiaTheme="minorHAnsi"/>
                <w:sz w:val="20"/>
                <w:szCs w:val="20"/>
              </w:rPr>
              <w:t xml:space="preserve">9000,00</w:t>
            </w:r>
            <w:r>
              <w:rPr>
                <w:rFonts w:eastAsiaTheme="minorHAnsi"/>
                <w:sz w:val="20"/>
                <w:szCs w:val="20"/>
              </w:rPr>
            </w:r>
            <w:r>
              <w:rPr>
                <w:rFonts w:eastAsiaTheme="minorHAnsi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Theme="minorHAnsi"/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rFonts w:eastAsiaTheme="minorHAnsi"/>
                <w:sz w:val="20"/>
                <w:szCs w:val="20"/>
              </w:rPr>
            </w:r>
            <w:r>
              <w:rPr>
                <w:rFonts w:eastAsiaTheme="minorHAnsi"/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rFonts w:eastAsiaTheme="minorHAnsi"/>
                <w:sz w:val="20"/>
                <w:szCs w:val="20"/>
                <w:highlight w:val="white"/>
              </w:rPr>
              <w:suppressLineNumbers w:val="0"/>
            </w:pPr>
            <w:r>
              <w:rPr>
                <w:rFonts w:eastAsiaTheme="minorHAnsi"/>
                <w:sz w:val="20"/>
                <w:szCs w:val="20"/>
                <w:highlight w:val="none"/>
              </w:rPr>
              <w:t xml:space="preserve">9000,00</w:t>
            </w:r>
            <w:r>
              <w:rPr>
                <w:rFonts w:eastAsiaTheme="minorHAnsi"/>
                <w:sz w:val="20"/>
                <w:szCs w:val="20"/>
                <w:highlight w:val="white"/>
              </w:rPr>
            </w:r>
            <w:r>
              <w:rPr>
                <w:rFonts w:eastAsiaTheme="minorHAnsi"/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  <w:t xml:space="preserve">- Сдача отчетности в 1 ФНС, 1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  <w:t xml:space="preserve">СФР (ПФ, ФСС), 1 РОССТАТ по 1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  <w:t xml:space="preserve">компании (один ИНН/КПП).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  <w:t xml:space="preserve">- Сверка расчетов с бюджетом.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  <w:t xml:space="preserve">- Уведомления о требованиях,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  <w:t xml:space="preserve">письмах</w:t>
            </w:r>
            <w:r>
              <w:rPr>
                <w:sz w:val="20"/>
                <w:szCs w:val="20"/>
                <w:highlight w:val="white"/>
              </w:rPr>
              <w:t xml:space="preserve"> от госорганов, результатах </w:t>
            </w:r>
            <w:r>
              <w:rPr>
                <w:sz w:val="20"/>
                <w:szCs w:val="20"/>
                <w:highlight w:val="white"/>
              </w:rPr>
              <w:t xml:space="preserve">сдачи отчетности.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  <w:t xml:space="preserve">- 25 исходящих документов в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  <w:t xml:space="preserve">контрагентам в </w:t>
            </w:r>
            <w:r>
              <w:rPr>
                <w:sz w:val="20"/>
                <w:szCs w:val="20"/>
                <w:highlight w:val="white"/>
              </w:rPr>
              <w:t xml:space="preserve">Saby</w:t>
            </w:r>
            <w:r>
              <w:rPr>
                <w:sz w:val="20"/>
                <w:szCs w:val="20"/>
                <w:highlight w:val="white"/>
              </w:rPr>
              <w:t xml:space="preserve">.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-57" w:right="-57"/>
              <w:rPr>
                <w:sz w:val="20"/>
                <w:szCs w:val="20"/>
                <w:highlight w:val="white"/>
              </w:rPr>
              <w:suppressLineNumbers w:val="0"/>
            </w:pPr>
            <w:r>
              <w:rPr>
                <w:sz w:val="20"/>
                <w:szCs w:val="20"/>
                <w:highlight w:val="white"/>
              </w:rPr>
              <w:t xml:space="preserve">- Срок действия 1 год, с момента </w:t>
            </w:r>
            <w:r>
              <w:rPr>
                <w:sz w:val="20"/>
                <w:szCs w:val="20"/>
                <w:highlight w:val="white"/>
              </w:rPr>
              <w:t xml:space="preserve">передачи прав.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ind w:left="-57" w:right="-57"/>
        <w:rPr>
          <w:sz w:val="20"/>
          <w:szCs w:val="20"/>
          <w:highlight w:val="none"/>
        </w:rPr>
        <w:suppressLineNumbers w:val="0"/>
      </w:pPr>
      <w:r>
        <w:rPr>
          <w:sz w:val="20"/>
          <w:szCs w:val="20"/>
          <w:highlight w:val="none"/>
        </w:rPr>
        <w:t xml:space="preserve">КТРУ -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  <w:t xml:space="preserve">58.29.11.000-0000003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Срок действия </w:t>
      </w:r>
      <w:r>
        <w:rPr>
          <w:sz w:val="28"/>
          <w:szCs w:val="28"/>
          <w:highlight w:val="white"/>
        </w:rPr>
        <w:t xml:space="preserve">Прав использования </w:t>
      </w:r>
      <w:r>
        <w:rPr>
          <w:sz w:val="28"/>
          <w:szCs w:val="28"/>
          <w:highlight w:val="white"/>
        </w:rPr>
        <w:t xml:space="preserve">Saby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Report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Базовый</w:t>
      </w:r>
      <w:r>
        <w:rPr>
          <w:sz w:val="28"/>
          <w:szCs w:val="28"/>
          <w:highlight w:val="white"/>
        </w:rPr>
        <w:t xml:space="preserve"> ОСНО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25.11.2026 по 24.11.2027.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4677"/>
      </w:tblGrid>
      <w:tr>
        <w:tblPrEx/>
        <w:trPr>
          <w:trHeight w:val="265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ind w:left="72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Лицензиат:   </w:t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/ФИО/</w:t>
            </w:r>
            <w:r>
              <w:rPr>
                <w:sz w:val="28"/>
                <w:szCs w:val="28"/>
              </w:rPr>
            </w:r>
          </w:p>
          <w:p>
            <w:pPr>
              <w:ind w:left="72"/>
              <w:jc w:val="both"/>
              <w:widowControl w:val="off"/>
              <w:tabs>
                <w:tab w:val="left" w:pos="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М.П.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77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Сублицензиат:  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</w:t>
            </w:r>
            <w:r>
              <w:rPr>
                <w:sz w:val="28"/>
                <w:szCs w:val="28"/>
              </w:rPr>
              <w:t xml:space="preserve">Росреестра</w:t>
            </w:r>
            <w:r>
              <w:rPr>
                <w:sz w:val="28"/>
                <w:szCs w:val="28"/>
              </w:rPr>
              <w:t xml:space="preserve"> по Архангельской области и Ненецкому автономному округу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540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540" w:hanging="468"/>
              <w:jc w:val="both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 /ФИО/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tabs>
                <w:tab w:val="left" w:pos="1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М.П.</w:t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tbl>
      <w:tblPr>
        <w:tblStyle w:val="760"/>
        <w:tblW w:w="0" w:type="auto"/>
        <w:tblLayout w:type="fixed"/>
        <w:tblLook w:val="04A0" w:firstRow="1" w:lastRow="0" w:firstColumn="1" w:lastColumn="0" w:noHBand="0" w:noVBand="1"/>
      </w:tblPr>
      <w:tblGrid>
        <w:gridCol w:w="5154"/>
        <w:gridCol w:w="439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54" w:type="dxa"/>
            <w:textDirection w:val="lrTb"/>
            <w:noWrap w:val="false"/>
          </w:tcPr>
          <w:p>
            <w:pPr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                                                                           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94" w:type="dxa"/>
            <w:textDirection w:val="lrTb"/>
            <w:noWrap w:val="false"/>
          </w:tcPr>
          <w:p>
            <w:pPr>
              <w:jc w:val="center"/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№ 2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 xml:space="preserve">Сублицензионному</w:t>
            </w:r>
            <w:r>
              <w:rPr>
                <w:sz w:val="28"/>
                <w:szCs w:val="28"/>
              </w:rPr>
              <w:t xml:space="preserve"> договору </w:t>
            </w:r>
            <w:r>
              <w:rPr>
                <w:sz w:val="28"/>
                <w:szCs w:val="28"/>
              </w:rPr>
              <w:br/>
              <w:t xml:space="preserve">от ___________2026 г. №______</w:t>
            </w:r>
            <w:r>
              <w:rPr>
                <w:sz w:val="28"/>
                <w:szCs w:val="28"/>
              </w:rPr>
            </w:r>
          </w:p>
          <w:p>
            <w:pPr>
              <w:tabs>
                <w:tab w:val="left" w:pos="3629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Соглашение о признании электронных документов с электронной подписью юридически </w:t>
      </w:r>
      <w:r>
        <w:rPr>
          <w:sz w:val="28"/>
          <w:szCs w:val="28"/>
        </w:rPr>
        <w:t xml:space="preserve">значимыми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Федеральной службы государственной регистрации, кадастра и картографии по Архангельской области и Ненецкому автономному округу, в лице ________________, </w:t>
      </w:r>
      <w:r>
        <w:rPr>
          <w:spacing w:val="-4"/>
          <w:sz w:val="28"/>
          <w:szCs w:val="28"/>
          <w:lang w:eastAsia="ar-SA"/>
        </w:rPr>
        <w:t xml:space="preserve">действующе</w:t>
      </w:r>
      <w:r>
        <w:rPr>
          <w:spacing w:val="-4"/>
          <w:sz w:val="28"/>
          <w:szCs w:val="28"/>
          <w:lang w:eastAsia="ar-SA"/>
        </w:rPr>
        <w:t xml:space="preserve">__ на основании _____________</w:t>
      </w:r>
      <w:r>
        <w:rPr>
          <w:sz w:val="28"/>
          <w:szCs w:val="28"/>
        </w:rPr>
        <w:t xml:space="preserve">, с одной стороны, и _______________, в лице _____________, </w:t>
      </w:r>
      <w:r>
        <w:rPr>
          <w:sz w:val="28"/>
          <w:szCs w:val="28"/>
        </w:rPr>
        <w:t xml:space="preserve">действующе</w:t>
      </w:r>
      <w:r>
        <w:rPr>
          <w:sz w:val="28"/>
          <w:szCs w:val="28"/>
        </w:rPr>
        <w:t xml:space="preserve">__ на основании ________, с другой стороны, совместно именуемые Стороны, заключили настоящее Соглашение о нижеследующем:</w:t>
      </w:r>
      <w:r>
        <w:rPr>
          <w:sz w:val="28"/>
          <w:szCs w:val="28"/>
        </w:rPr>
      </w:r>
    </w:p>
    <w:p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Электронная подпись, выданная удостоверяющим центром, аккредитованным </w:t>
      </w:r>
      <w:r>
        <w:rPr>
          <w:sz w:val="28"/>
          <w:szCs w:val="28"/>
        </w:rPr>
        <w:t xml:space="preserve">Минкомсвязи</w:t>
      </w:r>
      <w:r>
        <w:rPr>
          <w:sz w:val="28"/>
          <w:szCs w:val="28"/>
        </w:rPr>
        <w:t xml:space="preserve"> России, может использоваться для обмена электронными документами между Сторонами. </w:t>
      </w:r>
      <w:r>
        <w:rPr>
          <w:sz w:val="28"/>
          <w:szCs w:val="28"/>
        </w:rPr>
      </w:r>
    </w:p>
    <w:p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Электронная подпись документов, выполненная с помощью закрытого ключа, </w:t>
      </w:r>
      <w:r>
        <w:rPr>
          <w:sz w:val="28"/>
          <w:szCs w:val="28"/>
        </w:rPr>
        <w:t xml:space="preserve">признается равнозначной собственноручной подписи и порождает</w:t>
      </w:r>
      <w:r>
        <w:rPr>
          <w:sz w:val="28"/>
          <w:szCs w:val="28"/>
        </w:rPr>
        <w:t xml:space="preserve"> для подписанта юридические последствия в виде установления, изменения и прекращения прав и обязанностей при одновременном соблюдении следующих условий:</w:t>
      </w:r>
      <w:r>
        <w:rPr>
          <w:sz w:val="28"/>
          <w:szCs w:val="28"/>
        </w:rPr>
      </w:r>
    </w:p>
    <w:p>
      <w:pPr>
        <w:numPr>
          <w:ilvl w:val="2"/>
          <w:numId w:val="10"/>
        </w:numPr>
        <w:ind w:left="567" w:hanging="141"/>
        <w:jc w:val="both"/>
        <w:tabs>
          <w:tab w:val="num" w:pos="284" w:leader="none"/>
          <w:tab w:val="clear" w:pos="122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электронная подпись используется с учетом ограничений, содержащихся в квалифицированном </w:t>
      </w:r>
      <w:r>
        <w:rPr>
          <w:spacing w:val="-20"/>
          <w:sz w:val="28"/>
          <w:szCs w:val="28"/>
        </w:rPr>
        <w:t xml:space="preserve">сертификате</w:t>
      </w:r>
      <w:r>
        <w:rPr>
          <w:sz w:val="28"/>
          <w:szCs w:val="28"/>
        </w:rPr>
        <w:t xml:space="preserve"> лица, подписывающего электронный документ (если такие ограничения установлены);</w:t>
      </w:r>
      <w:r>
        <w:rPr>
          <w:sz w:val="28"/>
          <w:szCs w:val="28"/>
        </w:rPr>
      </w:r>
    </w:p>
    <w:p>
      <w:pPr>
        <w:numPr>
          <w:ilvl w:val="2"/>
          <w:numId w:val="10"/>
        </w:numPr>
        <w:ind w:left="567" w:hanging="141"/>
        <w:jc w:val="both"/>
        <w:tabs>
          <w:tab w:val="num" w:pos="284" w:leader="none"/>
          <w:tab w:val="clear" w:pos="122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сертификат в момент подписания документа </w:t>
      </w:r>
      <w:r>
        <w:rPr>
          <w:sz w:val="28"/>
          <w:szCs w:val="28"/>
        </w:rPr>
        <w:t xml:space="preserve">был действительным и не был</w:t>
      </w:r>
      <w:r>
        <w:rPr>
          <w:sz w:val="28"/>
          <w:szCs w:val="28"/>
        </w:rPr>
        <w:t xml:space="preserve"> отозван.</w:t>
      </w:r>
      <w:r>
        <w:rPr>
          <w:sz w:val="28"/>
          <w:szCs w:val="28"/>
        </w:rPr>
      </w:r>
    </w:p>
    <w:p>
      <w:pPr>
        <w:ind w:firstLine="426"/>
        <w:jc w:val="both"/>
        <w:rPr>
          <w:spacing w:val="-11"/>
          <w:sz w:val="28"/>
          <w:szCs w:val="28"/>
        </w:rPr>
      </w:pPr>
      <w:r>
        <w:rPr>
          <w:spacing w:val="-11"/>
          <w:sz w:val="28"/>
          <w:szCs w:val="28"/>
        </w:rPr>
        <w:t xml:space="preserve">При соблюдении условий, приведенных выше, электронный документ, содержание которого соответст</w:t>
      </w:r>
      <w:r>
        <w:rPr>
          <w:spacing w:val="-11"/>
          <w:sz w:val="28"/>
          <w:szCs w:val="28"/>
        </w:rPr>
        <w:t xml:space="preserve">вует требованиям нормативных правовых актов, может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  <w:r>
        <w:rPr>
          <w:spacing w:val="-11"/>
          <w:sz w:val="28"/>
          <w:szCs w:val="28"/>
        </w:rPr>
      </w:r>
    </w:p>
    <w:p>
      <w:pPr>
        <w:ind w:firstLine="426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 xml:space="preserve">Наличие </w:t>
      </w:r>
      <w:r>
        <w:rPr>
          <w:sz w:val="28"/>
          <w:szCs w:val="28"/>
        </w:rPr>
        <w:t xml:space="preserve">данного соглашения не отменяет использование иных способов изготовления и обмена документами между Сторонами.</w:t>
      </w:r>
      <w:r>
        <w:rPr>
          <w:sz w:val="28"/>
          <w:szCs w:val="28"/>
        </w:rPr>
      </w:r>
    </w:p>
    <w:p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Соглашение вступает в законную силу с момента подписания его Сторонами.</w:t>
      </w:r>
      <w:r>
        <w:rPr>
          <w:sz w:val="28"/>
          <w:szCs w:val="28"/>
        </w:rPr>
      </w:r>
    </w:p>
    <w:p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Соглашение составлено в двух идентичных экземплярах.</w:t>
      </w:r>
      <w:r>
        <w:rPr>
          <w:sz w:val="28"/>
          <w:szCs w:val="28"/>
        </w:rPr>
      </w:r>
    </w:p>
    <w:p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125" w:type="dxa"/>
        <w:tblInd w:w="197" w:type="dxa"/>
        <w:tblLayout w:type="fixed"/>
        <w:tblLook w:val="0000" w:firstRow="0" w:lastRow="0" w:firstColumn="0" w:lastColumn="0" w:noHBand="0" w:noVBand="0"/>
      </w:tblPr>
      <w:tblGrid>
        <w:gridCol w:w="4589"/>
        <w:gridCol w:w="4536"/>
      </w:tblGrid>
      <w:tr>
        <w:tblPrEx/>
        <w:trPr>
          <w:trHeight w:val="1783"/>
        </w:trPr>
        <w:tc>
          <w:tcPr>
            <w:tcW w:w="4589" w:type="dxa"/>
            <w:textDirection w:val="lrTb"/>
            <w:noWrap w:val="false"/>
          </w:tcPr>
          <w:p>
            <w:pPr>
              <w:ind w:left="-53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Лицензиат:</w:t>
            </w:r>
            <w:r>
              <w:rPr>
                <w:sz w:val="28"/>
                <w:szCs w:val="28"/>
              </w:rPr>
            </w:r>
          </w:p>
          <w:p>
            <w:pPr>
              <w:ind w:left="-53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337"/>
              <w:spacing w:line="10" w:lineRule="atLeast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337"/>
              <w:spacing w:line="10" w:lineRule="atLeast"/>
              <w:widowControl w:val="off"/>
              <w:tabs>
                <w:tab w:val="left" w:pos="-19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337"/>
              <w:spacing w:line="10" w:lineRule="atLeast"/>
              <w:widowControl w:val="off"/>
              <w:tabs>
                <w:tab w:val="left" w:pos="-19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337"/>
              <w:spacing w:line="10" w:lineRule="atLeast"/>
              <w:widowControl w:val="off"/>
              <w:tabs>
                <w:tab w:val="left" w:pos="-19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________________/ФИО/</w:t>
            </w:r>
            <w:r>
              <w:rPr>
                <w:sz w:val="28"/>
                <w:szCs w:val="28"/>
              </w:rPr>
            </w:r>
          </w:p>
          <w:p>
            <w:pPr>
              <w:ind w:left="-53"/>
              <w:jc w:val="both"/>
              <w:spacing w:line="10" w:lineRule="atLeast"/>
              <w:widowControl w:val="off"/>
              <w:tabs>
                <w:tab w:val="left" w:pos="-19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М.П.</w:t>
            </w: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Сублицензиат:  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pacing w:line="10" w:lineRule="atLeast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</w:t>
            </w:r>
            <w:r>
              <w:rPr>
                <w:sz w:val="28"/>
                <w:szCs w:val="28"/>
              </w:rPr>
              <w:t xml:space="preserve">Рооеестра</w:t>
            </w:r>
            <w:r>
              <w:rPr>
                <w:sz w:val="28"/>
                <w:szCs w:val="28"/>
              </w:rPr>
              <w:t xml:space="preserve"> по Архангельской области и Ненецкому автономному округу</w:t>
            </w:r>
            <w:r>
              <w:rPr>
                <w:sz w:val="28"/>
                <w:szCs w:val="28"/>
              </w:rPr>
            </w:r>
          </w:p>
          <w:p>
            <w:pPr>
              <w:ind w:left="540"/>
              <w:jc w:val="both"/>
              <w:spacing w:line="10" w:lineRule="atLeast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540" w:hanging="468"/>
              <w:jc w:val="both"/>
              <w:spacing w:line="10" w:lineRule="atLeast"/>
              <w:widowControl w:val="off"/>
              <w:tabs>
                <w:tab w:val="left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________________/ФИО/</w:t>
            </w:r>
            <w:r>
              <w:rPr>
                <w:sz w:val="28"/>
                <w:szCs w:val="28"/>
              </w:rPr>
            </w:r>
          </w:p>
          <w:p>
            <w:pPr>
              <w:ind w:left="540" w:hanging="468"/>
              <w:jc w:val="both"/>
              <w:spacing w:line="10" w:lineRule="atLeast"/>
              <w:widowControl w:val="off"/>
              <w:tabs>
                <w:tab w:val="left" w:pos="1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М.П.</w:t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both"/>
        <w:rPr>
          <w:sz w:val="2"/>
          <w:szCs w:val="2"/>
        </w:rPr>
      </w:pPr>
      <w:r>
        <w:rPr>
          <w:sz w:val="2"/>
          <w:szCs w:val="2"/>
          <w:lang w:val="en-US"/>
        </w:rPr>
        <w:t xml:space="preserve">5-6</w:t>
      </w:r>
      <w:r>
        <w:rPr>
          <w:sz w:val="2"/>
          <w:szCs w:val="2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1134" w:right="907" w:bottom="1134" w:left="1701" w:header="284" w:footer="28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Verdana">
    <w:panose1 w:val="020B0604030504040204"/>
  </w:font>
  <w:font w:name="Wingdings">
    <w:panose1 w:val="05010000000000000000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Courier New">
    <w:panose1 w:val="020704090202050204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618037"/>
      <w:docPartObj>
        <w:docPartGallery w:val="Page Numbers (Bottom of Page)"/>
        <w:docPartUnique w:val="true"/>
      </w:docPartObj>
      <w:rPr/>
    </w:sdtPr>
    <w:sdtContent>
      <w:p>
        <w:pPr>
          <w:pStyle w:val="90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907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rPr>
        <w:rStyle w:val="909"/>
      </w:rPr>
      <w:framePr w:wrap="around" w:vAnchor="text" w:hAnchor="margin" w:xAlign="right" w:y="1"/>
    </w:pPr>
    <w:r>
      <w:rPr>
        <w:rStyle w:val="909"/>
      </w:rPr>
      <w:fldChar w:fldCharType="begin"/>
    </w:r>
    <w:r>
      <w:rPr>
        <w:rStyle w:val="909"/>
      </w:rPr>
      <w:instrText xml:space="preserve">PAGE  </w:instrText>
    </w:r>
    <w:r>
      <w:rPr>
        <w:rStyle w:val="909"/>
      </w:rPr>
      <w:fldChar w:fldCharType="end"/>
    </w:r>
    <w:r>
      <w:rPr>
        <w:rStyle w:val="909"/>
      </w:rPr>
    </w:r>
  </w:p>
  <w:p>
    <w:pPr>
      <w:pStyle w:val="907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-"/>
      <w:lvlJc w:val="left"/>
      <w:pPr>
        <w:ind w:left="792" w:hanging="792"/>
        <w:tabs>
          <w:tab w:val="num" w:pos="792" w:leader="none"/>
        </w:tabs>
      </w:pPr>
      <w:rPr>
        <w:rFonts w:hint="default" w:ascii="Times New Roman" w:hAnsi="Times New Roman" w:cs="Times New Roman"/>
      </w:rPr>
    </w:lvl>
    <w:lvl w:ilvl="2">
      <w:start w:val="1"/>
      <w:numFmt w:val="bullet"/>
      <w:isLgl w:val="false"/>
      <w:suff w:val="tab"/>
      <w:lvlText w:val="-"/>
      <w:lvlJc w:val="left"/>
      <w:pPr>
        <w:ind w:left="1224" w:hanging="504"/>
        <w:tabs>
          <w:tab w:val="num" w:pos="1224" w:leader="none"/>
        </w:tabs>
      </w:pPr>
      <w:rPr>
        <w:rFonts w:hint="default" w:ascii="Times New Roman" w:hAnsi="Times New Roman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-"/>
      <w:lvlJc w:val="left"/>
      <w:pPr>
        <w:ind w:left="792" w:hanging="792"/>
        <w:tabs>
          <w:tab w:val="num" w:pos="792" w:leader="none"/>
        </w:tabs>
      </w:pPr>
      <w:rPr>
        <w:rFonts w:hint="default" w:ascii="Times New Roman" w:hAnsi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06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34" w:hanging="792"/>
        <w:tabs>
          <w:tab w:val="num" w:pos="93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34" w:hanging="792"/>
        <w:tabs>
          <w:tab w:val="num" w:pos="93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34" w:hanging="792"/>
        <w:tabs>
          <w:tab w:val="num" w:pos="93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34" w:hanging="792"/>
        <w:tabs>
          <w:tab w:val="num" w:pos="93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8" w:hanging="360"/>
        <w:tabs>
          <w:tab w:val="num" w:pos="1068" w:leader="none"/>
        </w:tabs>
      </w:pPr>
      <w:rPr>
        <w:rFonts w:hint="default" w:ascii="Verdana" w:hAnsi="Verdana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  <w:tabs>
          <w:tab w:val="num" w:pos="2148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  <w:tabs>
          <w:tab w:val="num" w:pos="2868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  <w:tabs>
          <w:tab w:val="num" w:pos="3588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  <w:tabs>
          <w:tab w:val="num" w:pos="4308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  <w:tabs>
          <w:tab w:val="num" w:pos="5028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  <w:tabs>
          <w:tab w:val="num" w:pos="5748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  <w:tabs>
          <w:tab w:val="num" w:pos="6468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  <w:tabs>
          <w:tab w:val="num" w:pos="7188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34" w:hanging="792"/>
        <w:tabs>
          <w:tab w:val="num" w:pos="93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5"/>
  </w:num>
  <w:num w:numId="5">
    <w:abstractNumId w:val="11"/>
  </w:num>
  <w:num w:numId="6">
    <w:abstractNumId w:val="3"/>
  </w:num>
  <w:num w:numId="7">
    <w:abstractNumId w:val="2"/>
  </w:num>
  <w:num w:numId="8">
    <w:abstractNumId w:val="1"/>
  </w:num>
  <w:num w:numId="9">
    <w:abstractNumId w:val="12"/>
  </w:num>
  <w:num w:numId="10">
    <w:abstractNumId w:val="0"/>
  </w:num>
  <w:num w:numId="11">
    <w:abstractNumId w:val="9"/>
  </w:num>
  <w:num w:numId="12">
    <w:abstractNumId w:val="8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Title Char"/>
    <w:basedOn w:val="722"/>
    <w:link w:val="748"/>
    <w:uiPriority w:val="10"/>
    <w:rPr>
      <w:sz w:val="48"/>
      <w:szCs w:val="48"/>
    </w:rPr>
  </w:style>
  <w:style w:type="character" w:styleId="726" w:customStyle="1">
    <w:name w:val="Subtitle Char"/>
    <w:basedOn w:val="722"/>
    <w:link w:val="750"/>
    <w:uiPriority w:val="11"/>
    <w:rPr>
      <w:sz w:val="24"/>
      <w:szCs w:val="24"/>
    </w:rPr>
  </w:style>
  <w:style w:type="character" w:styleId="727" w:customStyle="1">
    <w:name w:val="Quote Char"/>
    <w:link w:val="752"/>
    <w:uiPriority w:val="29"/>
    <w:rPr>
      <w:i/>
    </w:rPr>
  </w:style>
  <w:style w:type="character" w:styleId="728" w:customStyle="1">
    <w:name w:val="Intense Quote Char"/>
    <w:link w:val="754"/>
    <w:uiPriority w:val="30"/>
    <w:rPr>
      <w:i/>
    </w:rPr>
  </w:style>
  <w:style w:type="character" w:styleId="729" w:customStyle="1">
    <w:name w:val="Footnote Text Char"/>
    <w:link w:val="886"/>
    <w:uiPriority w:val="99"/>
    <w:rPr>
      <w:sz w:val="18"/>
    </w:rPr>
  </w:style>
  <w:style w:type="character" w:styleId="730" w:customStyle="1">
    <w:name w:val="Endnote Text Char"/>
    <w:link w:val="889"/>
    <w:uiPriority w:val="99"/>
    <w:rPr>
      <w:sz w:val="20"/>
    </w:rPr>
  </w:style>
  <w:style w:type="paragraph" w:styleId="731" w:customStyle="1">
    <w:name w:val="Heading 1"/>
    <w:basedOn w:val="721"/>
    <w:next w:val="721"/>
    <w:link w:val="73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1 Char"/>
    <w:basedOn w:val="722"/>
    <w:link w:val="731"/>
    <w:uiPriority w:val="9"/>
    <w:rPr>
      <w:rFonts w:ascii="Arial" w:hAnsi="Arial" w:eastAsia="Arial" w:cs="Arial"/>
      <w:sz w:val="40"/>
      <w:szCs w:val="40"/>
    </w:rPr>
  </w:style>
  <w:style w:type="character" w:styleId="733" w:customStyle="1">
    <w:name w:val="Heading 2 Char"/>
    <w:basedOn w:val="722"/>
    <w:link w:val="903"/>
    <w:uiPriority w:val="9"/>
    <w:rPr>
      <w:rFonts w:ascii="Arial" w:hAnsi="Arial" w:eastAsia="Arial" w:cs="Arial"/>
      <w:sz w:val="34"/>
    </w:rPr>
  </w:style>
  <w:style w:type="paragraph" w:styleId="734" w:customStyle="1">
    <w:name w:val="Heading 3"/>
    <w:basedOn w:val="721"/>
    <w:next w:val="721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5" w:customStyle="1">
    <w:name w:val="Heading 3 Char"/>
    <w:basedOn w:val="722"/>
    <w:link w:val="734"/>
    <w:uiPriority w:val="9"/>
    <w:rPr>
      <w:rFonts w:ascii="Arial" w:hAnsi="Arial" w:eastAsia="Arial" w:cs="Arial"/>
      <w:sz w:val="30"/>
      <w:szCs w:val="30"/>
    </w:rPr>
  </w:style>
  <w:style w:type="paragraph" w:styleId="736" w:customStyle="1">
    <w:name w:val="Heading 4"/>
    <w:basedOn w:val="721"/>
    <w:next w:val="721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Heading 4 Char"/>
    <w:basedOn w:val="722"/>
    <w:link w:val="736"/>
    <w:uiPriority w:val="9"/>
    <w:rPr>
      <w:rFonts w:ascii="Arial" w:hAnsi="Arial" w:eastAsia="Arial" w:cs="Arial"/>
      <w:b/>
      <w:bCs/>
      <w:sz w:val="26"/>
      <w:szCs w:val="26"/>
    </w:rPr>
  </w:style>
  <w:style w:type="paragraph" w:styleId="738" w:customStyle="1">
    <w:name w:val="Heading 5"/>
    <w:basedOn w:val="721"/>
    <w:next w:val="721"/>
    <w:link w:val="73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character" w:styleId="739" w:customStyle="1">
    <w:name w:val="Heading 5 Char"/>
    <w:basedOn w:val="722"/>
    <w:link w:val="738"/>
    <w:uiPriority w:val="9"/>
    <w:rPr>
      <w:rFonts w:ascii="Arial" w:hAnsi="Arial" w:eastAsia="Arial" w:cs="Arial"/>
      <w:b/>
      <w:bCs/>
      <w:sz w:val="24"/>
      <w:szCs w:val="24"/>
    </w:rPr>
  </w:style>
  <w:style w:type="paragraph" w:styleId="740" w:customStyle="1">
    <w:name w:val="Heading 6"/>
    <w:basedOn w:val="721"/>
    <w:next w:val="721"/>
    <w:link w:val="74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1" w:customStyle="1">
    <w:name w:val="Heading 6 Char"/>
    <w:basedOn w:val="722"/>
    <w:link w:val="740"/>
    <w:uiPriority w:val="9"/>
    <w:rPr>
      <w:rFonts w:ascii="Arial" w:hAnsi="Arial" w:eastAsia="Arial" w:cs="Arial"/>
      <w:b/>
      <w:bCs/>
      <w:sz w:val="22"/>
      <w:szCs w:val="22"/>
    </w:rPr>
  </w:style>
  <w:style w:type="paragraph" w:styleId="742" w:customStyle="1">
    <w:name w:val="Heading 7"/>
    <w:basedOn w:val="721"/>
    <w:next w:val="721"/>
    <w:link w:val="74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3" w:customStyle="1">
    <w:name w:val="Heading 7 Char"/>
    <w:basedOn w:val="722"/>
    <w:link w:val="74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4" w:customStyle="1">
    <w:name w:val="Heading 8"/>
    <w:basedOn w:val="721"/>
    <w:next w:val="721"/>
    <w:link w:val="7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5" w:customStyle="1">
    <w:name w:val="Heading 8 Char"/>
    <w:basedOn w:val="722"/>
    <w:link w:val="744"/>
    <w:uiPriority w:val="9"/>
    <w:rPr>
      <w:rFonts w:ascii="Arial" w:hAnsi="Arial" w:eastAsia="Arial" w:cs="Arial"/>
      <w:i/>
      <w:iCs/>
      <w:sz w:val="22"/>
      <w:szCs w:val="22"/>
    </w:rPr>
  </w:style>
  <w:style w:type="paragraph" w:styleId="746" w:customStyle="1">
    <w:name w:val="Heading 9"/>
    <w:basedOn w:val="721"/>
    <w:next w:val="721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7" w:customStyle="1">
    <w:name w:val="Heading 9 Char"/>
    <w:basedOn w:val="722"/>
    <w:link w:val="746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Title"/>
    <w:basedOn w:val="721"/>
    <w:next w:val="721"/>
    <w:link w:val="74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9" w:customStyle="1">
    <w:name w:val="Название Знак"/>
    <w:basedOn w:val="722"/>
    <w:link w:val="748"/>
    <w:uiPriority w:val="10"/>
    <w:rPr>
      <w:sz w:val="48"/>
      <w:szCs w:val="48"/>
    </w:rPr>
  </w:style>
  <w:style w:type="paragraph" w:styleId="750">
    <w:name w:val="Subtitle"/>
    <w:basedOn w:val="721"/>
    <w:next w:val="721"/>
    <w:link w:val="751"/>
    <w:uiPriority w:val="11"/>
    <w:qFormat/>
    <w:pPr>
      <w:spacing w:before="200" w:after="200"/>
    </w:pPr>
  </w:style>
  <w:style w:type="character" w:styleId="751" w:customStyle="1">
    <w:name w:val="Подзаголовок Знак"/>
    <w:basedOn w:val="722"/>
    <w:link w:val="750"/>
    <w:uiPriority w:val="11"/>
    <w:rPr>
      <w:sz w:val="24"/>
      <w:szCs w:val="24"/>
    </w:rPr>
  </w:style>
  <w:style w:type="paragraph" w:styleId="752">
    <w:name w:val="Quote"/>
    <w:basedOn w:val="721"/>
    <w:next w:val="721"/>
    <w:link w:val="753"/>
    <w:uiPriority w:val="29"/>
    <w:qFormat/>
    <w:pPr>
      <w:ind w:left="720" w:right="720"/>
    </w:pPr>
    <w:rPr>
      <w:i/>
    </w:rPr>
  </w:style>
  <w:style w:type="character" w:styleId="753" w:customStyle="1">
    <w:name w:val="Цитата 2 Знак"/>
    <w:link w:val="752"/>
    <w:uiPriority w:val="29"/>
    <w:rPr>
      <w:i/>
    </w:rPr>
  </w:style>
  <w:style w:type="paragraph" w:styleId="754">
    <w:name w:val="Intense Quote"/>
    <w:basedOn w:val="721"/>
    <w:next w:val="721"/>
    <w:link w:val="75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5" w:customStyle="1">
    <w:name w:val="Выделенная цитата Знак"/>
    <w:link w:val="754"/>
    <w:uiPriority w:val="30"/>
    <w:rPr>
      <w:i/>
    </w:rPr>
  </w:style>
  <w:style w:type="character" w:styleId="756" w:customStyle="1">
    <w:name w:val="Header Char"/>
    <w:basedOn w:val="722"/>
    <w:link w:val="913"/>
    <w:uiPriority w:val="99"/>
  </w:style>
  <w:style w:type="character" w:styleId="757" w:customStyle="1">
    <w:name w:val="Footer Char"/>
    <w:basedOn w:val="722"/>
    <w:link w:val="907"/>
    <w:uiPriority w:val="99"/>
  </w:style>
  <w:style w:type="paragraph" w:styleId="758" w:customStyle="1">
    <w:name w:val="Caption"/>
    <w:basedOn w:val="721"/>
    <w:next w:val="721"/>
    <w:link w:val="7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9" w:customStyle="1">
    <w:name w:val="Caption Char"/>
    <w:basedOn w:val="722"/>
    <w:link w:val="758"/>
    <w:uiPriority w:val="35"/>
    <w:rPr>
      <w:b/>
      <w:bCs/>
      <w:color w:val="4f81bd" w:themeColor="accent1"/>
      <w:sz w:val="18"/>
      <w:szCs w:val="18"/>
    </w:rPr>
  </w:style>
  <w:style w:type="table" w:styleId="760">
    <w:name w:val="Table Grid"/>
    <w:basedOn w:val="72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 w:customStyle="1">
    <w:name w:val="Table Grid Light"/>
    <w:basedOn w:val="72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 w:customStyle="1">
    <w:name w:val="Plain Table 1"/>
    <w:basedOn w:val="72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 w:customStyle="1">
    <w:name w:val="Plain Table 2"/>
    <w:basedOn w:val="7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 w:customStyle="1">
    <w:name w:val="Plain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5" w:customStyle="1">
    <w:name w:val="Plain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Plain Table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9" w:customStyle="1">
    <w:name w:val="Grid Table 4 - Accent 1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0" w:customStyle="1">
    <w:name w:val="Grid Table 4 - Accent 2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1" w:customStyle="1">
    <w:name w:val="Grid Table 4 - Accent 3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2" w:customStyle="1">
    <w:name w:val="Grid Table 4 - Accent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3" w:customStyle="1">
    <w:name w:val="Grid Table 4 - Accent 5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4" w:customStyle="1">
    <w:name w:val="Grid Table 4 - Accent 6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5" w:customStyle="1">
    <w:name w:val="Grid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3" w:customStyle="1">
    <w:name w:val="Grid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4" w:customStyle="1">
    <w:name w:val="Grid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5" w:customStyle="1">
    <w:name w:val="Grid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6" w:customStyle="1">
    <w:name w:val="Grid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7" w:customStyle="1">
    <w:name w:val="Grid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8" w:customStyle="1">
    <w:name w:val="Grid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9" w:customStyle="1">
    <w:name w:val="Grid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0" w:customStyle="1">
    <w:name w:val="List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2" w:customStyle="1">
    <w:name w:val="List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3" w:customStyle="1">
    <w:name w:val="List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4" w:customStyle="1">
    <w:name w:val="List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5" w:customStyle="1">
    <w:name w:val="List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6" w:customStyle="1">
    <w:name w:val="List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7" w:customStyle="1">
    <w:name w:val="List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8" w:customStyle="1">
    <w:name w:val="List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7" w:customStyle="1">
    <w:name w:val="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8" w:customStyle="1">
    <w:name w:val="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9" w:customStyle="1">
    <w:name w:val="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0" w:customStyle="1">
    <w:name w:val="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1" w:customStyle="1">
    <w:name w:val="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2" w:customStyle="1">
    <w:name w:val="Bordered &amp; 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3" w:customStyle="1">
    <w:name w:val="Bordered &amp; 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4" w:customStyle="1">
    <w:name w:val="Bordered &amp; 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5" w:customStyle="1">
    <w:name w:val="Bordered &amp; 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6" w:customStyle="1">
    <w:name w:val="Bordered &amp; 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7" w:customStyle="1">
    <w:name w:val="Bordered &amp; 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8" w:customStyle="1">
    <w:name w:val="Bordered &amp; 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9" w:customStyle="1">
    <w:name w:val="Bordered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0" w:customStyle="1">
    <w:name w:val="Bordered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1" w:customStyle="1">
    <w:name w:val="Bordered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2" w:customStyle="1">
    <w:name w:val="Bordered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3" w:customStyle="1">
    <w:name w:val="Bordered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4" w:customStyle="1">
    <w:name w:val="Bordered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5" w:customStyle="1">
    <w:name w:val="Bordered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86">
    <w:name w:val="footnote text"/>
    <w:basedOn w:val="721"/>
    <w:link w:val="887"/>
    <w:uiPriority w:val="99"/>
    <w:semiHidden/>
    <w:unhideWhenUsed/>
    <w:pPr>
      <w:spacing w:after="40"/>
    </w:pPr>
    <w:rPr>
      <w:sz w:val="18"/>
    </w:rPr>
  </w:style>
  <w:style w:type="character" w:styleId="887" w:customStyle="1">
    <w:name w:val="Текст сноски Знак"/>
    <w:link w:val="886"/>
    <w:uiPriority w:val="99"/>
    <w:rPr>
      <w:sz w:val="18"/>
    </w:rPr>
  </w:style>
  <w:style w:type="character" w:styleId="888">
    <w:name w:val="footnote reference"/>
    <w:basedOn w:val="722"/>
    <w:uiPriority w:val="99"/>
    <w:unhideWhenUsed/>
    <w:rPr>
      <w:vertAlign w:val="superscript"/>
    </w:rPr>
  </w:style>
  <w:style w:type="paragraph" w:styleId="889">
    <w:name w:val="endnote text"/>
    <w:basedOn w:val="721"/>
    <w:link w:val="890"/>
    <w:uiPriority w:val="99"/>
    <w:semiHidden/>
    <w:unhideWhenUsed/>
    <w:rPr>
      <w:sz w:val="20"/>
    </w:rPr>
  </w:style>
  <w:style w:type="character" w:styleId="890" w:customStyle="1">
    <w:name w:val="Текст концевой сноски Знак"/>
    <w:link w:val="889"/>
    <w:uiPriority w:val="99"/>
    <w:rPr>
      <w:sz w:val="20"/>
    </w:rPr>
  </w:style>
  <w:style w:type="character" w:styleId="891">
    <w:name w:val="endnote reference"/>
    <w:basedOn w:val="722"/>
    <w:uiPriority w:val="99"/>
    <w:semiHidden/>
    <w:unhideWhenUsed/>
    <w:rPr>
      <w:vertAlign w:val="superscript"/>
    </w:rPr>
  </w:style>
  <w:style w:type="paragraph" w:styleId="892">
    <w:name w:val="toc 1"/>
    <w:basedOn w:val="721"/>
    <w:next w:val="721"/>
    <w:uiPriority w:val="39"/>
    <w:unhideWhenUsed/>
    <w:pPr>
      <w:spacing w:after="57"/>
    </w:pPr>
  </w:style>
  <w:style w:type="paragraph" w:styleId="893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894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895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896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897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898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899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900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901">
    <w:name w:val="TOC Heading"/>
    <w:uiPriority w:val="39"/>
    <w:unhideWhenUsed/>
  </w:style>
  <w:style w:type="paragraph" w:styleId="902">
    <w:name w:val="table of figures"/>
    <w:basedOn w:val="721"/>
    <w:next w:val="721"/>
    <w:uiPriority w:val="99"/>
    <w:unhideWhenUsed/>
  </w:style>
  <w:style w:type="paragraph" w:styleId="903" w:customStyle="1">
    <w:name w:val="Heading 2"/>
    <w:basedOn w:val="721"/>
    <w:next w:val="721"/>
    <w:link w:val="915"/>
    <w:uiPriority w:val="9"/>
    <w:qFormat/>
    <w:pPr>
      <w:jc w:val="center"/>
      <w:keepNext/>
      <w:outlineLvl w:val="1"/>
    </w:pPr>
    <w:rPr>
      <w:b/>
      <w:bCs/>
      <w:sz w:val="18"/>
      <w:szCs w:val="18"/>
    </w:rPr>
  </w:style>
  <w:style w:type="paragraph" w:styleId="904" w:customStyle="1">
    <w:name w:val="Con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5">
    <w:name w:val="Body Text Indent"/>
    <w:basedOn w:val="721"/>
    <w:link w:val="906"/>
    <w:pPr>
      <w:ind w:left="283"/>
      <w:spacing w:after="120"/>
    </w:pPr>
  </w:style>
  <w:style w:type="character" w:styleId="906" w:customStyle="1">
    <w:name w:val="Основной текст с отступом Знак"/>
    <w:basedOn w:val="722"/>
    <w:link w:val="90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7" w:customStyle="1">
    <w:name w:val="Footer"/>
    <w:basedOn w:val="721"/>
    <w:link w:val="908"/>
    <w:uiPriority w:val="99"/>
    <w:pPr>
      <w:tabs>
        <w:tab w:val="center" w:pos="4677" w:leader="none"/>
        <w:tab w:val="right" w:pos="9355" w:leader="none"/>
      </w:tabs>
    </w:pPr>
  </w:style>
  <w:style w:type="character" w:styleId="908" w:customStyle="1">
    <w:name w:val="Нижний колонтитул Знак"/>
    <w:basedOn w:val="722"/>
    <w:link w:val="90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9">
    <w:name w:val="page number"/>
    <w:basedOn w:val="722"/>
  </w:style>
  <w:style w:type="paragraph" w:styleId="910">
    <w:name w:val="Normal (Web)"/>
    <w:basedOn w:val="721"/>
    <w:uiPriority w:val="99"/>
    <w:unhideWhenUsed/>
    <w:rPr>
      <w:rFonts w:ascii="Tahoma" w:hAnsi="Tahoma" w:cs="Tahoma" w:eastAsiaTheme="minorEastAsia"/>
      <w:sz w:val="12"/>
      <w:szCs w:val="12"/>
    </w:rPr>
  </w:style>
  <w:style w:type="paragraph" w:styleId="911">
    <w:name w:val="List Paragraph"/>
    <w:basedOn w:val="721"/>
    <w:uiPriority w:val="34"/>
    <w:qFormat/>
    <w:pPr>
      <w:contextualSpacing/>
      <w:ind w:left="720"/>
    </w:pPr>
  </w:style>
  <w:style w:type="character" w:styleId="912">
    <w:name w:val="Hyperlink"/>
    <w:basedOn w:val="722"/>
    <w:uiPriority w:val="99"/>
    <w:unhideWhenUsed/>
    <w:rPr>
      <w:color w:val="0000ff" w:themeColor="hyperlink"/>
      <w:u w:val="single"/>
    </w:rPr>
  </w:style>
  <w:style w:type="paragraph" w:styleId="913" w:customStyle="1">
    <w:name w:val="Header"/>
    <w:basedOn w:val="721"/>
    <w:link w:val="914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14" w:customStyle="1">
    <w:name w:val="Верхний колонтитул Знак"/>
    <w:basedOn w:val="722"/>
    <w:link w:val="913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5" w:customStyle="1">
    <w:name w:val="Заголовок 2 Знак"/>
    <w:basedOn w:val="722"/>
    <w:link w:val="903"/>
    <w:rPr>
      <w:rFonts w:ascii="Times New Roman" w:hAnsi="Times New Roman" w:eastAsia="Times New Roman" w:cs="Times New Roman"/>
      <w:b/>
      <w:bCs/>
      <w:sz w:val="18"/>
      <w:szCs w:val="18"/>
      <w:lang w:eastAsia="ru-RU"/>
    </w:rPr>
  </w:style>
  <w:style w:type="paragraph" w:styleId="916">
    <w:name w:val="No Spacing"/>
    <w:uiPriority w:val="1"/>
    <w:qFormat/>
    <w:pPr>
      <w:spacing w:after="0" w:line="240" w:lineRule="auto"/>
    </w:pPr>
  </w:style>
  <w:style w:type="paragraph" w:styleId="917">
    <w:name w:val="Balloon Text"/>
    <w:basedOn w:val="721"/>
    <w:link w:val="918"/>
    <w:uiPriority w:val="99"/>
    <w:semiHidden/>
    <w:unhideWhenUsed/>
    <w:rPr>
      <w:rFonts w:ascii="Tahoma" w:hAnsi="Tahoma" w:cs="Tahoma"/>
      <w:sz w:val="16"/>
      <w:szCs w:val="16"/>
    </w:rPr>
  </w:style>
  <w:style w:type="character" w:styleId="918" w:customStyle="1">
    <w:name w:val="Текст выноски Знак"/>
    <w:basedOn w:val="722"/>
    <w:link w:val="91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19" w:customStyle="1">
    <w:name w:val="Абзац списка1"/>
    <w:basedOn w:val="721"/>
    <w:link w:val="920"/>
    <w:qFormat/>
    <w:pPr>
      <w:ind w:left="720"/>
    </w:pPr>
    <w:rPr>
      <w:rFonts w:ascii="Calibri" w:hAnsi="Calibri" w:eastAsia="Calibri"/>
      <w:lang w:eastAsia="en-US"/>
    </w:rPr>
  </w:style>
  <w:style w:type="character" w:styleId="920" w:customStyle="1">
    <w:name w:val="List Paragraph Char"/>
    <w:link w:val="919"/>
    <w:rPr>
      <w:rFonts w:ascii="Calibri" w:hAnsi="Calibri" w:eastAsia="Calibri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mailto:29_upr@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B2922-DCFB-48BC-8DB7-C4F30D320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Krokoz™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Архипова Элеонора200</dc:creator>
  <cp:lastModifiedBy>merkulova</cp:lastModifiedBy>
  <cp:revision>46</cp:revision>
  <dcterms:created xsi:type="dcterms:W3CDTF">2023-10-16T08:35:00Z</dcterms:created>
  <dcterms:modified xsi:type="dcterms:W3CDTF">2026-10-15T09:43:19Z</dcterms:modified>
</cp:coreProperties>
</file>