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Договор № ___/2026-Е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на поставку товара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ind w:right="-1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г. Екатеринбург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  <w:t xml:space="preserve">                            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«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___» __________2026 г.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right="-1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Департамент по недропользованию по Уральскому федеральному округу,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именуемый в дальнейшем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«Заказчик»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в лице заместителя начальника Департамента – начальника отдела, экономики, администрирования доходов, бюджетной отчетности и закупок,  действующего на основании Доверенности № б/н от 14.01.2026 г. Мартюшевой Ксении Николаев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с одной стороны,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35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____________________________________________, 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менуемое в дальнейшем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«Поставщик»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 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_______________, с другой стороны, вместе именуемые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«Стороны»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на  </w:t>
      </w:r>
      <w:r>
        <w:rPr>
          <w:rFonts w:ascii="Times New Roman" w:hAnsi="Times New Roman" w:cs="Times New Roman"/>
          <w:sz w:val="24"/>
          <w:szCs w:val="24"/>
        </w:rPr>
        <w:t xml:space="preserve">основании п.4 ч.1 ст.93 Федерального закона от 5 апреля 2013 г. №44-ФЗ «О контрактной системе в сфере закупок товаров, работ, услуг для обеспечения государственных и муниципальных нужд», за</w:t>
      </w:r>
      <w:r>
        <w:rPr>
          <w:rFonts w:ascii="Times New Roman" w:hAnsi="Times New Roman" w:cs="Times New Roman"/>
          <w:sz w:val="24"/>
          <w:szCs w:val="24"/>
        </w:rPr>
        <w:t xml:space="preserve">ключили настоящий договор о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нижеследующем: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pStyle w:val="903"/>
        <w:numPr>
          <w:ilvl w:val="0"/>
          <w:numId w:val="4"/>
        </w:num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Предмет договора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1.1. Поставщик обязуется осуществить поставку сетевых адаптеров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(далее по тексту - товар) согласно Техническому заданию (Приложение №1 к настоящему договору), а Заказчик обязуется обеспечить оплату постав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ленного товара в порядке и на условиях, предусмотренных настоящим договором.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1.2. Товар, поставляемый в рамках предмета настоящего договора, его наименование, характеристика, цена, количество определяются в соответствии с Техническим заданием (Приложение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№1 к настоящему Договору).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3"/>
        <w:numPr>
          <w:ilvl w:val="0"/>
          <w:numId w:val="4"/>
        </w:num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Цена договора и порядок оплаты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2.1. Общая стоимость товара по договору составляет __________ (____________________________) рублей 00 копеек, с/без НДС (далее – цена настоящего договора).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2.2. Цена настоящего договора включает в себя все расходы Поставщика, в том числе расходы на поставляемый товар, разгрузку, страхование, гарантийное обслуживание, уплату таможенных пошлин, налогов, сборов и другие обязательные платежи. Цена настоящего дого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вора, которая определена на весь срок исполнения настоящего договора, является твердой и не может изменяться в ходе его исполнения, за исключением случаев, предусмотренных законодательством Российской Федерации о контрактной системе в сфере закупок.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2.3. О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плата по настоящему договору осуществляется за счет средств федерального бюджета в рублях Российской Федерации без авансирования по безналичному расчету путем перечисления Заказчиком денежных средств на расчетный счет Поставщика в течение 7 (семи) рабочих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дней с момента подписания Заказчиком документа о приемке.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2.4. Днем оплаты считается день списания денежных средств с расчетного счета Заказчика.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2.5. В случае неисполнения или ненадлежащего исполнения Поставщиком своих обязательств по настоящему договору,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Заказчик составляет Претензию в адрес Поставщика с требованием уплатить сумму пени и /или штрафов, начисленную в порядке, предусмотренном в Разделе 7 настоящего договора, с указанием срока оплаты. В случае отказа Поставщика оплатить сумму пени и /или штра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фов, при проведении расчёта с Поставщиком оплата поставленного товара может производиться в размере суммы, уменьшенной на сумму пени и /или штрафов в порядке, предусмотренном в Разделе 7 настоящего договора. В таком случае, оплата по договору осуществляетс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я на основании акта приема-передачи товара, в котором указываются: сумма, подлежащая оплате в соответствии с условиями заключенного договора; размер неустойки (штрафа, пени), подлежащей взысканию; основания применения и порядок расчета неустойки (штрафа, п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ени); итоговая сумма, подлежащая оплате Поставщику по договору за вычетом штрафа, пени, предусмотренных настоящим договором. В таком случае, исполнение обязательства Поставщика по договору по перечислению неустойки (штрафа, пеней) в доход бюджетов бюджетно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й системы Российской Федерации возлагается на Заказчика.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2.6. 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ых обязательных платежей в бюджеты бюджетной системы Российской Федерации, связанных с оплатой договора, если в соответствии с законодательством Российской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Федерации о налогах и сборах такие налоги, сборы и иные обязательные платежи подлежат уплате в бюдже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ты бюджетной системы Российской Федерации Заказчиком.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3. Права и обязанности Сторон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3.1. Заказчик вправе: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3.1.1. Требовать от Поставщика надлежащей поставки товара, соответствующего качеству, объемам, срокам его поставки, и иным требованиям, предусмотренным настоящим договором.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3.1.2. В случае поставки товара с нарушением условий настоящего договора Заказчик в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праве отказаться от оплаты поставленного товара и потребовать возврата уплаченных Поставщику денежных средств в течение десяти календарных дней с момента получения Поставщиком письменного требования, или потребовать уменьшения оплаты стоимости товара в соо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тветствии с действующим законодательством Российской Федерации.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3.1.3. Отказаться от исполнения договора, если Поставщик отказывается передать товар.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3.1.4. Требовать от Поставщика передачи относящихся к товару документов и принадлежностей в разумный срок.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Если в указанный срок документы и принадлежности не переданы, Заказчик имеет право отказаться от товара и потребовать возврата уплаченных за него сумм.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3.1.5. В случае поставки товара, не соответствующего условиям настоящего договора, по своему усмотрению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отказаться от приемки товара полностью либо в части, не соответствующей договору, требовать замены товара, не соответствующего условиям настоящего договора. При этом Заказчик вправе отказаться от оплаты товара, не соответствующего условиям настоящего дого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вора, а в случае, если товар оплачен, требовать возврата уплаченных денежных средств.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3.1.6. Предъявлять требования, связанные с недостатками товара, в течение его гарантийного срока.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3.2. Заказчик обязан: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3.2.1. Сообщать Поставщику о недостатках товара, о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бнаруженных в ходе их приемки или использования, в течение 5 (пяти) рабочих дней с момента их обнаружения.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3.2.2. Обеспечивать своевременную оплату товара в соответствии с условиями настоящего договора.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3.2.3. Обеспечивать своевременную приемку исполнения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обязательств Поставщика по выполненным им обязательствам.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3.2.4. В случае изменения адреса поставки сообщить Поставщику об этом в письменной форме в течение 3 (трех) рабочих дней с такого изменения.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3.3. Поставщик вправе: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3.3.1. Требовать своевременного в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срок не более 15 (пятнадцати) рабочих дней подписания Заказчиком документа о приемке.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3.3.2. Требовать своевременной оплаты поставленного товара в соответствии с подписанным Сторонами документа о приемке.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3.4. Поставщик обязан: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3.4.1. Своевременно и надлеж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ащим образом поставить товар в соответствии с требованиями, предъявляемыми к нему настоящим договором и его приложениями, законодательством Российской Федерации, и представить Заказчику необходимые документы (счет, счет-фактура, товарная накладная или УПД,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иные отчетные документы).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3.4.2.  Обеспечить защиту товара от повреждения или порчи во время транспортировки.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3.4.3. Безвозмездно устранить выявленные недостатки у товара, осуществить соответствующую замену, произвести допоставку товара либо вернуть упла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ченные денежные средства в течение 7 (семи) рабочих дней с момента получения от Заказчика соответствующего требования.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 xml:space="preserve">4. Качество товара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4.1. Товар должен отвечать требованиям качества, безопасности жизни и здоровь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я, а также иным требованиям сертификации и государственным стандартам. Качество удостоверяется сертификатом или паспортом качества изготовителя, который направляется одновременно с товаром Заказчику. Товар, не соответствующий заявленным требованиям, в том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числе недоброкачественный (бракованный), подлежит замене на товар с аналогичными характеристиками. Замена товара осуществляется Поставщиком без изменения цены единичной расценки товара в течение 7 (семи)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календарных дней с момента предъявления требований. 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4.2. Товар должен быть поставлен в упаковке (таре), обеспечивающей защиту товара от его повреждения или порчи во время транспортировки и хранения. Упаковка (тара) товара и комплектующие должны отвечать требованиям безопасности жизни, здоровья и охраны окр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ужающей среды, иметь необходимые маркировки, наклейки, пломбы, а также давать возможность определить количество содержащегося в ней оборудования (опись, упаковочные ярлыки или листы). Если производителем (производителями) товара предусмотрена для него спец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иальная упаковка (тара), отличная от указанной настоящим договором, то оборудование может поставляться в упаковке (таре) производителя, если она обеспечивает защиту товара и комплектующих от повреждения или порчи во время транспортировки и хранения.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4.3. При исполнении настоящего договора по согласованию Сторон допускается поставка товара, качество, технические и функциональные характеристики (потребительские свойства) которых являются улучшенными по сравнению с качеством и соответствующими технически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ми и функциональными характеристиками, указанными в настоящем договоре.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4.4. В соответствии с Постановлением Правительства РФ от 23.12.2024 № 1875 "О мерах по предоставлению национального режима при осуществлении закупок товаров, работ, услуг для обеспечен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ия государственных и муниципальных нужд, закупок товаров, работ, услуг отдельными видами юридических лиц» (далее – Постановление № 1875) при осуществлении закупки установлено 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 xml:space="preserve">ограничение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закупок товаров (в том числе поставляемых при выполнении закупаемых р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абот, оказании закупаемых услуг), происходящих из иностранных государств. Согласно п.3 Постановления № 1875 информацией и документами, подтверждающими страну происхождения товара.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4.5. Для подтверждения происхождения товаров из Российской Федерации требует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ся 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Федерации",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     4.6. Для подтверждения происхождения товаров - членов Евразийского экономиче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ского союза, за исключением Российской Федерации требуется номер реестровой записи из евразийского реестра промышленных товаров государств - членов Евразийского экономического союза (далее - евразийский реестр промышленных товаров).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jc w:val="center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 xml:space="preserve">5. Гарантии Поставщика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        5.1. При исполнении обязательств по настоящему договору Поставщик обязуется не нарушать имущественные и неимущественные права Заказчика и других лиц.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       5.2. Гарантийный срок на поставленного товара составляет 12 (двенадцать) месяцев.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   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  5.3. Гарантийный срок на товар начинает течь с момента подписания Сторонами документа о приемке.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       5.4. Если Заказчик лишен возможности использовать товар по назначению по обстоятельствам, зависящим от Поставщика, гарантийный срок не течет до устр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анения соответствующих обстоятельств Поставщиком. Также гарантийный срок продлевается на время, в течение которого товар не могли использоваться из-за обнаруженных недостатков.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5.5. Поставщик в течение указанного срока (согласно п. 5.2 настоящего договора)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обязуется самостоятельно за свой счёт произвести ремонт или замену неисправных товаров, обеспечить поставку в соответствующий сервисный центр и возврат его после ремонта.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jc w:val="center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 xml:space="preserve">6. Срок поставки и установки, порядок сдачи-приемки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6.1. Поставка товара осуществля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ется в течение 10 (десяти) рабочих дней с даты подписания Договора.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6.2. Поставщик поставляет товар за свой счет Заказчику по адресу: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г. Екатеринбург, ул.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Вайнера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д. 55,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каб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 419, с Понедельника по Пятницу с 09:00 до 13:00 или с 14:00 до 16:00; (тел. 8 (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43)-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257-84-59 доб. 233,234,235, 236)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.3. Риск случайной гибели или случайного повреждения товара до его передачи Заказчику лежит на Поставщике.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6.4. После поставки товара Поставщик предоставляет Заказчику подписанную товарную накладную или УПД. Товарная 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акладная или УПД составляется Поставщиком.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6.5. Если при передаче товара Заказчику обнаружится повреждение тары (упаковки), Заказчик должен будет незамедлительно вскрыть такую тару (упаковку), осмотреть товар и проверить его соответствие условиям настояще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го договора, составить акт об обнаруженных недостатках, сделать необходимые отметки в накладных. В течение одного рабочего дня с момента обнаружения недостатков Поставщику направляются уведомление о факте поставки товара в поврежденной таре (упаковке) и ко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пия акта об обнаруженных недостатках.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Осмотр и проверка всех позиций товара производятся согласно условиям договора. Заказчик не принимает товар, если в ходе осмотра и проверки обнаружится, что они не соответствует условиям договора.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6.6.  Проверка количества товара производится путем подсчета товарных единиц.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6.7.  Проверка комплектности товара осуществляется путем визуального осмотра.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6.8. Проверка качества товара осуществляется в соответствии с обычно применяемым в отношении данного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оборудования порядком проверки, если иное не предусмотрено законом или иным правовым актом.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6.9. Заказчик в течение 20 (двадцати) рабочих дней со дня получения документа о приемке должен направить Поставщику подписанный документ о приемке или мотивированный отказ от подписания.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6.10. В случае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несоответствия поставляемых товаров спецификации (При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ложение №1 к настоящему договору),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стороны составляют акт. Поставщик обязан провести замену несоответствующих товаров без взимания дополнительной платы.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6.11. Подписанный между Заказчиком и Поставщиком документ о приемке и передача необходимой сопроводите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льной и технической документации, сертификатов соответствия и качества является для Заказчика основанием для расчета с Поставщиком за поставленный товар в соответствии с п. 2.3. настоящего договора.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jc w:val="center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7. Ответственность Сторон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7.1. За неисполнение или ненад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7.2. Возмещение ущерба, убытков и уплата штрафов и пеней не освобождает виновную сторону от выполнения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своих обязательств по договору.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7.3. В случае просрочки исполнения Поставщиком обязательств, предусмотренных договором, Заказчик направляет Поставщику требование об уплате неустойки (штрафа, пеней).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Пеня начисляется за каждый день просрочки исполнения обя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зательства, предусмотренного договором, начиная со дня, следующего после дня истечения установленного договором срока исполнения обязательств и устанавливается в размере, определенном в порядке, установленном Правительством Российской Федерации, но не мене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е чем одна трехсотая действующей на день уплаты пени 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Поставщиком.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За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неисполнение или ненадлежащее исполнение Поставщиком обязательств, предусмотренных договором, за исключением просрочки исполнения Исполнителем обязательств, предусмотренных договором, Поставщик выплачивает Заказчику штраф в размере 1000 рублей.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Поставщик о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свобождается от уплаты неустойки (штрафа, пеней), если докажет, что просрочка исполнения указанных обязательств произошла вследствие непреодолимой силы или по вине Заказчика. Доказательством наличия обстоятельств непреодолимой силы и их продолжительности б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удут служить свидетельства соответствующих компетентных органов.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7.4. 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ых договором, Поставщик вправе потребовать уплаты неустоек (штрафов, пеней). Пеня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нения обязательства.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от не уплаченной в срок суммы.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За неисполнение или ненадлежащее исполнение Заказчи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ком обязательств, предусмотренных договором, за исключением просрочки исполнения Заказчиком обязательств, предусмотренных договором, Заказчик выплачивает Исполнителю штраф в размере 1000 рублей.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Заказчик освобождается от уплаты неустойки (штрафа, пеней), е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сли докажет, что просрочка исполнения указанных обязательств произошла вследствие непреодолимой силы или по вине Поставщика. Доказательством наличия обстоятельств непреодолимой силы и их продолжительности будут служить свидетельства соответствующих компете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нтных органов.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 xml:space="preserve">8. Форс-мажорные обстоятельства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8.1. Стороны освобождаются от ответственности за частичное или полное неисполнение обязательств по настоящему договору в случае наступления обстоятельств непреодолимой силы (форс-мажор). Для целей настоящего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договора «форс-мажор» означает событие, находящееся вне разумного контроля Стороны и приводящее к тому, что выполнение Стороной ее обязательств становится невозможным или настолько бессмысленным, что в данных обстоятельствах считается невозможным, и включа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ет, но не ограничивается такими явлениями, как война, волнения, общественные беспорядки, землетрясение, пожар, взрыв, буря, наводнение или другие неблагоприятные метеорологические условия, забастовки, действия государственных органов.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8.2. Форс-мажором не являются события, вызванные небрежностью или преднамеренным действием Стороны, события, которые Сторона могла бы предусмотреть при должном прилежании, чтобы учесть их при заключении договора и предотвратить или контролировать их при вы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полнении обязательств.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8.3. Сторона, пострадавшая от события форс-мажора, должна как можно скорее уведомить другую Сторону о таком событии, но не позднее чем через четырнадцать календарных дней после этого события, предоставив при этом информацию о характе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ре и причине этого события, и также как сообщить о восстановлении нормальных условий.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8.4. Стороны должны принять все разумные меры для сведения к минимуму последствий любого события форс-мажора.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jc w:val="center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 xml:space="preserve">9. Срок действия договора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9.1. Настоящий договор вступает в силу с момента подписания и действует до 31.10.2026. 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Окончание срока действия настоящего договора не освобождает Стороны от исполнения обязательств по настоящему договору, в случае если такие обязательства не исполнены Сто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ронами до окончания срока действия настоящего договора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ind w:left="540"/>
        <w:jc w:val="center"/>
        <w:spacing w:after="0" w:line="283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 xml:space="preserve">10.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Порядок расторжения договора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10.1. Расторжение настоящего договора допускается по соглашению Сторон, по решению суда, в случае одностороннего отказа Стороны от исполнения настоящего договора в соо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тветствии с гражданским законодательством. При расторжении настоящего договора по обоюдному согласию Стороны определяют и производят взаиморасчеты по возмещению понесенных затрат и убытков по предмету настоящего договора.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10.2.Заказчик вправе в односторонн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ем порядке отказаться от исполнения настоящего договора в случае, если: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Исполнитель оказывает работы ненадлежащего качества с недостатками, которые не могут быть устранены в приемлемый для Заказчика срок;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Исполнитель нарушил сроки оказания работ.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10.3.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Заказчик также вправе в одностороннем порядке отказаться от исполнения настоящего договора по иным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10.4.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Настоящий д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оговор может быть расторгнут досрочно: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10.5.. По письменному соглашению Сторон.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10.5.1. По решению суда.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10.6. Если какая-либо Сторона сочтет, что ввиду несоблюдения договорных обязательств или ненадлежащего их исполнения другой Стороной, возникают препятс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твия к дальнейшему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исполнению договора, то она обязана отправить письменное сообщение другой Стороне, в котором указываются причины, побуждающие к расторжению договора.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10.7. Сторона, получившая такое сообщение, обязана в течение 10 (десяти) календарных дн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ей изложить в письменной форме свои позиции и предложения. Если, исходя из позиций Сторон, нельзя надеяться на устранение трудностей, влияющих на надлежащее исполнение договора, либо если исполнение договора нельзя продолжить в течение 5 (пяти) календарных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дней, то Стороны вправе расторгнуть договор в письменной форме в течение 10 (десяти) календарных дней со дня письменного уведомления.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jc w:val="center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 xml:space="preserve">11. Разрешение споров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11.1. Все споры и разногласия, которые могут возникнуть между Сторонами, будут разрешаться путем 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ереговоров. Срок рассмотрения и ответа на претензию – 10 рабочих дней с даты ее получения второй Стороной (путем почтового отправления либо на официальную электронную почту Стороны договора).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11.2. В случае невозможности разрешения разногласий путем перего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воров, они подлежат рассмотрению в Арбитражном суде Свердловской области.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jc w:val="center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 xml:space="preserve">12. Заключительные положения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12. Во   всем   остальном, что   не   предусмотрено   настоящим    договором, Стороны руководствуются действующим законодательством Российской Федерации.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12.1. Любые изменения и дополнения к настоящему договору действительны при условии, если они совершены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в письменной форме и подписаны надлежаще уполномоченными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на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то представителями Сторон.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12.2. Все уведомления и сообщения должны направляться в письменной форме либо на официальную электронную почту Стороны договора. Сообщения будут считаться исполненными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надлежащим образом, если они посланы заказным письмом, либо по телефаксу, либо доставлены лично по юридическим (или почтовым) адресам Сторон с получением под расписку соответствующими должностными лицами, либо на официальную электронную почту Стороны догов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ора.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12.3. Настоящий договор вступает в силу с даты его подписания Сторонами.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12.4. При исполнении настоящего договора не допускается перемена Поставщика, за исключением случая, если новый поставщик является правопреемником Поставщика по настоящему догово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ру вследствие реорганизации юридического лица в форме преобразования, слияния или присоединения.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12.5. В случае перемены Заказчика права и обязанности Заказчика, предусмотренные настоящим договором, переходят к новому заказчику.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12.6.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 случае изменения св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оего наименования, организационно-правовой формы, местонахождения, контактной информации или банковских реквизитов Стороны обязуются направить в течение трех рабочих дней соответствующие письменные уведомления на бланке организации.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ind w:firstLine="357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11.8. К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настоящему дого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вору прилагаются и являются его неотъемлемой частью: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pStyle w:val="903"/>
        <w:numPr>
          <w:ilvl w:val="0"/>
          <w:numId w:val="6"/>
        </w:numPr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Приложение № 1 – Техническое задание;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720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13. Реквизиты и подписи Сторон</w:t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</w:p>
    <w:p>
      <w:pPr>
        <w:jc w:val="center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Times New Roman" w:hAnsi="Times New Roman" w:eastAsia="Times New Roman" w:cs="Times New Roman"/>
          <w:color w:val="ff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ff0000"/>
          <w:sz w:val="24"/>
          <w:szCs w:val="24"/>
        </w:rPr>
      </w:r>
      <w:r>
        <w:rPr>
          <w:rFonts w:ascii="Times New Roman" w:hAnsi="Times New Roman" w:eastAsia="Times New Roman" w:cs="Times New Roman"/>
          <w:color w:val="ff0000"/>
          <w:sz w:val="24"/>
          <w:szCs w:val="24"/>
        </w:rPr>
      </w:r>
      <w:r>
        <w:rPr>
          <w:rFonts w:ascii="Times New Roman" w:hAnsi="Times New Roman" w:eastAsia="Times New Roman" w:cs="Times New Roman"/>
          <w:color w:val="ff0000"/>
          <w:sz w:val="24"/>
          <w:szCs w:val="24"/>
        </w:rPr>
      </w:r>
    </w:p>
    <w:tbl>
      <w:tblPr>
        <w:tblW w:w="9548" w:type="dxa"/>
        <w:tblLook w:val="01E0" w:firstRow="1" w:lastRow="1" w:firstColumn="1" w:lastColumn="1" w:noHBand="0" w:noVBand="0"/>
      </w:tblPr>
      <w:tblGrid>
        <w:gridCol w:w="4662"/>
        <w:gridCol w:w="4886"/>
      </w:tblGrid>
      <w:tr>
        <w:tblPrEx/>
        <w:trPr>
          <w:trHeight w:val="2258"/>
        </w:trPr>
        <w:tc>
          <w:tcPr>
            <w:tcW w:w="466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Заказчик: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ab/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</w:p>
          <w:p>
            <w:pPr>
              <w:pStyle w:val="900"/>
              <w:jc w:val="left"/>
              <w:spacing w:before="0" w:after="0" w:line="240" w:lineRule="auto"/>
              <w:shd w:val="clear" w:color="auto" w:fill="auto"/>
              <w:tabs>
                <w:tab w:val="left" w:pos="-284" w:leader="none"/>
              </w:tabs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Департамент по недропользованию </w:t>
            </w:r>
            <w:r>
              <w:rPr>
                <w:rFonts w:cs="Times New Roman"/>
                <w:bCs/>
                <w:sz w:val="24"/>
                <w:szCs w:val="24"/>
              </w:rPr>
            </w:r>
            <w:r>
              <w:rPr>
                <w:rFonts w:cs="Times New Roman"/>
                <w:bCs/>
                <w:sz w:val="24"/>
                <w:szCs w:val="24"/>
              </w:rPr>
            </w:r>
          </w:p>
          <w:p>
            <w:pPr>
              <w:pStyle w:val="900"/>
              <w:jc w:val="left"/>
              <w:spacing w:before="0" w:after="0" w:line="240" w:lineRule="auto"/>
              <w:shd w:val="clear" w:color="auto" w:fill="auto"/>
              <w:tabs>
                <w:tab w:val="left" w:pos="-284" w:leader="none"/>
              </w:tabs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по Уральскому федеральному округу</w:t>
            </w:r>
            <w:r>
              <w:rPr>
                <w:rFonts w:cs="Times New Roman"/>
                <w:bCs/>
                <w:sz w:val="24"/>
                <w:szCs w:val="24"/>
              </w:rPr>
            </w:r>
            <w:r>
              <w:rPr>
                <w:rFonts w:cs="Times New Roman"/>
                <w:bCs/>
                <w:sz w:val="24"/>
                <w:szCs w:val="24"/>
              </w:rPr>
            </w:r>
          </w:p>
          <w:p>
            <w:pPr>
              <w:pStyle w:val="900"/>
              <w:jc w:val="left"/>
              <w:spacing w:before="0" w:after="0" w:line="240" w:lineRule="auto"/>
              <w:shd w:val="clear" w:color="auto" w:fill="auto"/>
              <w:tabs>
                <w:tab w:val="left" w:pos="-284" w:leader="none"/>
              </w:tabs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pStyle w:val="900"/>
              <w:jc w:val="left"/>
              <w:spacing w:before="0" w:after="0" w:line="240" w:lineRule="auto"/>
              <w:tabs>
                <w:tab w:val="left" w:pos="-284" w:leader="none"/>
              </w:tabs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Юридический адрес: 620014, </w:t>
            </w:r>
            <w:r>
              <w:rPr>
                <w:rFonts w:cs="Times New Roman"/>
                <w:sz w:val="24"/>
                <w:szCs w:val="24"/>
              </w:rPr>
            </w:r>
            <w:r>
              <w:rPr>
                <w:rFonts w:cs="Times New Roman"/>
                <w:sz w:val="24"/>
                <w:szCs w:val="24"/>
              </w:rPr>
            </w:r>
          </w:p>
          <w:p>
            <w:pPr>
              <w:pStyle w:val="900"/>
              <w:jc w:val="left"/>
              <w:spacing w:before="0" w:after="0" w:line="240" w:lineRule="auto"/>
              <w:tabs>
                <w:tab w:val="left" w:pos="-284" w:leader="none"/>
              </w:tabs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г. Екатеринбург, ул. </w:t>
            </w:r>
            <w:r>
              <w:rPr>
                <w:rFonts w:cs="Times New Roman"/>
                <w:sz w:val="24"/>
                <w:szCs w:val="24"/>
              </w:rPr>
              <w:t xml:space="preserve">Вайнера</w:t>
            </w:r>
            <w:r>
              <w:rPr>
                <w:rFonts w:cs="Times New Roman"/>
                <w:sz w:val="24"/>
                <w:szCs w:val="24"/>
              </w:rPr>
              <w:t xml:space="preserve">, 55</w:t>
            </w:r>
            <w:r>
              <w:rPr>
                <w:rFonts w:cs="Times New Roman"/>
                <w:sz w:val="24"/>
                <w:szCs w:val="24"/>
              </w:rPr>
            </w:r>
            <w:r>
              <w:rPr>
                <w:rFonts w:cs="Times New Roman"/>
                <w:sz w:val="24"/>
                <w:szCs w:val="24"/>
              </w:rPr>
            </w:r>
          </w:p>
          <w:p>
            <w:pPr>
              <w:pStyle w:val="900"/>
              <w:jc w:val="left"/>
              <w:spacing w:before="0" w:after="0" w:line="240" w:lineRule="auto"/>
              <w:tabs>
                <w:tab w:val="left" w:pos="-284" w:leader="none"/>
              </w:tabs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Телефон: +7 (343) 257-84-59</w:t>
            </w:r>
            <w:r>
              <w:rPr>
                <w:rFonts w:cs="Times New Roman"/>
                <w:sz w:val="24"/>
                <w:szCs w:val="24"/>
              </w:rPr>
            </w:r>
            <w:r>
              <w:rPr>
                <w:rFonts w:cs="Times New Roman"/>
                <w:sz w:val="24"/>
                <w:szCs w:val="24"/>
              </w:rPr>
            </w:r>
          </w:p>
          <w:p>
            <w:pPr>
              <w:pStyle w:val="900"/>
              <w:jc w:val="left"/>
              <w:spacing w:before="0" w:after="0" w:line="240" w:lineRule="auto"/>
              <w:tabs>
                <w:tab w:val="left" w:pos="-284" w:leader="none"/>
              </w:tabs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 xml:space="preserve">E</w:t>
            </w:r>
            <w:r>
              <w:rPr>
                <w:rFonts w:cs="Times New Roman"/>
                <w:sz w:val="24"/>
                <w:szCs w:val="24"/>
              </w:rPr>
              <w:t xml:space="preserve">-</w:t>
            </w:r>
            <w:r>
              <w:rPr>
                <w:rFonts w:cs="Times New Roman"/>
                <w:sz w:val="24"/>
                <w:szCs w:val="24"/>
                <w:lang w:val="en-US"/>
              </w:rPr>
              <w:t xml:space="preserve">mail</w:t>
            </w:r>
            <w:r>
              <w:rPr>
                <w:rFonts w:cs="Times New Roman"/>
                <w:sz w:val="24"/>
                <w:szCs w:val="24"/>
              </w:rPr>
              <w:t xml:space="preserve">: </w:t>
            </w:r>
            <w:r>
              <w:rPr>
                <w:rFonts w:cs="Times New Roman"/>
                <w:sz w:val="24"/>
                <w:szCs w:val="24"/>
                <w:lang w:val="en-US"/>
              </w:rPr>
              <w:t xml:space="preserve">ural</w:t>
            </w:r>
            <w:r>
              <w:rPr>
                <w:rFonts w:cs="Times New Roman"/>
                <w:sz w:val="24"/>
                <w:szCs w:val="24"/>
              </w:rPr>
              <w:t xml:space="preserve">@</w:t>
            </w:r>
            <w:r>
              <w:rPr>
                <w:rFonts w:cs="Times New Roman"/>
                <w:sz w:val="24"/>
                <w:szCs w:val="24"/>
                <w:lang w:val="en-US"/>
              </w:rPr>
              <w:t xml:space="preserve">rosnedra</w:t>
            </w:r>
            <w:r>
              <w:rPr>
                <w:rFonts w:cs="Times New Roman"/>
                <w:sz w:val="24"/>
                <w:szCs w:val="24"/>
              </w:rPr>
              <w:t xml:space="preserve">.</w:t>
            </w:r>
            <w:r>
              <w:rPr>
                <w:rFonts w:cs="Times New Roman"/>
                <w:sz w:val="24"/>
                <w:szCs w:val="24"/>
                <w:lang w:val="en-US"/>
              </w:rPr>
              <w:t xml:space="preserve">gov</w:t>
            </w:r>
            <w:r>
              <w:rPr>
                <w:rFonts w:cs="Times New Roman"/>
                <w:sz w:val="24"/>
                <w:szCs w:val="24"/>
              </w:rPr>
              <w:t xml:space="preserve">.</w:t>
            </w:r>
            <w:r>
              <w:rPr>
                <w:rFonts w:cs="Times New Roman"/>
                <w:sz w:val="24"/>
                <w:szCs w:val="24"/>
                <w:lang w:val="en-US"/>
              </w:rPr>
              <w:t xml:space="preserve">ru</w:t>
            </w:r>
            <w:r>
              <w:rPr>
                <w:rFonts w:cs="Times New Roman"/>
                <w:sz w:val="24"/>
                <w:szCs w:val="24"/>
              </w:rPr>
            </w:r>
            <w:r>
              <w:rPr>
                <w:rFonts w:cs="Times New Roman"/>
                <w:sz w:val="24"/>
                <w:szCs w:val="24"/>
              </w:rPr>
            </w:r>
          </w:p>
          <w:p>
            <w:pPr>
              <w:pStyle w:val="900"/>
              <w:jc w:val="left"/>
              <w:spacing w:before="0" w:after="0" w:line="240" w:lineRule="auto"/>
              <w:tabs>
                <w:tab w:val="left" w:pos="-284" w:leader="none"/>
              </w:tabs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ИНН 6671153800 КПП 667101001</w:t>
            </w:r>
            <w:r>
              <w:rPr>
                <w:rFonts w:cs="Times New Roman"/>
                <w:sz w:val="24"/>
                <w:szCs w:val="24"/>
              </w:rPr>
            </w:r>
            <w:r>
              <w:rPr>
                <w:rFonts w:cs="Times New Roman"/>
                <w:sz w:val="24"/>
                <w:szCs w:val="24"/>
              </w:rPr>
            </w:r>
          </w:p>
          <w:p>
            <w:pPr>
              <w:pStyle w:val="900"/>
              <w:jc w:val="left"/>
              <w:spacing w:before="0" w:after="0" w:line="240" w:lineRule="auto"/>
              <w:tabs>
                <w:tab w:val="left" w:pos="-284" w:leader="none"/>
              </w:tabs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Банковские реквизиты:</w:t>
            </w:r>
            <w:r>
              <w:rPr>
                <w:rFonts w:cs="Times New Roman"/>
                <w:sz w:val="24"/>
                <w:szCs w:val="24"/>
              </w:rPr>
            </w:r>
            <w:r>
              <w:rPr>
                <w:rFonts w:cs="Times New Roman"/>
                <w:sz w:val="24"/>
                <w:szCs w:val="24"/>
              </w:rPr>
            </w:r>
          </w:p>
          <w:p>
            <w:pPr>
              <w:pStyle w:val="900"/>
              <w:jc w:val="left"/>
              <w:spacing w:before="0" w:after="0" w:line="240" w:lineRule="auto"/>
              <w:tabs>
                <w:tab w:val="left" w:pos="-284" w:leader="none"/>
              </w:tabs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  <w:lang w:eastAsia="ru-RU"/>
              </w:rPr>
              <w:t xml:space="preserve">ОКЦ № 1 </w:t>
            </w:r>
            <w:r>
              <w:rPr>
                <w:rFonts w:cs="Times New Roman"/>
                <w:bCs/>
                <w:sz w:val="24"/>
                <w:szCs w:val="24"/>
                <w:lang w:eastAsia="ru-RU"/>
              </w:rPr>
              <w:t xml:space="preserve">СибГУ</w:t>
            </w:r>
            <w:r>
              <w:rPr>
                <w:rFonts w:cs="Times New Roman"/>
                <w:bCs/>
                <w:sz w:val="24"/>
                <w:szCs w:val="24"/>
                <w:lang w:eastAsia="ru-RU"/>
              </w:rPr>
              <w:t xml:space="preserve"> Банка России//УФК по Новосибирской области г. Новосибирск </w:t>
            </w:r>
            <w:r>
              <w:rPr>
                <w:rFonts w:cs="Times New Roman"/>
                <w:sz w:val="24"/>
                <w:szCs w:val="24"/>
              </w:rPr>
            </w:r>
            <w:r>
              <w:rPr>
                <w:rFonts w:cs="Times New Roman"/>
                <w:sz w:val="24"/>
                <w:szCs w:val="24"/>
              </w:rPr>
            </w:r>
          </w:p>
          <w:p>
            <w:pPr>
              <w:keepLines/>
              <w:keepNext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Номер казначейского счета 03211643000000015113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keepLines/>
              <w:keepNext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Номер единого казначейского счета 40102810445370000043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keepLines/>
              <w:keepNext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БИК 015004950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keepLines/>
              <w:keepNext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Лицевой счет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keepLines/>
              <w:keepNext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03621777520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keepLines/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keepLines/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начальника Департамента – начальник отдела экономики, администрирования доходов, бюджетной отчетности и закупок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keepLines/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keepLines/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keepLines/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keepLines/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keepLines/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keepLines/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keepLines/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_________________/К.Н.Мартюшева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keepLines/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«___»___________ 2026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keepLines/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М.П.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88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Поставщик: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</w:p>
          <w:p>
            <w:pPr>
              <w:keepLines/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keepLines/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keepLines/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keepLines/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keepLines/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keepLines/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keepLines/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keepLines/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keepLines/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keepLines/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keepLines/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keepLines/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keepLines/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keepLines/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keepLines/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keepLines/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keepLines/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keepLines/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\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keepLines/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keepLines/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keepLines/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keepLines/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keepLines/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keepLines/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keepLines/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keepLines/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keepLines/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keepLines/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keepLines/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_________________/_________________/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«___»___________ 2026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М.П.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val="en-US" w:eastAsia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en-US" w:eastAsia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en-US"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val="en-US" w:eastAsia="ru-RU"/>
        </w:rPr>
      </w:pPr>
      <w:r/>
      <w:bookmarkStart w:id="0" w:name="_GoBack"/>
      <w:r/>
      <w:bookmarkEnd w:id="0"/>
      <w:r>
        <w:rPr>
          <w:rFonts w:ascii="Times New Roman" w:hAnsi="Times New Roman" w:eastAsia="Times New Roman" w:cs="Times New Roman"/>
          <w:b/>
          <w:bCs/>
          <w:sz w:val="24"/>
          <w:szCs w:val="24"/>
          <w:lang w:val="en-US" w:eastAsia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en-US"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Приложение № 1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</w:p>
    <w:p>
      <w:pPr>
        <w:ind w:left="6372"/>
        <w:keepNext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  <w:outlineLvl w:val="0"/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               к Договору № ___/2026-Е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6372"/>
        <w:keepNext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  <w:outlineLvl w:val="0"/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     от «____» ____________ 2026 г.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</w:t>
      </w:r>
      <w:r/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Техническое задание 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tbl>
      <w:tblPr>
        <w:tblW w:w="11624" w:type="dxa"/>
        <w:tblInd w:w="-10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127"/>
        <w:gridCol w:w="3260"/>
        <w:gridCol w:w="1276"/>
        <w:gridCol w:w="992"/>
        <w:gridCol w:w="992"/>
        <w:gridCol w:w="1848"/>
      </w:tblGrid>
      <w:tr>
        <w:tblPrEx/>
        <w:trPr>
          <w:trHeight w:val="77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29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п/п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60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Характеристика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Ед.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измере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ния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Кол-во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Цена, руб. за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ед.(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с/без НДС)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8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Сумма, руб.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(с/без НДС)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05"/>
        </w:trPr>
        <w:tc>
          <w:tcPr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624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г. Екатеринбург, ул.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Вайнера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, д. 55,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каб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 419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46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2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7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Сетевой адаптер Gigabit Ethernet Digma DLA-GEUCH3 USB 3.0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60" w:type="dxa"/>
            <w:textDirection w:val="lrTb"/>
            <w:noWrap w:val="false"/>
          </w:tcPr>
          <w:p>
            <w:pPr>
              <w:widowControl w:val="off"/>
            </w:pP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  <w:t xml:space="preserve">Стандарт передачи данных: </w:t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  <w:t xml:space="preserve">Gigabit Ethernet</w:t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</w:r>
          </w:p>
          <w:p>
            <w:pPr>
              <w:widowControl w:val="off"/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  <w:t xml:space="preserve">Интерфейс с компьютером: </w:t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  <w:t xml:space="preserve">USB 3.0</w:t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</w:r>
          </w:p>
          <w:p>
            <w:pPr>
              <w:widowControl w:val="off"/>
            </w:pP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  <w:highlight w:val="none"/>
              </w:rPr>
              <w:t xml:space="preserve">Стандарт Ethernet: </w:t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  <w:highlight w:val="none"/>
              </w:rPr>
              <w:t xml:space="preserve">1000Base-TX</w:t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</w:p>
          <w:p>
            <w:pPr>
              <w:widowControl w:val="off"/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  <w:highlight w:val="none"/>
              </w:rPr>
              <w:t xml:space="preserve">Скорость Ethernet: </w:t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  <w:highlight w:val="none"/>
              </w:rPr>
              <w:t xml:space="preserve">10/100/1000 Мбит/с</w:t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</w:p>
          <w:p>
            <w:pPr>
              <w:widowControl w:val="off"/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  <w:highlight w:val="none"/>
              </w:rPr>
              <w:t xml:space="preserve">Расстояние передачи, до: </w:t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  <w:highlight w:val="none"/>
              </w:rPr>
              <w:t xml:space="preserve">100 м</w:t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</w:p>
          <w:p>
            <w:pPr>
              <w:widowControl w:val="off"/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  <w:highlight w:val="none"/>
              </w:rPr>
              <w:t xml:space="preserve">Тип разъема: </w:t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  <w:highlight w:val="none"/>
              </w:rPr>
              <w:t xml:space="preserve">RJ-45</w:t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</w:p>
          <w:p>
            <w:pPr>
              <w:widowControl w:val="off"/>
            </w:pP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  <w:highlight w:val="none"/>
              </w:rPr>
              <w:t xml:space="preserve">Особенности: </w:t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  <w:highlight w:val="none"/>
              </w:rPr>
              <w:t xml:space="preserve">В комплекте переходник USB 3.0 Type-A / Type-C (чипсет RTL8153+RTS5411). Поддерживаемые стандарты IEEE 802.3, 802.3p, 802.3q, 802.3az 802.3x, 802.3u</w:t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шт.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8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</w:tbl>
    <w:p>
      <w:pPr>
        <w:spacing w:after="0" w:line="240" w:lineRule="auto"/>
        <w:rPr>
          <w:lang w:val="en-US"/>
        </w:rPr>
      </w:pPr>
      <w:r>
        <w:rPr>
          <w:lang w:val="en-US"/>
        </w:rPr>
      </w:r>
      <w:r>
        <w:rPr>
          <w:lang w:val="en-US"/>
        </w:rPr>
      </w:r>
      <w:r>
        <w:rPr>
          <w:lang w:val="en-US"/>
        </w:rPr>
      </w:r>
    </w:p>
    <w:p>
      <w:pPr>
        <w:spacing w:after="0" w:line="240" w:lineRule="auto"/>
        <w:tabs>
          <w:tab w:val="center" w:pos="5102" w:leader="none"/>
        </w:tabs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Заказчик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ab/>
        <w:t xml:space="preserve">                Поставщик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</w:p>
    <w:tbl>
      <w:tblPr>
        <w:tblpPr w:horzAnchor="margin" w:tblpXSpec="left" w:vertAnchor="text" w:tblpY="483" w:leftFromText="180" w:topFromText="0" w:rightFromText="180" w:bottomFromText="0"/>
        <w:tblW w:w="10201" w:type="dxa"/>
        <w:tblLook w:val="04A0" w:firstRow="1" w:lastRow="0" w:firstColumn="1" w:lastColumn="0" w:noHBand="0" w:noVBand="1"/>
      </w:tblPr>
      <w:tblGrid>
        <w:gridCol w:w="4954"/>
        <w:gridCol w:w="5247"/>
      </w:tblGrid>
      <w:tr>
        <w:tblPrEx/>
        <w:trPr>
          <w:trHeight w:val="3040"/>
        </w:trPr>
        <w:tc>
          <w:tcPr>
            <w:tcW w:w="495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Заместитель начальника Департамента – начальник отдела экономики, администрирования доходов, бюджетной отчетности и закупок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______________________/К.Н.Мартюшева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/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tabs>
                <w:tab w:val="left" w:pos="3402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М.П.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5247" w:type="dxa"/>
            <w:textDirection w:val="lrTb"/>
            <w:noWrap w:val="false"/>
          </w:tcPr>
          <w:p>
            <w:pPr>
              <w:keepLines/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keepLines/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keepLines/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keepLines/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keepLines/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keepLines/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keepLines/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keepLines/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_________________/________________/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tabs>
                <w:tab w:val="left" w:pos="3402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М.П.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</w:tbl>
    <w:p>
      <w:pPr>
        <w:spacing w:after="0" w:line="240" w:lineRule="auto"/>
      </w:pPr>
      <w:r/>
      <w:r/>
    </w:p>
    <w:p>
      <w:pPr>
        <w:spacing w:after="0" w:line="240" w:lineRule="auto"/>
      </w:pPr>
      <w:r/>
      <w:r/>
    </w:p>
    <w:sectPr>
      <w:footerReference w:type="default" r:id="rId9"/>
      <w:footnotePr/>
      <w:endnotePr/>
      <w:type w:val="nextPage"/>
      <w:pgSz w:w="11906" w:h="16838" w:orient="portrait"/>
      <w:pgMar w:top="567" w:right="567" w:bottom="567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586076029"/>
      <w:docPartObj>
        <w:docPartGallery w:val="Page Numbers (Bottom of Page)"/>
        <w:docPartUnique w:val="true"/>
      </w:docPartObj>
      <w:rPr/>
    </w:sdtPr>
    <w:sdtContent>
      <w:p>
        <w:pPr>
          <w:pStyle w:val="896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9</w:t>
        </w:r>
        <w:r>
          <w:fldChar w:fldCharType="end"/>
        </w:r>
        <w:r/>
      </w:p>
    </w:sdtContent>
  </w:sdt>
  <w:p>
    <w:pPr>
      <w:pStyle w:val="896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40" w:hanging="360"/>
      </w:pPr>
      <w:rPr>
        <w:rFonts w:hint="default"/>
        <w:b/>
        <w:bCs/>
      </w:rPr>
    </w:lvl>
    <w:lvl w:ilvl="1">
      <w:start w:val="1"/>
      <w:numFmt w:val="decimal"/>
      <w:isLgl/>
      <w:suff w:val="tab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06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14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860" w:hanging="180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40" w:hanging="360"/>
        <w:tabs>
          <w:tab w:val="num" w:pos="54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907" w:hanging="623"/>
        <w:tabs>
          <w:tab w:val="num" w:pos="1421" w:leader="none"/>
        </w:tabs>
      </w:pPr>
      <w:rPr>
        <w:rFonts w:hint="default" w:cs="Times New Roman"/>
      </w:rPr>
    </w:lvl>
    <w:lvl w:ilvl="2">
      <w:start w:val="1"/>
      <w:numFmt w:val="decimal"/>
      <w:isLgl/>
      <w:suff w:val="tab"/>
      <w:lvlText w:val="%1.%2.%3."/>
      <w:lvlJc w:val="left"/>
      <w:pPr>
        <w:ind w:left="1287" w:hanging="720"/>
        <w:tabs>
          <w:tab w:val="num" w:pos="1287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1287" w:hanging="720"/>
        <w:tabs>
          <w:tab w:val="num" w:pos="1287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647" w:hanging="1080"/>
        <w:tabs>
          <w:tab w:val="num" w:pos="1647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647" w:hanging="1080"/>
        <w:tabs>
          <w:tab w:val="num" w:pos="1647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2007" w:hanging="1440"/>
        <w:tabs>
          <w:tab w:val="num" w:pos="2007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007" w:hanging="1440"/>
        <w:tabs>
          <w:tab w:val="num" w:pos="2007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367" w:hanging="1800"/>
        <w:tabs>
          <w:tab w:val="num" w:pos="2367" w:leader="none"/>
        </w:tabs>
      </w:pPr>
      <w:rPr>
        <w:rFonts w:hint="default" w:cs="Times New Roman"/>
      </w:rPr>
    </w:lvl>
  </w:abstractNum>
  <w:abstractNum w:abstractNumId="4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5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7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9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1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3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5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7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95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5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7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9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1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3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5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7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95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40" w:hanging="360"/>
        <w:tabs>
          <w:tab w:val="num" w:pos="54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907" w:hanging="623"/>
        <w:tabs>
          <w:tab w:val="num" w:pos="1421" w:leader="none"/>
        </w:tabs>
      </w:pPr>
      <w:rPr>
        <w:rFonts w:hint="default" w:cs="Times New Roman"/>
      </w:rPr>
    </w:lvl>
    <w:lvl w:ilvl="2">
      <w:start w:val="1"/>
      <w:numFmt w:val="decimal"/>
      <w:isLgl/>
      <w:suff w:val="tab"/>
      <w:lvlText w:val="%1.%2.%3."/>
      <w:lvlJc w:val="left"/>
      <w:pPr>
        <w:ind w:left="1287" w:hanging="720"/>
        <w:tabs>
          <w:tab w:val="num" w:pos="1287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1287" w:hanging="720"/>
        <w:tabs>
          <w:tab w:val="num" w:pos="1287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647" w:hanging="1080"/>
        <w:tabs>
          <w:tab w:val="num" w:pos="1647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647" w:hanging="1080"/>
        <w:tabs>
          <w:tab w:val="num" w:pos="1647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2007" w:hanging="1440"/>
        <w:tabs>
          <w:tab w:val="num" w:pos="2007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007" w:hanging="1440"/>
        <w:tabs>
          <w:tab w:val="num" w:pos="2007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367" w:hanging="1800"/>
        <w:tabs>
          <w:tab w:val="num" w:pos="2367" w:leader="none"/>
        </w:tabs>
      </w:pPr>
      <w:rPr>
        <w:rFonts w:hint="default" w:cs="Times New Roman"/>
      </w:rPr>
    </w:lvl>
  </w:abstractNum>
  <w:abstractNum w:abstractNumId="8">
    <w:multiLevelType w:val="hybridMultilevel"/>
    <w:lvl w:ilvl="0">
      <w:start w:val="13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5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7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9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1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3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5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7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95" w:hanging="180"/>
      </w:pPr>
    </w:lvl>
  </w:abstractNum>
  <w:abstractNum w:abstractNumId="10">
    <w:multiLevelType w:val="hybridMultilevel"/>
    <w:lvl w:ilvl="0">
      <w:start w:val="10"/>
      <w:numFmt w:val="bullet"/>
      <w:isLgl w:val="false"/>
      <w:suff w:val="tab"/>
      <w:lvlText w:val="-"/>
      <w:lvlJc w:val="left"/>
      <w:pPr>
        <w:ind w:left="1080" w:hanging="360"/>
      </w:pPr>
      <w:rPr>
        <w:rFonts w:hint="default" w:ascii="Calibri" w:hAnsi="Calibri" w:cs="Calibri" w:eastAsiaTheme="minorHAnsi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>
    <w:abstractNumId w:val="7"/>
  </w:num>
  <w:num w:numId="2">
    <w:abstractNumId w:val="0"/>
  </w:num>
  <w:num w:numId="3">
    <w:abstractNumId w:val="10"/>
  </w:num>
  <w:num w:numId="4">
    <w:abstractNumId w:val="2"/>
  </w:num>
  <w:num w:numId="5">
    <w:abstractNumId w:val="4"/>
  </w:num>
  <w:num w:numId="6">
    <w:abstractNumId w:val="1"/>
  </w:num>
  <w:num w:numId="7">
    <w:abstractNumId w:val="8"/>
  </w:num>
  <w:num w:numId="8">
    <w:abstractNumId w:val="6"/>
  </w:num>
  <w:num w:numId="9">
    <w:abstractNumId w:val="9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0" w:default="1">
    <w:name w:val="Normal"/>
    <w:qFormat/>
  </w:style>
  <w:style w:type="paragraph" w:styleId="701">
    <w:name w:val="Heading 1"/>
    <w:basedOn w:val="700"/>
    <w:next w:val="700"/>
    <w:link w:val="729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702">
    <w:name w:val="Heading 2"/>
    <w:basedOn w:val="700"/>
    <w:next w:val="700"/>
    <w:link w:val="730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703">
    <w:name w:val="Heading 3"/>
    <w:basedOn w:val="700"/>
    <w:next w:val="700"/>
    <w:link w:val="731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04">
    <w:name w:val="Heading 4"/>
    <w:basedOn w:val="700"/>
    <w:next w:val="700"/>
    <w:link w:val="732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05">
    <w:name w:val="Heading 5"/>
    <w:basedOn w:val="700"/>
    <w:next w:val="700"/>
    <w:link w:val="733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06">
    <w:name w:val="Heading 6"/>
    <w:basedOn w:val="700"/>
    <w:next w:val="700"/>
    <w:link w:val="734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07">
    <w:name w:val="Heading 7"/>
    <w:basedOn w:val="700"/>
    <w:next w:val="700"/>
    <w:link w:val="735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08">
    <w:name w:val="Heading 8"/>
    <w:basedOn w:val="700"/>
    <w:next w:val="700"/>
    <w:link w:val="736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09">
    <w:name w:val="Heading 9"/>
    <w:basedOn w:val="700"/>
    <w:next w:val="700"/>
    <w:link w:val="737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0" w:default="1">
    <w:name w:val="Default Paragraph Font"/>
    <w:uiPriority w:val="1"/>
    <w:semiHidden/>
    <w:unhideWhenUsed/>
  </w:style>
  <w:style w:type="table" w:styleId="71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2" w:default="1">
    <w:name w:val="No List"/>
    <w:uiPriority w:val="99"/>
    <w:semiHidden/>
    <w:unhideWhenUsed/>
  </w:style>
  <w:style w:type="character" w:styleId="713" w:customStyle="1">
    <w:name w:val="Heading 1 Char"/>
    <w:basedOn w:val="710"/>
    <w:uiPriority w:val="9"/>
    <w:rPr>
      <w:rFonts w:ascii="Arial" w:hAnsi="Arial" w:eastAsia="Arial" w:cs="Arial"/>
      <w:sz w:val="40"/>
      <w:szCs w:val="40"/>
    </w:rPr>
  </w:style>
  <w:style w:type="character" w:styleId="714" w:customStyle="1">
    <w:name w:val="Heading 2 Char"/>
    <w:basedOn w:val="710"/>
    <w:uiPriority w:val="9"/>
    <w:rPr>
      <w:rFonts w:ascii="Arial" w:hAnsi="Arial" w:eastAsia="Arial" w:cs="Arial"/>
      <w:sz w:val="34"/>
    </w:rPr>
  </w:style>
  <w:style w:type="character" w:styleId="715" w:customStyle="1">
    <w:name w:val="Heading 3 Char"/>
    <w:basedOn w:val="710"/>
    <w:uiPriority w:val="9"/>
    <w:rPr>
      <w:rFonts w:ascii="Arial" w:hAnsi="Arial" w:eastAsia="Arial" w:cs="Arial"/>
      <w:sz w:val="30"/>
      <w:szCs w:val="30"/>
    </w:rPr>
  </w:style>
  <w:style w:type="character" w:styleId="716" w:customStyle="1">
    <w:name w:val="Heading 4 Char"/>
    <w:basedOn w:val="710"/>
    <w:uiPriority w:val="9"/>
    <w:rPr>
      <w:rFonts w:ascii="Arial" w:hAnsi="Arial" w:eastAsia="Arial" w:cs="Arial"/>
      <w:b/>
      <w:bCs/>
      <w:sz w:val="26"/>
      <w:szCs w:val="26"/>
    </w:rPr>
  </w:style>
  <w:style w:type="character" w:styleId="717" w:customStyle="1">
    <w:name w:val="Heading 5 Char"/>
    <w:basedOn w:val="710"/>
    <w:uiPriority w:val="9"/>
    <w:rPr>
      <w:rFonts w:ascii="Arial" w:hAnsi="Arial" w:eastAsia="Arial" w:cs="Arial"/>
      <w:b/>
      <w:bCs/>
      <w:sz w:val="24"/>
      <w:szCs w:val="24"/>
    </w:rPr>
  </w:style>
  <w:style w:type="character" w:styleId="718" w:customStyle="1">
    <w:name w:val="Heading 6 Char"/>
    <w:basedOn w:val="710"/>
    <w:uiPriority w:val="9"/>
    <w:rPr>
      <w:rFonts w:ascii="Arial" w:hAnsi="Arial" w:eastAsia="Arial" w:cs="Arial"/>
      <w:b/>
      <w:bCs/>
      <w:sz w:val="22"/>
      <w:szCs w:val="22"/>
    </w:rPr>
  </w:style>
  <w:style w:type="character" w:styleId="719" w:customStyle="1">
    <w:name w:val="Heading 7 Char"/>
    <w:basedOn w:val="71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0" w:customStyle="1">
    <w:name w:val="Heading 8 Char"/>
    <w:basedOn w:val="710"/>
    <w:uiPriority w:val="9"/>
    <w:rPr>
      <w:rFonts w:ascii="Arial" w:hAnsi="Arial" w:eastAsia="Arial" w:cs="Arial"/>
      <w:i/>
      <w:iCs/>
      <w:sz w:val="22"/>
      <w:szCs w:val="22"/>
    </w:rPr>
  </w:style>
  <w:style w:type="character" w:styleId="721" w:customStyle="1">
    <w:name w:val="Heading 9 Char"/>
    <w:basedOn w:val="710"/>
    <w:uiPriority w:val="9"/>
    <w:rPr>
      <w:rFonts w:ascii="Arial" w:hAnsi="Arial" w:eastAsia="Arial" w:cs="Arial"/>
      <w:i/>
      <w:iCs/>
      <w:sz w:val="21"/>
      <w:szCs w:val="21"/>
    </w:rPr>
  </w:style>
  <w:style w:type="character" w:styleId="722" w:customStyle="1">
    <w:name w:val="Title Char"/>
    <w:basedOn w:val="710"/>
    <w:uiPriority w:val="10"/>
    <w:rPr>
      <w:sz w:val="48"/>
      <w:szCs w:val="48"/>
    </w:rPr>
  </w:style>
  <w:style w:type="character" w:styleId="723" w:customStyle="1">
    <w:name w:val="Subtitle Char"/>
    <w:basedOn w:val="710"/>
    <w:uiPriority w:val="11"/>
    <w:rPr>
      <w:sz w:val="24"/>
      <w:szCs w:val="24"/>
    </w:rPr>
  </w:style>
  <w:style w:type="character" w:styleId="724" w:customStyle="1">
    <w:name w:val="Quote Char"/>
    <w:uiPriority w:val="29"/>
    <w:rPr>
      <w:i/>
    </w:rPr>
  </w:style>
  <w:style w:type="character" w:styleId="725" w:customStyle="1">
    <w:name w:val="Intense Quote Char"/>
    <w:uiPriority w:val="30"/>
    <w:rPr>
      <w:i/>
    </w:rPr>
  </w:style>
  <w:style w:type="character" w:styleId="726" w:customStyle="1">
    <w:name w:val="Caption Char"/>
    <w:basedOn w:val="710"/>
    <w:uiPriority w:val="35"/>
    <w:rPr>
      <w:b/>
      <w:bCs/>
      <w:color w:val="4f81bd" w:themeColor="accent1"/>
      <w:sz w:val="18"/>
      <w:szCs w:val="18"/>
    </w:rPr>
  </w:style>
  <w:style w:type="character" w:styleId="727" w:customStyle="1">
    <w:name w:val="Footnote Text Char"/>
    <w:uiPriority w:val="99"/>
    <w:rPr>
      <w:sz w:val="18"/>
    </w:rPr>
  </w:style>
  <w:style w:type="character" w:styleId="728" w:customStyle="1">
    <w:name w:val="Endnote Text Char"/>
    <w:uiPriority w:val="99"/>
    <w:rPr>
      <w:sz w:val="20"/>
    </w:rPr>
  </w:style>
  <w:style w:type="character" w:styleId="729" w:customStyle="1">
    <w:name w:val="Заголовок 1 Знак"/>
    <w:basedOn w:val="710"/>
    <w:link w:val="701"/>
    <w:uiPriority w:val="9"/>
    <w:rPr>
      <w:rFonts w:ascii="Arial" w:hAnsi="Arial" w:eastAsia="Arial" w:cs="Arial"/>
      <w:sz w:val="40"/>
      <w:szCs w:val="40"/>
    </w:rPr>
  </w:style>
  <w:style w:type="character" w:styleId="730" w:customStyle="1">
    <w:name w:val="Заголовок 2 Знак"/>
    <w:basedOn w:val="710"/>
    <w:link w:val="702"/>
    <w:uiPriority w:val="9"/>
    <w:rPr>
      <w:rFonts w:ascii="Arial" w:hAnsi="Arial" w:eastAsia="Arial" w:cs="Arial"/>
      <w:sz w:val="34"/>
    </w:rPr>
  </w:style>
  <w:style w:type="character" w:styleId="731" w:customStyle="1">
    <w:name w:val="Заголовок 3 Знак"/>
    <w:basedOn w:val="710"/>
    <w:link w:val="703"/>
    <w:uiPriority w:val="9"/>
    <w:rPr>
      <w:rFonts w:ascii="Arial" w:hAnsi="Arial" w:eastAsia="Arial" w:cs="Arial"/>
      <w:sz w:val="30"/>
      <w:szCs w:val="30"/>
    </w:rPr>
  </w:style>
  <w:style w:type="character" w:styleId="732" w:customStyle="1">
    <w:name w:val="Заголовок 4 Знак"/>
    <w:basedOn w:val="710"/>
    <w:link w:val="704"/>
    <w:uiPriority w:val="9"/>
    <w:rPr>
      <w:rFonts w:ascii="Arial" w:hAnsi="Arial" w:eastAsia="Arial" w:cs="Arial"/>
      <w:b/>
      <w:bCs/>
      <w:sz w:val="26"/>
      <w:szCs w:val="26"/>
    </w:rPr>
  </w:style>
  <w:style w:type="character" w:styleId="733" w:customStyle="1">
    <w:name w:val="Заголовок 5 Знак"/>
    <w:basedOn w:val="710"/>
    <w:link w:val="705"/>
    <w:uiPriority w:val="9"/>
    <w:rPr>
      <w:rFonts w:ascii="Arial" w:hAnsi="Arial" w:eastAsia="Arial" w:cs="Arial"/>
      <w:b/>
      <w:bCs/>
      <w:sz w:val="24"/>
      <w:szCs w:val="24"/>
    </w:rPr>
  </w:style>
  <w:style w:type="character" w:styleId="734" w:customStyle="1">
    <w:name w:val="Заголовок 6 Знак"/>
    <w:basedOn w:val="710"/>
    <w:link w:val="706"/>
    <w:uiPriority w:val="9"/>
    <w:rPr>
      <w:rFonts w:ascii="Arial" w:hAnsi="Arial" w:eastAsia="Arial" w:cs="Arial"/>
      <w:b/>
      <w:bCs/>
      <w:sz w:val="22"/>
      <w:szCs w:val="22"/>
    </w:rPr>
  </w:style>
  <w:style w:type="character" w:styleId="735" w:customStyle="1">
    <w:name w:val="Заголовок 7 Знак"/>
    <w:basedOn w:val="710"/>
    <w:link w:val="70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6" w:customStyle="1">
    <w:name w:val="Заголовок 8 Знак"/>
    <w:basedOn w:val="710"/>
    <w:link w:val="708"/>
    <w:uiPriority w:val="9"/>
    <w:rPr>
      <w:rFonts w:ascii="Arial" w:hAnsi="Arial" w:eastAsia="Arial" w:cs="Arial"/>
      <w:i/>
      <w:iCs/>
      <w:sz w:val="22"/>
      <w:szCs w:val="22"/>
    </w:rPr>
  </w:style>
  <w:style w:type="character" w:styleId="737" w:customStyle="1">
    <w:name w:val="Заголовок 9 Знак"/>
    <w:basedOn w:val="710"/>
    <w:link w:val="709"/>
    <w:uiPriority w:val="9"/>
    <w:rPr>
      <w:rFonts w:ascii="Arial" w:hAnsi="Arial" w:eastAsia="Arial" w:cs="Arial"/>
      <w:i/>
      <w:iCs/>
      <w:sz w:val="21"/>
      <w:szCs w:val="21"/>
    </w:rPr>
  </w:style>
  <w:style w:type="paragraph" w:styleId="738">
    <w:name w:val="No Spacing"/>
    <w:uiPriority w:val="1"/>
    <w:qFormat/>
    <w:pPr>
      <w:spacing w:after="0" w:line="240" w:lineRule="auto"/>
    </w:pPr>
  </w:style>
  <w:style w:type="paragraph" w:styleId="739">
    <w:name w:val="Title"/>
    <w:basedOn w:val="700"/>
    <w:next w:val="700"/>
    <w:link w:val="740"/>
    <w:uiPriority w:val="10"/>
    <w:qFormat/>
    <w:pPr>
      <w:contextualSpacing/>
      <w:spacing w:before="300"/>
    </w:pPr>
    <w:rPr>
      <w:sz w:val="48"/>
      <w:szCs w:val="48"/>
    </w:rPr>
  </w:style>
  <w:style w:type="character" w:styleId="740" w:customStyle="1">
    <w:name w:val="Название Знак"/>
    <w:basedOn w:val="710"/>
    <w:link w:val="739"/>
    <w:uiPriority w:val="10"/>
    <w:rPr>
      <w:sz w:val="48"/>
      <w:szCs w:val="48"/>
    </w:rPr>
  </w:style>
  <w:style w:type="paragraph" w:styleId="741">
    <w:name w:val="Subtitle"/>
    <w:basedOn w:val="700"/>
    <w:next w:val="700"/>
    <w:link w:val="742"/>
    <w:uiPriority w:val="11"/>
    <w:qFormat/>
    <w:pPr>
      <w:spacing w:before="200"/>
    </w:pPr>
    <w:rPr>
      <w:sz w:val="24"/>
      <w:szCs w:val="24"/>
    </w:rPr>
  </w:style>
  <w:style w:type="character" w:styleId="742" w:customStyle="1">
    <w:name w:val="Подзаголовок Знак"/>
    <w:basedOn w:val="710"/>
    <w:link w:val="741"/>
    <w:uiPriority w:val="11"/>
    <w:rPr>
      <w:sz w:val="24"/>
      <w:szCs w:val="24"/>
    </w:rPr>
  </w:style>
  <w:style w:type="paragraph" w:styleId="743">
    <w:name w:val="Quote"/>
    <w:basedOn w:val="700"/>
    <w:next w:val="700"/>
    <w:link w:val="744"/>
    <w:uiPriority w:val="29"/>
    <w:qFormat/>
    <w:pPr>
      <w:ind w:left="720" w:right="720"/>
    </w:pPr>
    <w:rPr>
      <w:i/>
    </w:rPr>
  </w:style>
  <w:style w:type="character" w:styleId="744" w:customStyle="1">
    <w:name w:val="Цитата 2 Знак"/>
    <w:link w:val="743"/>
    <w:uiPriority w:val="29"/>
    <w:rPr>
      <w:i/>
    </w:rPr>
  </w:style>
  <w:style w:type="paragraph" w:styleId="745">
    <w:name w:val="Intense Quote"/>
    <w:basedOn w:val="700"/>
    <w:next w:val="700"/>
    <w:link w:val="74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6" w:customStyle="1">
    <w:name w:val="Выделенная цитата Знак"/>
    <w:link w:val="745"/>
    <w:uiPriority w:val="30"/>
    <w:rPr>
      <w:i/>
    </w:rPr>
  </w:style>
  <w:style w:type="character" w:styleId="747" w:customStyle="1">
    <w:name w:val="Header Char"/>
    <w:basedOn w:val="710"/>
    <w:uiPriority w:val="99"/>
  </w:style>
  <w:style w:type="character" w:styleId="748" w:customStyle="1">
    <w:name w:val="Footer Char"/>
    <w:basedOn w:val="710"/>
    <w:uiPriority w:val="99"/>
  </w:style>
  <w:style w:type="paragraph" w:styleId="749">
    <w:name w:val="Caption"/>
    <w:basedOn w:val="700"/>
    <w:next w:val="700"/>
    <w:link w:val="75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50" w:customStyle="1">
    <w:name w:val="Название объекта Знак"/>
    <w:basedOn w:val="710"/>
    <w:link w:val="749"/>
    <w:uiPriority w:val="35"/>
    <w:rPr>
      <w:b/>
      <w:bCs/>
      <w:color w:val="4f81bd" w:themeColor="accent1"/>
      <w:sz w:val="18"/>
      <w:szCs w:val="18"/>
    </w:rPr>
  </w:style>
  <w:style w:type="table" w:styleId="751">
    <w:name w:val="Table Grid"/>
    <w:basedOn w:val="71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2" w:customStyle="1">
    <w:name w:val="Table Grid Light"/>
    <w:basedOn w:val="711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3">
    <w:name w:val="Plain Table 1"/>
    <w:basedOn w:val="711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4">
    <w:name w:val="Plain Table 2"/>
    <w:basedOn w:val="71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5">
    <w:name w:val="Plain Table 3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6">
    <w:name w:val="Plain Table 4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Plain Table 5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8">
    <w:name w:val="Grid Table 1 Light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 w:customStyle="1">
    <w:name w:val="Grid Table 1 Light - Accent 1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 w:customStyle="1">
    <w:name w:val="Grid Table 1 Light - Accent 2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 w:customStyle="1">
    <w:name w:val="Grid Table 1 Light - Accent 3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 w:customStyle="1">
    <w:name w:val="Grid Table 1 Light - Accent 4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 w:customStyle="1">
    <w:name w:val="Grid Table 1 Light - Accent 5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 w:customStyle="1">
    <w:name w:val="Grid Table 1 Light - Accent 6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Grid Table 2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2 - Accent 1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2 - Accent 2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2 - Accent 3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2 - Accent 4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2 - Accent 5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2 - Accent 6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3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3 - Accent 1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3 - Accent 2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3 - Accent 3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3 - Accent 4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3 - Accent 5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3 - Accent 6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4"/>
    <w:basedOn w:val="7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0" w:customStyle="1">
    <w:name w:val="Grid Table 4 - Accent 1"/>
    <w:basedOn w:val="7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81" w:customStyle="1">
    <w:name w:val="Grid Table 4 - Accent 2"/>
    <w:basedOn w:val="7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82" w:customStyle="1">
    <w:name w:val="Grid Table 4 - Accent 3"/>
    <w:basedOn w:val="7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83" w:customStyle="1">
    <w:name w:val="Grid Table 4 - Accent 4"/>
    <w:basedOn w:val="7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84" w:customStyle="1">
    <w:name w:val="Grid Table 4 - Accent 5"/>
    <w:basedOn w:val="7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85" w:customStyle="1">
    <w:name w:val="Grid Table 4 - Accent 6"/>
    <w:basedOn w:val="7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86">
    <w:name w:val="Grid Table 5 Dark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7" w:customStyle="1">
    <w:name w:val="Grid Table 5 Dark- Accent 1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88" w:customStyle="1">
    <w:name w:val="Grid Table 5 Dark - Accent 2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89" w:customStyle="1">
    <w:name w:val="Grid Table 5 Dark - Accent 3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90" w:customStyle="1">
    <w:name w:val="Grid Table 5 Dark- Accent 4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91" w:customStyle="1">
    <w:name w:val="Grid Table 5 Dark - Accent 5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92" w:customStyle="1">
    <w:name w:val="Grid Table 5 Dark - Accent 6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93">
    <w:name w:val="Grid Table 6 Colorful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94" w:customStyle="1">
    <w:name w:val="Grid Table 6 Colorful - Accent 1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95" w:customStyle="1">
    <w:name w:val="Grid Table 6 Colorful - Accent 2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96" w:customStyle="1">
    <w:name w:val="Grid Table 6 Colorful - Accent 3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97" w:customStyle="1">
    <w:name w:val="Grid Table 6 Colorful - Accent 4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98" w:customStyle="1">
    <w:name w:val="Grid Table 6 Colorful - Accent 5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9" w:customStyle="1">
    <w:name w:val="Grid Table 6 Colorful - Accent 6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00">
    <w:name w:val="Grid Table 7 Colorful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7 Colorful - Accent 1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Grid Table 7 Colorful - Accent 2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Grid Table 7 Colorful - Accent 3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Grid Table 7 Colorful - Accent 4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Grid Table 7 Colorful - Accent 5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Grid Table 7 Colorful - Accent 6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1 Light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1 Light - Accent 1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List Table 1 Light - Accent 2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List Table 1 Light - Accent 3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1 Light - Accent 4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st Table 1 Light - Accent 5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List Table 1 Light - Accent 6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2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15" w:customStyle="1">
    <w:name w:val="List Table 2 - Accent 1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16" w:customStyle="1">
    <w:name w:val="List Table 2 - Accent 2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17" w:customStyle="1">
    <w:name w:val="List Table 2 - Accent 3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18" w:customStyle="1">
    <w:name w:val="List Table 2 - Accent 4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19" w:customStyle="1">
    <w:name w:val="List Table 2 - Accent 5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20" w:customStyle="1">
    <w:name w:val="List Table 2 - Accent 6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21">
    <w:name w:val="List Table 3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3 - Accent 1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3 - Accent 2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3 - Accent 3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3 - Accent 4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3 - Accent 5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3 - Accent 6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4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4 - Accent 1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List Table 4 - Accent 2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List Table 4 - Accent 3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List Table 4 - Accent 4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List Table 4 - Accent 5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 w:customStyle="1">
    <w:name w:val="List Table 4 - Accent 6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5 Dark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6" w:customStyle="1">
    <w:name w:val="List Table 5 Dark - Accent 1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7" w:customStyle="1">
    <w:name w:val="List Table 5 Dark - Accent 2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8" w:customStyle="1">
    <w:name w:val="List Table 5 Dark - Accent 3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9" w:customStyle="1">
    <w:name w:val="List Table 5 Dark - Accent 4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0" w:customStyle="1">
    <w:name w:val="List Table 5 Dark - Accent 5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1" w:customStyle="1">
    <w:name w:val="List Table 5 Dark - Accent 6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2">
    <w:name w:val="List Table 6 Colorful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43" w:customStyle="1">
    <w:name w:val="List Table 6 Colorful - Accent 1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44" w:customStyle="1">
    <w:name w:val="List Table 6 Colorful - Accent 2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45" w:customStyle="1">
    <w:name w:val="List Table 6 Colorful - Accent 3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46" w:customStyle="1">
    <w:name w:val="List Table 6 Colorful - Accent 4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47" w:customStyle="1">
    <w:name w:val="List Table 6 Colorful - Accent 5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48" w:customStyle="1">
    <w:name w:val="List Table 6 Colorful - Accent 6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49">
    <w:name w:val="List Table 7 Colorful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List Table 7 Colorful - Accent 1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List Table 7 Colorful - Accent 2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List Table 7 Colorful - Accent 3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List Table 7 Colorful - Accent 4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List Table 7 Colorful - Accent 5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List Table 7 Colorful - Accent 6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Lined - Accent"/>
    <w:basedOn w:val="71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7" w:customStyle="1">
    <w:name w:val="Lined - Accent 1"/>
    <w:basedOn w:val="71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8" w:customStyle="1">
    <w:name w:val="Lined - Accent 2"/>
    <w:basedOn w:val="71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9" w:customStyle="1">
    <w:name w:val="Lined - Accent 3"/>
    <w:basedOn w:val="71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0" w:customStyle="1">
    <w:name w:val="Lined - Accent 4"/>
    <w:basedOn w:val="71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1" w:customStyle="1">
    <w:name w:val="Lined - Accent 5"/>
    <w:basedOn w:val="71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2" w:customStyle="1">
    <w:name w:val="Lined - Accent 6"/>
    <w:basedOn w:val="71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3" w:customStyle="1">
    <w:name w:val="Bordered &amp; Lined - Accent"/>
    <w:basedOn w:val="71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4" w:customStyle="1">
    <w:name w:val="Bordered &amp; Lined - Accent 1"/>
    <w:basedOn w:val="71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65" w:customStyle="1">
    <w:name w:val="Bordered &amp; Lined - Accent 2"/>
    <w:basedOn w:val="71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66" w:customStyle="1">
    <w:name w:val="Bordered &amp; Lined - Accent 3"/>
    <w:basedOn w:val="71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7" w:customStyle="1">
    <w:name w:val="Bordered &amp; Lined - Accent 4"/>
    <w:basedOn w:val="71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8" w:customStyle="1">
    <w:name w:val="Bordered &amp; Lined - Accent 5"/>
    <w:basedOn w:val="71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9" w:customStyle="1">
    <w:name w:val="Bordered &amp; Lined - Accent 6"/>
    <w:basedOn w:val="71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70" w:customStyle="1">
    <w:name w:val="Bordered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71" w:customStyle="1">
    <w:name w:val="Bordered - Accent 1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72" w:customStyle="1">
    <w:name w:val="Bordered - Accent 2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73" w:customStyle="1">
    <w:name w:val="Bordered - Accent 3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74" w:customStyle="1">
    <w:name w:val="Bordered - Accent 4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75" w:customStyle="1">
    <w:name w:val="Bordered - Accent 5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76" w:customStyle="1">
    <w:name w:val="Bordered - Accent 6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77">
    <w:name w:val="footnote text"/>
    <w:basedOn w:val="700"/>
    <w:link w:val="878"/>
    <w:uiPriority w:val="99"/>
    <w:semiHidden/>
    <w:unhideWhenUsed/>
    <w:pPr>
      <w:spacing w:after="40" w:line="240" w:lineRule="auto"/>
    </w:pPr>
    <w:rPr>
      <w:sz w:val="18"/>
    </w:rPr>
  </w:style>
  <w:style w:type="character" w:styleId="878" w:customStyle="1">
    <w:name w:val="Текст сноски Знак"/>
    <w:link w:val="877"/>
    <w:uiPriority w:val="99"/>
    <w:rPr>
      <w:sz w:val="18"/>
    </w:rPr>
  </w:style>
  <w:style w:type="character" w:styleId="879">
    <w:name w:val="footnote reference"/>
    <w:basedOn w:val="710"/>
    <w:uiPriority w:val="99"/>
    <w:unhideWhenUsed/>
    <w:rPr>
      <w:vertAlign w:val="superscript"/>
    </w:rPr>
  </w:style>
  <w:style w:type="paragraph" w:styleId="880">
    <w:name w:val="endnote text"/>
    <w:basedOn w:val="700"/>
    <w:link w:val="881"/>
    <w:uiPriority w:val="99"/>
    <w:semiHidden/>
    <w:unhideWhenUsed/>
    <w:pPr>
      <w:spacing w:after="0" w:line="240" w:lineRule="auto"/>
    </w:pPr>
    <w:rPr>
      <w:sz w:val="20"/>
    </w:rPr>
  </w:style>
  <w:style w:type="character" w:styleId="881" w:customStyle="1">
    <w:name w:val="Текст концевой сноски Знак"/>
    <w:link w:val="880"/>
    <w:uiPriority w:val="99"/>
    <w:rPr>
      <w:sz w:val="20"/>
    </w:rPr>
  </w:style>
  <w:style w:type="character" w:styleId="882">
    <w:name w:val="endnote reference"/>
    <w:basedOn w:val="710"/>
    <w:uiPriority w:val="99"/>
    <w:semiHidden/>
    <w:unhideWhenUsed/>
    <w:rPr>
      <w:vertAlign w:val="superscript"/>
    </w:rPr>
  </w:style>
  <w:style w:type="paragraph" w:styleId="883">
    <w:name w:val="toc 1"/>
    <w:basedOn w:val="700"/>
    <w:next w:val="700"/>
    <w:uiPriority w:val="39"/>
    <w:unhideWhenUsed/>
    <w:pPr>
      <w:spacing w:after="57"/>
    </w:pPr>
  </w:style>
  <w:style w:type="paragraph" w:styleId="884">
    <w:name w:val="toc 2"/>
    <w:basedOn w:val="700"/>
    <w:next w:val="700"/>
    <w:uiPriority w:val="39"/>
    <w:unhideWhenUsed/>
    <w:pPr>
      <w:ind w:left="283"/>
      <w:spacing w:after="57"/>
    </w:pPr>
  </w:style>
  <w:style w:type="paragraph" w:styleId="885">
    <w:name w:val="toc 3"/>
    <w:basedOn w:val="700"/>
    <w:next w:val="700"/>
    <w:uiPriority w:val="39"/>
    <w:unhideWhenUsed/>
    <w:pPr>
      <w:ind w:left="567"/>
      <w:spacing w:after="57"/>
    </w:pPr>
  </w:style>
  <w:style w:type="paragraph" w:styleId="886">
    <w:name w:val="toc 4"/>
    <w:basedOn w:val="700"/>
    <w:next w:val="700"/>
    <w:uiPriority w:val="39"/>
    <w:unhideWhenUsed/>
    <w:pPr>
      <w:ind w:left="850"/>
      <w:spacing w:after="57"/>
    </w:pPr>
  </w:style>
  <w:style w:type="paragraph" w:styleId="887">
    <w:name w:val="toc 5"/>
    <w:basedOn w:val="700"/>
    <w:next w:val="700"/>
    <w:uiPriority w:val="39"/>
    <w:unhideWhenUsed/>
    <w:pPr>
      <w:ind w:left="1134"/>
      <w:spacing w:after="57"/>
    </w:pPr>
  </w:style>
  <w:style w:type="paragraph" w:styleId="888">
    <w:name w:val="toc 6"/>
    <w:basedOn w:val="700"/>
    <w:next w:val="700"/>
    <w:uiPriority w:val="39"/>
    <w:unhideWhenUsed/>
    <w:pPr>
      <w:ind w:left="1417"/>
      <w:spacing w:after="57"/>
    </w:pPr>
  </w:style>
  <w:style w:type="paragraph" w:styleId="889">
    <w:name w:val="toc 7"/>
    <w:basedOn w:val="700"/>
    <w:next w:val="700"/>
    <w:uiPriority w:val="39"/>
    <w:unhideWhenUsed/>
    <w:pPr>
      <w:ind w:left="1701"/>
      <w:spacing w:after="57"/>
    </w:pPr>
  </w:style>
  <w:style w:type="paragraph" w:styleId="890">
    <w:name w:val="toc 8"/>
    <w:basedOn w:val="700"/>
    <w:next w:val="700"/>
    <w:uiPriority w:val="39"/>
    <w:unhideWhenUsed/>
    <w:pPr>
      <w:ind w:left="1984"/>
      <w:spacing w:after="57"/>
    </w:pPr>
  </w:style>
  <w:style w:type="paragraph" w:styleId="891">
    <w:name w:val="toc 9"/>
    <w:basedOn w:val="700"/>
    <w:next w:val="700"/>
    <w:uiPriority w:val="39"/>
    <w:unhideWhenUsed/>
    <w:pPr>
      <w:ind w:left="2268"/>
      <w:spacing w:after="57"/>
    </w:pPr>
  </w:style>
  <w:style w:type="paragraph" w:styleId="892">
    <w:name w:val="TOC Heading"/>
    <w:uiPriority w:val="39"/>
    <w:unhideWhenUsed/>
  </w:style>
  <w:style w:type="paragraph" w:styleId="893">
    <w:name w:val="table of figures"/>
    <w:basedOn w:val="700"/>
    <w:next w:val="700"/>
    <w:uiPriority w:val="99"/>
    <w:unhideWhenUsed/>
    <w:pPr>
      <w:spacing w:after="0"/>
    </w:pPr>
  </w:style>
  <w:style w:type="paragraph" w:styleId="894">
    <w:name w:val="Header"/>
    <w:basedOn w:val="700"/>
    <w:link w:val="89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95" w:customStyle="1">
    <w:name w:val="Верхний колонтитул Знак"/>
    <w:basedOn w:val="710"/>
    <w:link w:val="894"/>
    <w:uiPriority w:val="99"/>
  </w:style>
  <w:style w:type="paragraph" w:styleId="896">
    <w:name w:val="Footer"/>
    <w:basedOn w:val="700"/>
    <w:link w:val="89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97" w:customStyle="1">
    <w:name w:val="Нижний колонтитул Знак"/>
    <w:basedOn w:val="710"/>
    <w:link w:val="896"/>
    <w:uiPriority w:val="99"/>
  </w:style>
  <w:style w:type="character" w:styleId="898">
    <w:name w:val="Hyperlink"/>
    <w:basedOn w:val="710"/>
    <w:uiPriority w:val="99"/>
    <w:unhideWhenUsed/>
    <w:rPr>
      <w:color w:val="0000ff" w:themeColor="hyperlink"/>
      <w:u w:val="single"/>
    </w:rPr>
  </w:style>
  <w:style w:type="character" w:styleId="899" w:customStyle="1">
    <w:name w:val="Основной текст_"/>
    <w:link w:val="900"/>
    <w:rPr>
      <w:rFonts w:ascii="Times New Roman" w:hAnsi="Times New Roman" w:eastAsia="Times New Roman"/>
      <w:sz w:val="21"/>
      <w:szCs w:val="21"/>
      <w:shd w:val="clear" w:color="auto" w:fill="ffffff"/>
    </w:rPr>
  </w:style>
  <w:style w:type="paragraph" w:styleId="900" w:customStyle="1">
    <w:name w:val="Основной текст1"/>
    <w:basedOn w:val="700"/>
    <w:link w:val="899"/>
    <w:pPr>
      <w:jc w:val="both"/>
      <w:spacing w:before="60" w:after="240" w:line="0" w:lineRule="atLeast"/>
      <w:shd w:val="clear" w:color="auto" w:fill="ffffff"/>
      <w:widowControl w:val="off"/>
    </w:pPr>
    <w:rPr>
      <w:rFonts w:ascii="Times New Roman" w:hAnsi="Times New Roman" w:eastAsia="Times New Roman"/>
      <w:sz w:val="21"/>
      <w:szCs w:val="21"/>
    </w:rPr>
  </w:style>
  <w:style w:type="paragraph" w:styleId="901" w:customStyle="1">
    <w:name w:val="ТекстДоговора"/>
    <w:basedOn w:val="700"/>
    <w:pPr>
      <w:ind w:firstLine="284"/>
      <w:jc w:val="both"/>
      <w:spacing w:before="60" w:after="0" w:line="240" w:lineRule="auto"/>
    </w:pPr>
    <w:rPr>
      <w:rFonts w:ascii="Tahoma" w:hAnsi="Tahoma" w:eastAsia="Times New Roman" w:cs="Times New Roman"/>
      <w:sz w:val="16"/>
      <w:szCs w:val="20"/>
      <w:lang w:eastAsia="ru-RU"/>
    </w:rPr>
  </w:style>
  <w:style w:type="paragraph" w:styleId="902">
    <w:name w:val="Normal (Web)"/>
    <w:basedOn w:val="700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03">
    <w:name w:val="List Paragraph"/>
    <w:basedOn w:val="700"/>
    <w:uiPriority w:val="34"/>
    <w:qFormat/>
    <w:pPr>
      <w:contextualSpacing/>
      <w:ind w:left="720"/>
    </w:pPr>
  </w:style>
  <w:style w:type="character" w:styleId="904" w:customStyle="1">
    <w:name w:val="Основной текст (2)"/>
    <w:basedOn w:val="710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2"/>
      <w:szCs w:val="22"/>
      <w:u w:val="none"/>
      <w:lang w:val="en-US" w:eastAsia="en-US" w:bidi="en-US"/>
    </w:rPr>
  </w:style>
  <w:style w:type="character" w:styleId="905" w:customStyle="1">
    <w:name w:val="Неразрешенное упоминание1"/>
    <w:basedOn w:val="71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279AA7-E91E-4FC5-AC84-57A5E03BC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Управление Роспотребнадзора по Челябинской области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Чернева Анна Николаевна</dc:creator>
  <cp:lastModifiedBy>e.frank@ekb.uralnedra</cp:lastModifiedBy>
  <cp:revision>145</cp:revision>
  <dcterms:created xsi:type="dcterms:W3CDTF">2020-05-26T05:50:00Z</dcterms:created>
  <dcterms:modified xsi:type="dcterms:W3CDTF">2026-09-30T05:59:19Z</dcterms:modified>
</cp:coreProperties>
</file>