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widowControl/>
        <w:spacing w:before="0" w:after="0"/>
        <w:ind w:firstLine="567" w:right="46"/>
        <w:contextualSpacing/>
        <w:jc w:val="center"/>
        <w:rPr>
          <w:rFonts w:ascii="Tinos" w:hAnsi="Tinos" w:cs="Tinos"/>
          <w:b/>
          <w:sz w:val="24"/>
          <w:szCs w:val="24"/>
        </w:rPr>
      </w:pPr>
      <w:r>
        <w:rPr>
          <w:rFonts w:cs="Tinos" w:ascii="Tinos" w:hAnsi="Tinos"/>
          <w:b/>
          <w:bCs/>
          <w:sz w:val="24"/>
          <w:szCs w:val="24"/>
        </w:rPr>
        <w:t>Контракт № 100084032126100654 (200-26)</w:t>
      </w:r>
    </w:p>
    <w:p>
      <w:pPr>
        <w:pStyle w:val="ConsPlusNonformat"/>
        <w:widowControl/>
        <w:spacing w:before="0" w:after="0"/>
        <w:ind w:firstLine="567" w:right="46"/>
        <w:contextualSpacing/>
        <w:jc w:val="center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b/>
          <w:sz w:val="24"/>
          <w:szCs w:val="24"/>
        </w:rPr>
        <w:t xml:space="preserve"> </w:t>
      </w:r>
      <w:r>
        <w:rPr>
          <w:rFonts w:cs="Tinos" w:ascii="Tinos" w:hAnsi="Tinos"/>
          <w:b/>
          <w:sz w:val="24"/>
          <w:szCs w:val="24"/>
        </w:rPr>
        <w:t xml:space="preserve">на </w:t>
      </w:r>
      <w:r>
        <w:rPr>
          <w:rFonts w:eastAsia="Arial Unicode MS" w:cs="Tinos" w:ascii="Tinos" w:hAnsi="Tinos"/>
          <w:b/>
          <w:bCs/>
          <w:strike w:val="false"/>
          <w:dstrike w:val="false"/>
          <w:color w:val="000000"/>
          <w:kern w:val="2"/>
          <w:sz w:val="24"/>
          <w:szCs w:val="24"/>
          <w:lang w:bidi="hi-IN"/>
        </w:rPr>
        <w:t>оказание услуг</w:t>
      </w:r>
    </w:p>
    <w:p>
      <w:pPr>
        <w:pStyle w:val="ConsPlusNonformat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ConsPlusNonformat"/>
        <w:widowControl/>
        <w:spacing w:before="0" w:after="0"/>
        <w:contextualSpacing/>
        <w:jc w:val="center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 xml:space="preserve">Кемеровская область-Кузбасс, г. Кемерово                                        «__» </w:t>
      </w:r>
      <w:r>
        <w:rPr>
          <w:rFonts w:cs="Tinos" w:ascii="Tinos" w:hAnsi="Tinos"/>
          <w:color w:val="000000"/>
          <w:sz w:val="24"/>
          <w:szCs w:val="24"/>
        </w:rPr>
        <w:t>________</w:t>
      </w:r>
      <w:r>
        <w:rPr>
          <w:rFonts w:cs="Tinos" w:ascii="Tinos" w:hAnsi="Tinos"/>
          <w:sz w:val="24"/>
          <w:szCs w:val="24"/>
        </w:rPr>
        <w:t xml:space="preserve"> 202</w:t>
      </w:r>
      <w:r>
        <w:rPr>
          <w:rFonts w:cs="Tinos" w:ascii="Tinos" w:hAnsi="Tinos"/>
          <w:color w:val="000000"/>
          <w:sz w:val="24"/>
          <w:szCs w:val="24"/>
        </w:rPr>
        <w:t>6</w:t>
      </w:r>
      <w:r>
        <w:rPr>
          <w:rFonts w:cs="Tinos" w:ascii="Tinos" w:hAnsi="Tinos"/>
          <w:sz w:val="24"/>
          <w:szCs w:val="24"/>
        </w:rPr>
        <w:t xml:space="preserve"> г.</w:t>
      </w:r>
    </w:p>
    <w:p>
      <w:pPr>
        <w:pStyle w:val="Normal"/>
        <w:spacing w:before="0" w:after="0"/>
        <w:ind w:firstLine="567" w:right="46"/>
        <w:contextualSpacing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spacing w:before="0" w:after="0"/>
        <w:ind w:firstLine="567" w:right="46"/>
        <w:contextualSpacing/>
        <w:jc w:val="both"/>
        <w:rPr>
          <w:rFonts w:ascii="Tinos" w:hAnsi="Tinos" w:eastAsia="Calibri" w:cs="Tinos"/>
          <w:sz w:val="24"/>
          <w:szCs w:val="24"/>
          <w:lang w:eastAsia="en-US"/>
        </w:rPr>
      </w:pPr>
      <w:bookmarkStart w:id="0" w:name="_Hlk1775658901"/>
      <w:r>
        <w:rPr>
          <w:rFonts w:cs="Tinos" w:ascii="Tinos" w:hAnsi="Tinos"/>
          <w:b/>
          <w:bCs/>
          <w:color w:val="000000"/>
          <w:sz w:val="24"/>
          <w:szCs w:val="24"/>
        </w:rPr>
        <w:t>Федеральное государственное бюджетное научное учреждение «Научно-исследовательский институт комплексных проблем сердечно-сосудистых заболеваний»</w:t>
      </w:r>
      <w:bookmarkEnd w:id="0"/>
      <w:r>
        <w:rPr>
          <w:rFonts w:cs="Tinos" w:ascii="Tinos" w:hAnsi="Tinos"/>
          <w:b/>
          <w:bCs/>
          <w:color w:val="000000"/>
          <w:sz w:val="24"/>
          <w:szCs w:val="24"/>
        </w:rPr>
        <w:t xml:space="preserve"> </w:t>
      </w:r>
      <w:r>
        <w:rPr>
          <w:rFonts w:cs="Tinos" w:ascii="Tinos" w:hAnsi="Tinos"/>
          <w:b/>
          <w:bCs/>
          <w:color w:val="000000"/>
          <w:sz w:val="24"/>
          <w:szCs w:val="24"/>
          <w:shd w:fill="FFFFFF" w:val="clear"/>
          <w:lang w:eastAsia="ru-RU"/>
        </w:rPr>
        <w:t>(НИИ КПССЗ),</w:t>
      </w:r>
      <w:r>
        <w:rPr>
          <w:rFonts w:cs="Tinos" w:ascii="Tinos" w:hAnsi="Tinos"/>
          <w:color w:val="000000"/>
          <w:sz w:val="24"/>
          <w:szCs w:val="24"/>
        </w:rPr>
        <w:t xml:space="preserve"> в лице в лице начальника отдела материально-технического снабжения Кузнецовой Александры Евгеньевны, действующей на основании доверенности от 08.06.2026 г, именуемое в дальнейшем </w:t>
      </w:r>
      <w:r>
        <w:rPr>
          <w:rFonts w:cs="Tinos" w:ascii="Tinos" w:hAnsi="Tinos"/>
          <w:b/>
          <w:bCs/>
          <w:color w:val="000000"/>
          <w:sz w:val="24"/>
          <w:szCs w:val="24"/>
        </w:rPr>
        <w:t>«Заказчик»</w:t>
      </w:r>
      <w:r>
        <w:rPr>
          <w:rFonts w:cs="Tinos" w:ascii="Tinos" w:hAnsi="Tinos"/>
          <w:color w:val="000000"/>
          <w:sz w:val="24"/>
          <w:szCs w:val="24"/>
        </w:rPr>
        <w:t>, с одной с</w:t>
      </w:r>
      <w:r>
        <w:rPr>
          <w:rFonts w:eastAsia="Calibri" w:cs="Tinos" w:ascii="Tinos" w:hAnsi="Tinos"/>
          <w:sz w:val="24"/>
          <w:szCs w:val="24"/>
          <w:lang w:eastAsia="en-US"/>
        </w:rPr>
        <w:t>тороны, и ____________, им</w:t>
      </w:r>
      <w:r>
        <w:rPr>
          <w:rFonts w:cs="Tinos" w:ascii="Tinos" w:hAnsi="Tinos"/>
          <w:color w:val="000000"/>
          <w:sz w:val="24"/>
          <w:szCs w:val="24"/>
        </w:rPr>
        <w:t xml:space="preserve">енуемое в дальнейшем «Исполнитель», в ______________________, действующего на основании _____, с другой </w:t>
      </w:r>
      <w:r>
        <w:rPr>
          <w:rFonts w:eastAsia="Calibri" w:cs="Tinos" w:ascii="Tinos" w:hAnsi="Tinos"/>
          <w:sz w:val="24"/>
          <w:szCs w:val="24"/>
          <w:lang w:eastAsia="en-US"/>
        </w:rPr>
        <w:t>стороны, совместно именуемые «Стороны», на основании пункта 5 части 1 статьи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заключили настоящий Контракт о нижеследующем: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ascii="Tinos" w:hAnsi="Tinos" w:eastAsia="Calibri" w:cs="Tinos"/>
          <w:sz w:val="24"/>
          <w:szCs w:val="24"/>
          <w:lang w:eastAsia="en-US"/>
        </w:rPr>
      </w:pPr>
      <w:r>
        <w:rPr>
          <w:rFonts w:eastAsia="Calibri" w:cs="Tinos" w:ascii="Tinos" w:hAnsi="Tinos"/>
          <w:sz w:val="24"/>
          <w:szCs w:val="24"/>
          <w:lang w:eastAsia="en-US"/>
        </w:rPr>
      </w:r>
    </w:p>
    <w:p>
      <w:pPr>
        <w:pStyle w:val="ConsPlusNonformat"/>
        <w:widowControl/>
        <w:spacing w:before="0" w:after="0"/>
        <w:ind w:firstLine="567" w:right="46"/>
        <w:contextualSpacing/>
        <w:jc w:val="center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b/>
          <w:sz w:val="24"/>
          <w:szCs w:val="24"/>
        </w:rPr>
        <w:t>1. Предмет Контракта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1.1. По настоящему Контракту Исполнитель обязуется по заданию Заказчика оказать услуги по установке камер видеонаблюдения</w:t>
      </w:r>
      <w:r>
        <w:rPr>
          <w:rFonts w:eastAsia="Arial Unicode MS" w:cs="Tinos" w:ascii="Tinos" w:hAnsi="Tinos"/>
          <w:b w:val="false"/>
          <w:bCs w:val="false"/>
          <w:color w:val="000000"/>
          <w:kern w:val="2"/>
          <w:sz w:val="24"/>
          <w:szCs w:val="24"/>
          <w:lang w:bidi="hi-IN"/>
        </w:rPr>
        <w:t xml:space="preserve">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</w:rPr>
        <w:t xml:space="preserve">(ОКПД2 </w:t>
      </w:r>
      <w:r>
        <w:rPr>
          <w:rFonts w:cs="Tinos" w:ascii="Tinos" w:hAnsi="Tinos"/>
          <w:b w:val="false"/>
          <w:bCs w:val="false"/>
          <w:color w:val="000000"/>
          <w:kern w:val="2"/>
          <w:sz w:val="24"/>
          <w:szCs w:val="24"/>
        </w:rPr>
        <w:t>80.20.10.000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</w:rPr>
        <w:t xml:space="preserve">) в соответствии со Спецификацией (Приложение №1 к настоящему Контракту),  </w:t>
      </w:r>
      <w:r>
        <w:rPr>
          <w:rFonts w:cs="Tinos" w:ascii="Tinos" w:hAnsi="Tinos"/>
          <w:color w:val="000000"/>
          <w:sz w:val="24"/>
          <w:szCs w:val="24"/>
        </w:rPr>
        <w:t>Техническим заданием (приложение №2) к настоящему Контракту</w:t>
      </w:r>
      <w:r>
        <w:rPr>
          <w:rFonts w:cs="Tinos" w:ascii="Tinos" w:hAnsi="Tinos"/>
          <w:sz w:val="24"/>
          <w:szCs w:val="24"/>
        </w:rPr>
        <w:t>, а Заказчик обязуется оплатить указанные услуги.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ConsPlusNonformat"/>
        <w:widowControl/>
        <w:spacing w:before="0" w:after="0"/>
        <w:ind w:firstLine="567" w:right="46"/>
        <w:contextualSpacing/>
        <w:jc w:val="center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b/>
          <w:sz w:val="24"/>
          <w:szCs w:val="24"/>
        </w:rPr>
        <w:t>2. Цена Контракта и порядок расчетов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ascii="Tinos" w:hAnsi="Tinos" w:eastAsia="Calibri" w:cs="Tinos"/>
          <w:sz w:val="24"/>
          <w:szCs w:val="24"/>
          <w:lang w:eastAsia="en-US"/>
        </w:rPr>
      </w:pPr>
      <w:r>
        <w:rPr>
          <w:rFonts w:cs="Tinos" w:ascii="Tinos" w:hAnsi="Tinos"/>
          <w:sz w:val="24"/>
          <w:szCs w:val="24"/>
        </w:rPr>
        <w:t>2.1. Цена Контракта составляет ________ (____________</w:t>
      </w:r>
      <w:r>
        <w:rPr>
          <w:rFonts w:eastAsia="Calibri" w:cs="Tinos" w:ascii="Tinos" w:hAnsi="Tinos"/>
          <w:sz w:val="24"/>
          <w:szCs w:val="24"/>
          <w:lang w:eastAsia="en-US"/>
        </w:rPr>
        <w:t>) рублей ____ копеек, в том числе НДС ____% (________ руб). В стоимость Контракта включены все расходы Исполнителя по оказанию услуг, в том числе по приобретению проводов, камер, погрузке, разгрузке,  транспортировке материалов предназначенных для монтажа, с учетом транспортных расходов, уплаты всех налогов, уплаченных или подлежащих у</w:t>
      </w:r>
      <w:r>
        <w:rPr>
          <w:rFonts w:eastAsia="Arial Unicode MS" w:cs="Tinos" w:ascii="Tinos" w:hAnsi="Tinos"/>
          <w:kern w:val="2"/>
          <w:sz w:val="24"/>
          <w:szCs w:val="24"/>
          <w:lang w:bidi="hi-IN"/>
        </w:rPr>
        <w:t>плате, сборов и обязательных платежей.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ascii="Tinos" w:hAnsi="Tinos" w:eastAsia="Calibri" w:cs="Tinos"/>
          <w:sz w:val="24"/>
          <w:szCs w:val="24"/>
          <w:lang w:eastAsia="en-US"/>
        </w:rPr>
      </w:pPr>
      <w:r>
        <w:rPr>
          <w:rFonts w:eastAsia="Calibri" w:cs="Tinos" w:ascii="Tinos" w:hAnsi="Tinos"/>
          <w:sz w:val="24"/>
          <w:szCs w:val="24"/>
          <w:lang w:eastAsia="en-US"/>
        </w:rPr>
        <w:t xml:space="preserve">Цена Контракт является твердой на протяжении всего срока его действия.  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ascii="Tinos" w:hAnsi="Tinos" w:eastAsia="Calibri" w:cs="Tinos"/>
          <w:sz w:val="24"/>
          <w:szCs w:val="24"/>
          <w:lang w:eastAsia="en-US"/>
        </w:rPr>
      </w:pPr>
      <w:r>
        <w:rPr>
          <w:rFonts w:eastAsia="Calibri" w:cs="Tinos" w:ascii="Tinos" w:hAnsi="Tinos"/>
          <w:sz w:val="24"/>
          <w:szCs w:val="24"/>
          <w:lang w:eastAsia="en-US"/>
        </w:rPr>
        <w:t>В случае изменения законодательства Российской Федерации в отношении условия налогообложения Исполнителя цена Контракта, указанная в абзаце первом настоящего пункта, не подлежит изменению и включаете в себя НДС. Исполнитель не вправе предъявлять к оплате суммы сверх установленной настоящем пункте.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ascii="Tinos" w:hAnsi="Tinos" w:eastAsia="Calibri" w:cs="Tinos"/>
          <w:sz w:val="24"/>
          <w:szCs w:val="24"/>
          <w:lang w:eastAsia="en-US"/>
        </w:rPr>
      </w:pPr>
      <w:r>
        <w:rPr>
          <w:rFonts w:eastAsia="Calibri" w:cs="Tinos" w:ascii="Tinos" w:hAnsi="Tinos"/>
          <w:sz w:val="24"/>
          <w:szCs w:val="24"/>
          <w:lang w:eastAsia="en-US"/>
        </w:rPr>
        <w:t xml:space="preserve">2.2. Оплата по Контракту осуществляется путем безналичного расчета. Датой оплаты считается дата списания денежных средств со счета Заказчика. </w:t>
      </w:r>
      <w:r>
        <w:rPr>
          <w:rFonts w:cs="Tinos" w:ascii="Tinos" w:hAnsi="Tinos"/>
          <w:sz w:val="24"/>
          <w:szCs w:val="24"/>
        </w:rPr>
        <w:t>В случае изменения своего расчетного счета Исполнитель обязан в течение 5 (пяти) рабочих дней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Контракте счет Исполнителя, несет Исполнитель.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eastAsia="Calibri" w:cs="Tinos" w:ascii="Tinos" w:hAnsi="Tinos"/>
          <w:sz w:val="24"/>
          <w:szCs w:val="24"/>
          <w:lang w:eastAsia="en-US"/>
        </w:rPr>
        <w:t>2.3. Расчет по настоящему Контракту производится Заказчиком в течение 10 (десяти) рабочих дней с даты приемки результата</w:t>
      </w:r>
      <w:r>
        <w:rPr>
          <w:rFonts w:eastAsia="Calibri" w:cs="Tinos" w:ascii="Tinos" w:hAnsi="Tinos"/>
          <w:color w:val="000000"/>
          <w:sz w:val="24"/>
          <w:szCs w:val="24"/>
          <w:lang w:eastAsia="en-US"/>
        </w:rPr>
        <w:t xml:space="preserve"> оказанных услуг</w:t>
      </w:r>
      <w:r>
        <w:rPr>
          <w:rFonts w:cs="Tinos" w:ascii="Tinos" w:hAnsi="Tinos"/>
          <w:sz w:val="24"/>
          <w:szCs w:val="24"/>
        </w:rPr>
        <w:t xml:space="preserve"> на основании утвержденного Заказчиком Акта приемки  товаров, работ, услуг по форме ОКУД 0510452 (Приказ Минфина от 15.04.2021 г. № 61н) (далее -ф. 0510452).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2.4. Заказчик вправе удержать сумму неисполненных Исполнителем требований об уплате неустоек (штрафов, пеней) из суммы, подлежащей оплате Исполнителю.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2.4. Источник финансирования: средства бюджетного учреждения.</w:t>
      </w:r>
    </w:p>
    <w:p>
      <w:pPr>
        <w:pStyle w:val="Normal"/>
        <w:spacing w:before="0" w:after="0"/>
        <w:ind w:firstLine="567" w:right="46"/>
        <w:contextualSpacing/>
        <w:jc w:val="both"/>
        <w:rPr>
          <w:rFonts w:ascii="Tinos" w:hAnsi="Tinos" w:cs="Tinos"/>
          <w:b/>
          <w:bCs/>
          <w:spacing w:val="-1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 xml:space="preserve">2.5. Цена Контракта может быть снижена по соглашению Сторон без изменения предусмотренного Контрактом объема Услуг, качества выполняемых Услуг и иных условий Контракта. </w:t>
      </w:r>
    </w:p>
    <w:p>
      <w:pPr>
        <w:pStyle w:val="Normal"/>
        <w:widowControl/>
        <w:spacing w:before="0" w:after="0"/>
        <w:ind w:firstLine="567" w:right="46"/>
        <w:contextualSpacing/>
        <w:jc w:val="center"/>
        <w:rPr>
          <w:rFonts w:ascii="Tinos" w:hAnsi="Tinos" w:cs="Tinos"/>
          <w:b/>
          <w:sz w:val="24"/>
          <w:szCs w:val="24"/>
        </w:rPr>
      </w:pPr>
      <w:r>
        <w:rPr>
          <w:rFonts w:cs="Tinos" w:ascii="Tinos" w:hAnsi="Tinos"/>
          <w:b/>
          <w:bCs/>
          <w:spacing w:val="-1"/>
          <w:sz w:val="24"/>
          <w:szCs w:val="24"/>
        </w:rPr>
        <w:t>3. Обязанности Сторон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b/>
          <w:szCs w:val="24"/>
        </w:rPr>
        <w:t>3.1. Заказчик по Контракту вправе: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szCs w:val="24"/>
        </w:rPr>
        <w:t>3.1.1. Требовать от Исполнителя надлежащего исполнения принятых им обязательств, а также своевременного устранения выявленных недостатков.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color w:val="000000"/>
          <w:sz w:val="22"/>
          <w:szCs w:val="22"/>
          <w:shd w:fill="FFFFFF" w:val="clear"/>
          <w:lang w:val="ru-RU"/>
        </w:rPr>
        <w:t xml:space="preserve">3.1.2. </w:t>
      </w:r>
      <w:r>
        <w:rPr>
          <w:rFonts w:cs="Tinos" w:ascii="Tinos" w:hAnsi="Tinos"/>
          <w:color w:val="000000"/>
          <w:sz w:val="24"/>
          <w:szCs w:val="24"/>
          <w:shd w:fill="FFFFFF" w:val="clear"/>
          <w:lang w:val="ru-RU"/>
        </w:rPr>
        <w:t>Во всякое время проверять ход и качество оказанных услуг, осуществляемых Исполнителем, не вмешиваясь в его деятельность.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color w:val="000000"/>
          <w:szCs w:val="24"/>
        </w:rPr>
      </w:pPr>
      <w:r>
        <w:rPr>
          <w:rFonts w:cs="Tinos" w:ascii="Tinos" w:hAnsi="Tinos"/>
          <w:szCs w:val="24"/>
        </w:rPr>
        <w:t>3.1.3. Требовать от Исполнителя представления надлежаще оформленных документов, подтверждающих исполнение принятых им обязательств.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color w:val="000000"/>
          <w:szCs w:val="24"/>
        </w:rPr>
      </w:pPr>
      <w:bookmarkStart w:id="1" w:name="_Hlk179373863_Копия_1"/>
      <w:r>
        <w:rPr>
          <w:rFonts w:cs="Tinos" w:ascii="Tinos" w:hAnsi="Tinos"/>
          <w:color w:val="000000"/>
          <w:szCs w:val="24"/>
        </w:rPr>
        <w:t>3.1.4. Требовать уплаты неустойки (штрафа, пени) в соответствии с разделом 6 Контракта.</w:t>
      </w:r>
      <w:bookmarkEnd w:id="1"/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b/>
          <w:szCs w:val="24"/>
        </w:rPr>
      </w:pPr>
      <w:r>
        <w:rPr>
          <w:rFonts w:cs="Tinos" w:ascii="Tinos" w:hAnsi="Tinos"/>
          <w:b/>
          <w:szCs w:val="24"/>
        </w:rPr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b/>
          <w:szCs w:val="24"/>
        </w:rPr>
        <w:t>3.2. Заказчик по Контракту обязан: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szCs w:val="24"/>
        </w:rPr>
        <w:t>3.2.1. Согласовать с Исполнителем дату и время начала оказания услуг</w:t>
      </w:r>
      <w:r>
        <w:rPr>
          <w:rFonts w:cs="Tinos" w:ascii="Tinos" w:hAnsi="Tinos"/>
          <w:color w:val="000000"/>
          <w:szCs w:val="24"/>
        </w:rPr>
        <w:t xml:space="preserve">, посредством направления письма на </w:t>
      </w:r>
      <w:r>
        <w:rPr>
          <w:rFonts w:cs="Tinos" w:ascii="Tinos" w:hAnsi="Tinos"/>
          <w:szCs w:val="24"/>
        </w:rPr>
        <w:t>электронную почту:</w:t>
      </w:r>
      <w:r>
        <w:rPr/>
        <w:t xml:space="preserve"> </w:t>
      </w:r>
      <w:r>
        <w:rPr>
          <w:rFonts w:cs="Tinos" w:ascii="Tinos" w:hAnsi="Tinos"/>
          <w:szCs w:val="24"/>
        </w:rPr>
        <w:t>_________________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szCs w:val="24"/>
        </w:rPr>
        <w:t>3.2.2. Направить Исполнителю уведомление о готовности начала оказания услуг</w:t>
      </w:r>
      <w:r>
        <w:rPr>
          <w:rFonts w:cs="Tinos" w:ascii="Tinos" w:hAnsi="Tinos"/>
          <w:color w:val="000000"/>
          <w:szCs w:val="24"/>
        </w:rPr>
        <w:t xml:space="preserve"> на электронную почту: __________________</w:t>
      </w:r>
      <w:r>
        <w:rPr>
          <w:rFonts w:cs="Tinos" w:ascii="Tinos" w:hAnsi="Tinos"/>
          <w:szCs w:val="24"/>
        </w:rPr>
        <w:t>.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szCs w:val="24"/>
        </w:rPr>
        <w:t>3.2.3. Произвести оплату в соответствии с условиями Контракта.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bookmarkStart w:id="2" w:name="_Hlk179373683"/>
      <w:bookmarkEnd w:id="2"/>
      <w:r>
        <w:rPr>
          <w:rFonts w:cs="Tinos" w:ascii="Tinos" w:hAnsi="Tinos"/>
          <w:szCs w:val="24"/>
        </w:rPr>
        <w:t>3.2.4. Надлежаще исполнять иные принятые на себя обязательства.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bookmarkStart w:id="3" w:name="_Hlk179373737"/>
      <w:bookmarkStart w:id="4" w:name="_Hlk179373683_Копия_1"/>
      <w:bookmarkStart w:id="5" w:name="_Hlk178155480"/>
      <w:bookmarkEnd w:id="4"/>
      <w:bookmarkEnd w:id="5"/>
      <w:r>
        <w:rPr>
          <w:rFonts w:cs="Tinos" w:ascii="Tinos" w:hAnsi="Tinos"/>
          <w:szCs w:val="24"/>
        </w:rPr>
        <w:t xml:space="preserve">3.2.5. При отсутствии замечаний, подписать и передать Исполнителю экземпляр Акта приемки товаров, работ, услуг по форме ОКУД 0510452 в порядке и сроки, предусмотренные Контрактом.  </w:t>
      </w:r>
      <w:bookmarkEnd w:id="3"/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szCs w:val="24"/>
        </w:rPr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bookmarkStart w:id="6" w:name="_Hlk178155480_Копия_1"/>
      <w:bookmarkEnd w:id="6"/>
      <w:r>
        <w:rPr>
          <w:rFonts w:cs="Tinos" w:ascii="Tinos" w:hAnsi="Tinos"/>
          <w:b/>
          <w:szCs w:val="24"/>
        </w:rPr>
        <w:t>3.3. Исполнитель по Контракту вправе: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szCs w:val="24"/>
        </w:rPr>
        <w:t xml:space="preserve">3.3.1. Получить своевременную оплату принятых Заказчиком услуг. 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b/>
          <w:szCs w:val="24"/>
        </w:rPr>
      </w:pPr>
      <w:r>
        <w:rPr>
          <w:rFonts w:cs="Tinos" w:ascii="Tinos" w:hAnsi="Tinos"/>
          <w:szCs w:val="24"/>
        </w:rPr>
        <w:t>3.3.2. Осуществлять иные права в соответствии с действующим законодательством Российской Федерации.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b/>
          <w:szCs w:val="24"/>
        </w:rPr>
        <w:t>3.4. Исполнитель по Контракту обязан: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color w:val="000000"/>
          <w:szCs w:val="24"/>
        </w:rPr>
      </w:pPr>
      <w:r>
        <w:rPr>
          <w:rFonts w:cs="Tinos" w:ascii="Tinos" w:hAnsi="Tinos"/>
          <w:szCs w:val="24"/>
        </w:rPr>
        <w:t>3.4.1. Своими силами и средствами оказать услуги в объеме согласно техническому заданию качественно и в срок, установленный пунктом 4.2 настоящего договора</w:t>
      </w:r>
      <w:r>
        <w:rPr>
          <w:rFonts w:cs="Tinos" w:ascii="Tinos" w:hAnsi="Tinos"/>
          <w:color w:val="000000"/>
          <w:szCs w:val="24"/>
        </w:rPr>
        <w:t xml:space="preserve"> 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color w:val="000000"/>
          <w:szCs w:val="24"/>
        </w:rPr>
        <w:t xml:space="preserve">3.4.2. Согласовать с Заказчиком дату и время начала оказание услуг с инженером технической службы  НИИ КПССЗ, по электронной почте </w:t>
      </w:r>
      <w:r>
        <w:rPr>
          <w:rStyle w:val="Hyperlink"/>
          <w:rFonts w:cs="Tinos" w:ascii="Tinos" w:hAnsi="Tinos"/>
          <w:szCs w:val="24"/>
        </w:rPr>
        <w:t>korovaa@kemcardio.ru</w:t>
      </w:r>
      <w:r>
        <w:rPr>
          <w:rFonts w:cs="Tinos" w:ascii="Tinos" w:hAnsi="Tinos"/>
          <w:color w:val="000000"/>
          <w:szCs w:val="24"/>
        </w:rPr>
        <w:t>.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b w:val="false"/>
          <w:bCs w:val="false"/>
          <w:kern w:val="2"/>
          <w:sz w:val="24"/>
          <w:szCs w:val="24"/>
        </w:rPr>
        <w:t>3.4.3. Незамедлительно предупредить Заказчика и до получения его указаний приостановить оказание услуг при обнаружении: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b w:val="false"/>
          <w:bCs w:val="false"/>
          <w:kern w:val="2"/>
          <w:sz w:val="24"/>
          <w:szCs w:val="24"/>
        </w:rPr>
        <w:t>- возможных неблагоприятных для Заказчика последствий выполнения его указаний о способе исполнения услуги;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b w:val="false"/>
          <w:bCs w:val="false"/>
          <w:kern w:val="2"/>
          <w:sz w:val="24"/>
          <w:szCs w:val="24"/>
        </w:rPr>
        <w:t>- иных, не зависящих от Исполнителя обстоятельств, которые грозят годности или прочности результатов оказанных услуг либо создают невозможность ее завершения в срок.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b w:val="false"/>
          <w:bCs w:val="false"/>
          <w:kern w:val="2"/>
          <w:sz w:val="24"/>
          <w:szCs w:val="24"/>
        </w:rPr>
        <w:t>3.4.4. Известить Заказчика о завершении оказании услуг по настоящему договору и о готовности к сдаче объекта Заказчику.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b w:val="false"/>
          <w:bCs w:val="false"/>
          <w:kern w:val="2"/>
          <w:sz w:val="24"/>
          <w:szCs w:val="24"/>
        </w:rPr>
        <w:t>3.4.5.  При подписании акта оказанных услуг передать Заказчику инструкции по эксплуатации, иные документы на установленное оборудование системы видеонаблюдения.</w:t>
      </w:r>
    </w:p>
    <w:p>
      <w:pPr>
        <w:pStyle w:val="BodyTextIndent"/>
        <w:tabs>
          <w:tab w:val="clear" w:pos="408"/>
          <w:tab w:val="left" w:pos="0" w:leader="none"/>
        </w:tabs>
        <w:spacing w:before="0" w:after="0"/>
        <w:ind w:firstLine="567" w:left="0" w:right="46"/>
        <w:contextualSpacing/>
        <w:rPr>
          <w:rFonts w:ascii="Tinos" w:hAnsi="Tinos" w:cs="Tinos"/>
          <w:szCs w:val="24"/>
        </w:rPr>
      </w:pPr>
      <w:r>
        <w:rPr>
          <w:rFonts w:cs="Tinos" w:ascii="Tinos" w:hAnsi="Tinos"/>
          <w:b w:val="false"/>
          <w:bCs w:val="false"/>
          <w:kern w:val="2"/>
          <w:sz w:val="24"/>
          <w:szCs w:val="24"/>
        </w:rPr>
        <w:t>3.4.6. Своевременно устранять недостатки и дефекты, выявленные при приемке оказанных услуг и в течение гарантийного срока.</w:t>
      </w:r>
    </w:p>
    <w:p>
      <w:pPr>
        <w:pStyle w:val="Normal"/>
        <w:shd w:val="clear" w:color="auto" w:fill="FFFFFF"/>
        <w:tabs>
          <w:tab w:val="clear" w:pos="408"/>
          <w:tab w:val="left" w:pos="0" w:leader="none"/>
          <w:tab w:val="left" w:pos="900" w:leader="none"/>
        </w:tabs>
        <w:spacing w:before="0" w:after="0"/>
        <w:ind w:firstLine="567" w:right="46"/>
        <w:contextualSpacing/>
        <w:jc w:val="center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408"/>
          <w:tab w:val="left" w:pos="0" w:leader="none"/>
          <w:tab w:val="left" w:pos="900" w:leader="none"/>
        </w:tabs>
        <w:spacing w:before="0" w:after="0"/>
        <w:ind w:firstLine="567" w:right="46"/>
        <w:contextualSpacing/>
        <w:jc w:val="center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b/>
          <w:sz w:val="24"/>
          <w:szCs w:val="24"/>
        </w:rPr>
        <w:t>4. Сроки и условия оказания услуг</w:t>
      </w:r>
    </w:p>
    <w:p>
      <w:pPr>
        <w:pStyle w:val="Normal"/>
        <w:shd w:val="clear" w:color="auto" w:fill="FFFFFF"/>
        <w:tabs>
          <w:tab w:val="clear" w:pos="408"/>
          <w:tab w:val="left" w:pos="0" w:leader="none"/>
          <w:tab w:val="left" w:pos="90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 xml:space="preserve">4.1. Услуги, предусмотренные п. 1.1. Контракта, выполняются по адресу: Кемеровская область - Кузбасс, г. Кемерово бульвар имени академика Л.С. Барбараша, стр. 6, стоянка. </w:t>
      </w:r>
    </w:p>
    <w:p>
      <w:pPr>
        <w:pStyle w:val="Normal"/>
        <w:shd w:val="clear" w:color="auto" w:fill="FFFFFF"/>
        <w:tabs>
          <w:tab w:val="clear" w:pos="408"/>
          <w:tab w:val="left" w:pos="0" w:leader="none"/>
          <w:tab w:val="left" w:pos="90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 xml:space="preserve">4.2. Срок оказания услуг: </w:t>
      </w:r>
      <w:r>
        <w:rPr>
          <w:rFonts w:cs="Tinos" w:ascii="Tinos" w:hAnsi="Tinos"/>
          <w:kern w:val="2"/>
          <w:sz w:val="24"/>
          <w:szCs w:val="24"/>
        </w:rPr>
        <w:t>до 30.11.2026г</w:t>
      </w:r>
      <w:r>
        <w:rPr>
          <w:rFonts w:cs="Tinos" w:ascii="Tinos" w:hAnsi="Tinos"/>
          <w:color w:val="000000"/>
          <w:sz w:val="24"/>
          <w:szCs w:val="24"/>
        </w:rPr>
        <w:t>.</w:t>
      </w:r>
    </w:p>
    <w:p>
      <w:pPr>
        <w:pStyle w:val="Normal"/>
        <w:shd w:val="clear" w:color="auto" w:fill="FFFFFF"/>
        <w:tabs>
          <w:tab w:val="clear" w:pos="408"/>
          <w:tab w:val="left" w:pos="0" w:leader="none"/>
          <w:tab w:val="left" w:pos="90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 xml:space="preserve">4.3. </w:t>
      </w:r>
      <w:r>
        <w:rPr>
          <w:rFonts w:cs="Tinos" w:ascii="Tinos" w:hAnsi="Tinos"/>
          <w:color w:val="000000"/>
          <w:sz w:val="24"/>
          <w:szCs w:val="24"/>
        </w:rPr>
        <w:t>Датой завершения оказанных услуг считается дата получения Заказчиком последнего закрывающего документа, являющегося результатом оказанных услуг, указанных в Приложении №1 настоящего Контракта, подписанного Исполнителем.</w:t>
      </w:r>
    </w:p>
    <w:p>
      <w:pPr>
        <w:pStyle w:val="Normal"/>
        <w:shd w:val="clear" w:color="auto" w:fill="FFFFFF"/>
        <w:tabs>
          <w:tab w:val="clear" w:pos="408"/>
          <w:tab w:val="left" w:pos="0" w:leader="none"/>
          <w:tab w:val="left" w:pos="90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ConsPlusNonformat"/>
        <w:widowControl/>
        <w:spacing w:before="0" w:after="0"/>
        <w:ind w:firstLine="567" w:right="46"/>
        <w:contextualSpacing/>
        <w:jc w:val="center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b/>
          <w:sz w:val="24"/>
          <w:szCs w:val="24"/>
        </w:rPr>
        <w:t xml:space="preserve">5. </w:t>
      </w:r>
      <w:r>
        <w:rPr>
          <w:rFonts w:cs="Tinos" w:ascii="Tinos" w:hAnsi="Tinos"/>
          <w:b/>
          <w:bCs/>
          <w:sz w:val="24"/>
          <w:szCs w:val="24"/>
        </w:rPr>
        <w:t>Порядок приемки оказанных услуг</w:t>
      </w:r>
    </w:p>
    <w:p>
      <w:pPr>
        <w:pStyle w:val="17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5.1. В течении 5 рабочих дней после оказания услуг Исполнитель предоставляет Заказчику следующую документацию:</w:t>
      </w:r>
    </w:p>
    <w:p>
      <w:pPr>
        <w:pStyle w:val="17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а) </w:t>
      </w:r>
      <w:r>
        <w:rPr>
          <w:rFonts w:cs="Tinos" w:ascii="Tinos" w:hAnsi="Tinos"/>
          <w:color w:val="000000"/>
          <w:sz w:val="24"/>
          <w:szCs w:val="24"/>
        </w:rPr>
        <w:t>Акт приема пере</w:t>
      </w:r>
      <w:r>
        <w:rPr>
          <w:rFonts w:cs="Tinos" w:ascii="Tinos" w:hAnsi="Tinos"/>
          <w:sz w:val="24"/>
          <w:szCs w:val="24"/>
        </w:rPr>
        <w:t>дачи оказанных услуг в двух экземплярах;</w:t>
      </w:r>
    </w:p>
    <w:p>
      <w:pPr>
        <w:pStyle w:val="17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б) счет-фактуру (УПД) или товарную накладную;</w:t>
      </w:r>
    </w:p>
    <w:p>
      <w:pPr>
        <w:pStyle w:val="17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в) Сертификаты соответствия (сертификат качества), на тов</w:t>
      </w:r>
      <w:r>
        <w:rPr>
          <w:rFonts w:cs="Tinos" w:ascii="Tinos" w:hAnsi="Tinos"/>
          <w:color w:val="000000"/>
          <w:kern w:val="2"/>
          <w:sz w:val="24"/>
          <w:szCs w:val="24"/>
        </w:rPr>
        <w:t xml:space="preserve">ары, используемый при оказании услуг, выданные официальными сертифицированными органами РФ (при наличии).А также Инструкции на русском языке, и гарантийные талоны, заверенные надлежащим образом.  </w:t>
      </w:r>
    </w:p>
    <w:p>
      <w:pPr>
        <w:pStyle w:val="17"/>
        <w:spacing w:before="0" w:after="0"/>
        <w:ind w:firstLine="567" w:right="46"/>
        <w:contextualSpacing/>
        <w:jc w:val="both"/>
        <w:rPr>
          <w:color w:val="000000"/>
        </w:rPr>
      </w:pPr>
      <w:r>
        <w:rPr>
          <w:rFonts w:cs="Tinos" w:ascii="Tinos" w:hAnsi="Tinos"/>
          <w:color w:val="000000"/>
          <w:sz w:val="24"/>
          <w:szCs w:val="24"/>
        </w:rPr>
        <w:t>5.2. Приемка результата выполненных услуг указанных в  Спецификации (Приложение №1 к настоящему Контракту) осуществляется Заказчиком в течение 5 (пяти) рабочих дней после предоставления Исполнителем подписанных итоговых документов подтверждающих оказание данных услуг, оформленных в соответствии с законодательством Российской Федерации.</w:t>
      </w:r>
    </w:p>
    <w:p>
      <w:pPr>
        <w:pStyle w:val="17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color w:val="000000"/>
          <w:sz w:val="24"/>
          <w:szCs w:val="24"/>
        </w:rPr>
        <w:t>Исполнитель имеет право присутствовать при приемке результат</w:t>
      </w:r>
      <w:r>
        <w:rPr>
          <w:rFonts w:cs="Tinos" w:ascii="Tinos" w:hAnsi="Tinos"/>
          <w:sz w:val="24"/>
          <w:szCs w:val="24"/>
        </w:rPr>
        <w:t>а выполненных услуг и лично либо направить для участия в приемке своего представителя, в таком случае Заказчик производит приемку выполненных услуг в присутствии Исполнителя либо его представителя. Стороны пришли к соглашению о том, что Акт приемки товаров, работ, услуг (ф. 0510452) может быть направлен Исполнителю в электронном виде и подписан им квалифицированной электронной подписью.</w:t>
      </w:r>
    </w:p>
    <w:p>
      <w:pPr>
        <w:pStyle w:val="17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 xml:space="preserve">5.3. По результатам приемки Комиссия </w:t>
      </w:r>
      <w:r>
        <w:rPr>
          <w:rFonts w:cs="Tinos" w:ascii="Tinos" w:hAnsi="Tinos"/>
          <w:color w:val="000000"/>
          <w:sz w:val="24"/>
          <w:szCs w:val="24"/>
        </w:rPr>
        <w:t>Заказчика п</w:t>
      </w:r>
      <w:r>
        <w:rPr>
          <w:rFonts w:cs="Tinos" w:ascii="Tinos" w:hAnsi="Tinos"/>
          <w:sz w:val="24"/>
          <w:szCs w:val="24"/>
        </w:rPr>
        <w:t xml:space="preserve">о приемке, при отсутствии замечаний к результату оказанных услуг и расхождений, составляет и подписывает Акт приемки товаров, работ, услуг (ф.0510452).  При присутствии Исполнителя при приемке результата выполненных услуг, Акт приемки товаров, работ, услуг (ф. 0510452) составляется в двух экземплярах, подписывается Комиссией по приемке и Исполнителем или уполномоченным им лицом, в день окончания приемки. Один экземпляр Акта приемки товаров, работ, услуг (ф. 0510452), с подписями Сторон, передается Исполнителю. </w:t>
      </w:r>
    </w:p>
    <w:p>
      <w:pPr>
        <w:pStyle w:val="17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 xml:space="preserve">В случае отсутствия Исполнителя при приемке результата оказанных услуг, подписанный Комиссией по приемке и утвержденный Заказчиком скан копия Акта приемки товаров, работ, услуг (ф. 0510452) в течение 1 (одного) рабочего дня, следующего за днем его утверждения Заказчиком, направляется Исполнителю. </w:t>
      </w:r>
    </w:p>
    <w:p>
      <w:pPr>
        <w:pStyle w:val="17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 xml:space="preserve">5.4. При обнаружении недостатков результата оказанных услуг, Заказчик  составляет и направляет в адрес Исполнителя претензию. </w:t>
      </w:r>
    </w:p>
    <w:p>
      <w:pPr>
        <w:pStyle w:val="17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 xml:space="preserve">5.5. При признании претензии обоснованной Исполнитель обязуется устранить недостатки результатов  оказанных услуг, в срок не более 10 (десяти) дней с момента получения письменной претензии. </w:t>
      </w:r>
    </w:p>
    <w:p>
      <w:pPr>
        <w:pStyle w:val="17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 xml:space="preserve">5.6. В случае если Исполнитель оспаривает факт оказания услуг ненадлежащего качества, Стороны привлекают для выявления характера недостатков независимого эксперта. </w:t>
      </w:r>
    </w:p>
    <w:p>
      <w:pPr>
        <w:pStyle w:val="17"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Оплата услуг эксперта осуществляется за счет Исполнителя, за исключением случаев, когда экспертизой установлено отсутствие нарушений Исполнителем условий Контракта или причинной связи между действиями Исполнителя и обнаруженными недостатками. В указанном случае расходы на экспертизу несет сторона, потребовавшая назначения экспертизы, а если она назначена по соглашению между сторонами, обе стороны поровну.</w:t>
      </w:r>
    </w:p>
    <w:p>
      <w:pPr>
        <w:pStyle w:val="17"/>
        <w:spacing w:before="0" w:after="0"/>
        <w:ind w:firstLine="567" w:right="46"/>
        <w:contextualSpacing/>
        <w:jc w:val="both"/>
        <w:rPr>
          <w:rFonts w:ascii="Tinos" w:hAnsi="Tinos" w:cs="Tinos"/>
          <w:color w:val="000000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5.7. Обязательства Исполнителя по оказанию услуг считаются выполненными Исполнителем после утверждения Заказчиком Акта приемки товаров, работ, услуг (ф. 0510452).</w:t>
      </w:r>
    </w:p>
    <w:p>
      <w:pPr>
        <w:pStyle w:val="17"/>
        <w:spacing w:before="0" w:after="0"/>
        <w:ind w:firstLine="567" w:right="46"/>
        <w:contextualSpacing/>
        <w:jc w:val="both"/>
        <w:rPr>
          <w:rFonts w:ascii="Tinos" w:hAnsi="Tinos" w:cs="Tinos"/>
          <w:b/>
          <w:bCs/>
          <w:sz w:val="24"/>
          <w:szCs w:val="24"/>
        </w:rPr>
      </w:pPr>
      <w:r>
        <w:rPr>
          <w:rFonts w:cs="Tinos" w:ascii="Tinos" w:hAnsi="Tinos"/>
          <w:color w:val="000000"/>
          <w:sz w:val="24"/>
          <w:szCs w:val="24"/>
        </w:rPr>
        <w:t>5.8. Исполнитель предоставляет гарантию на оказанные услуг и применяемые в его процессе материалы в течение 2 лет с даты подписания Заказчиком акта оказанных услуг.</w:t>
      </w:r>
    </w:p>
    <w:p>
      <w:pPr>
        <w:pStyle w:val="17"/>
        <w:spacing w:before="0" w:after="0"/>
        <w:ind w:firstLine="567" w:right="46"/>
        <w:contextualSpacing/>
        <w:jc w:val="center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b/>
          <w:bCs/>
          <w:sz w:val="24"/>
          <w:szCs w:val="24"/>
        </w:rPr>
        <w:t>6. Ответственность сторон</w:t>
      </w:r>
    </w:p>
    <w:p>
      <w:pPr>
        <w:pStyle w:val="Normal"/>
        <w:widowControl/>
        <w:tabs>
          <w:tab w:val="clear" w:pos="408"/>
          <w:tab w:val="left" w:pos="0" w:leader="none"/>
          <w:tab w:val="left" w:pos="54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6.1. За неисполнение или ненадлежащее исполнение обязательств по настоящему Контракту Стороны несут ответственность в соответствие с действующим законодательством РФ.</w:t>
      </w:r>
    </w:p>
    <w:p>
      <w:pPr>
        <w:pStyle w:val="Normal"/>
        <w:widowControl/>
        <w:tabs>
          <w:tab w:val="clear" w:pos="408"/>
          <w:tab w:val="left" w:pos="0" w:leader="none"/>
          <w:tab w:val="left" w:pos="54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 xml:space="preserve">6.2. В случае нарушения сроков оказанных услуг, установленных п.4.2 настоящего Контракта, Исполнитель уплачивает Заказчику пеню в размере 0,1% от цены Контракта, за каждый день просрочки исполнения обязательства. Пени начисляется начиная со дня, следующего за днем окончания исполнения обязательства.  </w:t>
      </w:r>
    </w:p>
    <w:p>
      <w:pPr>
        <w:pStyle w:val="Normal"/>
        <w:widowControl/>
        <w:tabs>
          <w:tab w:val="clear" w:pos="408"/>
          <w:tab w:val="left" w:pos="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 xml:space="preserve">6.3.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обязательств, Заказчик вправе требовать уплаты штрафа в размере 10% от цены Контракта, что составляет </w:t>
      </w:r>
      <w:r>
        <w:rPr>
          <w:rFonts w:cs="Tinos" w:ascii="Tinos" w:hAnsi="Tinos"/>
          <w:b/>
          <w:sz w:val="24"/>
          <w:szCs w:val="24"/>
        </w:rPr>
        <w:t>_____</w:t>
      </w:r>
      <w:r>
        <w:rPr>
          <w:rFonts w:cs="Tinos" w:ascii="Tinos" w:hAnsi="Tinos"/>
          <w:b/>
          <w:bCs/>
          <w:sz w:val="24"/>
          <w:szCs w:val="24"/>
        </w:rPr>
        <w:t xml:space="preserve"> руб.</w:t>
      </w:r>
      <w:r>
        <w:rPr>
          <w:rFonts w:cs="Tinos" w:ascii="Tinos" w:hAnsi="Tinos"/>
          <w:b/>
          <w:bCs/>
          <w:sz w:val="24"/>
          <w:szCs w:val="24"/>
          <w:shd w:fill="FFFFFF" w:val="clear"/>
        </w:rPr>
        <w:t xml:space="preserve"> ___ коп.</w:t>
      </w:r>
    </w:p>
    <w:p>
      <w:pPr>
        <w:pStyle w:val="Normal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6.4. За нарушение сроков оплаты, указанных в п. 2.3 Контракта, Исполнитель вправе требовать от Заказчика уплаты пени в размере 0,1% от суммы долга за каждый день просрочки исполнения обязательства. Пени за просрочку исполнения обязательства по оплате начисляется с рабочего дня следующего за днем, приходящимся на последний день срока оплаты.</w:t>
      </w:r>
    </w:p>
    <w:p>
      <w:pPr>
        <w:pStyle w:val="Normal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6.5 Удержание с Исполнителя пени не освобождает его от выполнения обязательств по настоящему Контракту.</w:t>
      </w:r>
    </w:p>
    <w:p>
      <w:pPr>
        <w:pStyle w:val="Normal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6.6.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>
      <w:pPr>
        <w:pStyle w:val="Normal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ConsPlusNonformat"/>
        <w:widowControl/>
        <w:spacing w:before="0" w:after="0"/>
        <w:ind w:firstLine="567" w:right="46"/>
        <w:contextualSpacing/>
        <w:jc w:val="center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b/>
          <w:sz w:val="24"/>
          <w:szCs w:val="24"/>
        </w:rPr>
        <w:t>7. Срок действия, порядок изменения и расторжения Контракта</w:t>
      </w:r>
    </w:p>
    <w:p>
      <w:pPr>
        <w:pStyle w:val="ConsPlusNonformat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 xml:space="preserve">7.1. Настоящий Контракт вступает в силу с момента его подписания Сторонами и действует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shd w:fill="auto" w:val="clear"/>
        </w:rPr>
        <w:t>до 31.12.2026, а в части оплаты – до исполнения обязательств.</w:t>
      </w:r>
    </w:p>
    <w:p>
      <w:pPr>
        <w:pStyle w:val="ConsPlusNonformat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7.2. Настоящий Контракт может быть изменен по соглашению Сторон, составленному в письменной форме.</w:t>
      </w:r>
    </w:p>
    <w:p>
      <w:pPr>
        <w:pStyle w:val="ConsPlusNonformat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7.3. Настоящий Контракт может быть расторгнут по соглашению Сторон, с составлением соответствующего дополнительного соглашения, или по решению суда в случаях, предусмотренных действующим законодательством Российской Федерации.</w:t>
      </w:r>
    </w:p>
    <w:p>
      <w:pPr>
        <w:pStyle w:val="ConsPlusNonformat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7.4. Заказчик вправе отказаться от исполнения Контракта в одностороннем внесудебном порядке в случаях:</w:t>
      </w:r>
    </w:p>
    <w:p>
      <w:pPr>
        <w:pStyle w:val="ConsPlusNonformat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-  оказания услуг ненадлежащего качества с недостатками, которые не могут быть устранены в приемлемый для Заказчика срок;</w:t>
      </w:r>
    </w:p>
    <w:p>
      <w:pPr>
        <w:pStyle w:val="ConsPlusNonformat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-  неоднократного нарушения Исполнителем сроков оказания услуг;</w:t>
      </w:r>
    </w:p>
    <w:p>
      <w:pPr>
        <w:pStyle w:val="ConsPlusNonformat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- в иных случаях, предусмотренных гражданским законодательством.</w:t>
      </w:r>
    </w:p>
    <w:p>
      <w:pPr>
        <w:pStyle w:val="ConsPlusNonformat"/>
        <w:widowControl/>
        <w:spacing w:before="0" w:after="0"/>
        <w:ind w:firstLine="567" w:right="46"/>
        <w:contextualSpacing/>
        <w:jc w:val="center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ConsPlusNonformat"/>
        <w:widowControl/>
        <w:spacing w:before="0" w:after="0"/>
        <w:ind w:firstLine="567" w:right="46"/>
        <w:contextualSpacing/>
        <w:jc w:val="center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b/>
          <w:sz w:val="24"/>
          <w:szCs w:val="24"/>
        </w:rPr>
        <w:t>8. Дополнительные условия</w:t>
      </w:r>
    </w:p>
    <w:p>
      <w:pPr>
        <w:pStyle w:val="ConsPlusNonformat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8.1. Во всем, что не урегулировано настоящим Контрактом, Стороны руководствуются законодательством Российской Федерации.</w:t>
      </w:r>
    </w:p>
    <w:p>
      <w:pPr>
        <w:pStyle w:val="ConsPlusNonformat"/>
        <w:widowControl/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8.2. Все споры и разногласия, которые могут возникнуть по настоящему Контракту, решаются путем переговоров между Сторонами. В случае если Стороны не придут к соглашению, спор подлежит рассмотрению в Арбитражном суде Кемеровской области.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8.3. Стороны подтверждают взаимное согласие на возможность осуществления обмена юридически значимыми первичными документами, адресованными Сторонам Контракта (Контракта, акты сдачи-приемки оказанных услуг, счета на оплату), в электронном виде, подписанными уполномоченными представителями Сторон с использованием усиленной квалифицированной электронной подписи, сертификат ключа проверки которой был изготовлен удостоверяющим центром, в соответствии с Федеральным законом от 06.04.2011 №63-ФЗ «Об электронной подписи». Технические средства и возможности позволяют Сторонам принимать и обрабатывать электронные формы документов. Обмен документами в электронном виде должен осуществляться по телекоммуникационным каналам связи через систему электронного документооборота «Контур.Диадок», с соблюдением требований российского законодательства, действующих на дату отправки документа.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8.4. Настоящий Контракт, подписанный с использованием ЭП, признается электронным документом, равнозначным бумажному документу, подписанному собственноручной подписью уполномоченного представителя стороны по Контракту.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Любые приложения, изменения и дополнения к настоящему Контракту действительны и являются неотъемлемой частью настоящего Контракта при условии, если они совершены в письменной форме, подписаны надлежащим образом уполномоченными представителями сторон собственноручно либо с использованием ЭП. Исключение составляют случаи изменения реквизитов сторон, которые являются действительными при наличии письменного уведомления от соответствующей стороны.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Стороны прямо договорились,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сторон.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8.5.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06.04.2011 № 63-Ф3 «Об электронной подписи».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8.6.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ЭП, включая, но не ограничиваясь: использовать специализированные программные и программно-аппаратные средства защиты информации, средства антивирусной защиты, лицензионное программное обеспечение, не допускать к компьютерам посторонних лиц, обеспечивать надежность хранения ключей ЭП, имен и паролей, используемых при работе с ними, соблюдать иные требования, установленные законодательством РФ.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8.7.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нарушении.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8.8. Использование ЭП, владельцем которой является уполномоченное лицо стороны Контракта, с нарушением конфиденциальности соответствующего ключа не освобождает сторону Контракта от ответственности за неблагоприятные последствия, наступившие в результате такого использования.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8.9. Сторона несет ответственность за ущерб, возникший у другой стороны вследствие использования ЭП, владельцем которой являются уполномоченные лица первой стороны,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ЭП.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8.10. Настоящий Контракт заключается в электронной форме.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8.11. Неотъемлемой частью Контракта является: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- Приложение №1 «Спецификация»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- Приложение №2 «Техническое задание»</w:t>
      </w:r>
    </w:p>
    <w:p>
      <w:pPr>
        <w:pStyle w:val="ConsPlusNonformat"/>
        <w:widowControl/>
        <w:tabs>
          <w:tab w:val="clear" w:pos="408"/>
          <w:tab w:val="left" w:pos="360" w:leader="none"/>
          <w:tab w:val="left" w:pos="540" w:leader="none"/>
          <w:tab w:val="left" w:pos="720" w:leader="none"/>
        </w:tabs>
        <w:spacing w:before="0" w:after="0"/>
        <w:ind w:firstLine="567" w:right="46"/>
        <w:contextualSpacing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ConsPlusNonformat"/>
        <w:widowControl/>
        <w:spacing w:before="0" w:after="0"/>
        <w:ind w:firstLine="567" w:right="46"/>
        <w:contextualSpacing/>
        <w:jc w:val="center"/>
        <w:rPr>
          <w:rFonts w:ascii="Tinos" w:hAnsi="Tinos" w:eastAsia="Calibri" w:cs="Tinos"/>
          <w:b/>
          <w:bCs/>
          <w:sz w:val="24"/>
          <w:szCs w:val="24"/>
          <w:lang w:eastAsia="en-US"/>
        </w:rPr>
      </w:pPr>
      <w:r>
        <w:rPr>
          <w:rFonts w:cs="Tinos" w:ascii="Tinos" w:hAnsi="Tinos"/>
          <w:b/>
          <w:sz w:val="24"/>
          <w:szCs w:val="24"/>
        </w:rPr>
        <w:t>9. Адреса и реквизиты сторон</w:t>
      </w:r>
    </w:p>
    <w:tbl>
      <w:tblPr>
        <w:tblW w:w="1041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332"/>
        <w:gridCol w:w="5083"/>
      </w:tblGrid>
      <w:tr>
        <w:trPr>
          <w:trHeight w:val="264" w:hRule="atLeast"/>
        </w:trPr>
        <w:tc>
          <w:tcPr>
            <w:tcW w:w="5332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bookmarkStart w:id="7" w:name="_Hlk179380629"/>
            <w:bookmarkEnd w:id="7"/>
            <w:r>
              <w:rPr>
                <w:rFonts w:eastAsia="Calibri" w:cs="Tinos" w:ascii="Tinos" w:hAnsi="Tinos"/>
                <w:b/>
                <w:bCs/>
                <w:sz w:val="24"/>
                <w:szCs w:val="24"/>
                <w:lang w:eastAsia="en-US"/>
              </w:rPr>
              <w:t>Заказчик: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bookmarkStart w:id="8" w:name="_Hlk179380629_Копия_1"/>
            <w:bookmarkEnd w:id="8"/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Федеральное государственное бюджетное научное учреждение «Научно-исследовательский институт комплексных проблем сердечно-сосудистых заболеваний»</w:t>
            </w:r>
          </w:p>
          <w:p>
            <w:pPr>
              <w:pStyle w:val="Normal"/>
              <w:widowControl/>
              <w:overflowPunct w:val="false"/>
              <w:spacing w:before="0" w:after="0"/>
              <w:jc w:val="left"/>
              <w:textAlignment w:val="auto"/>
              <w:rPr>
                <w:szCs w:val="24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ИНН 4205012290  КПП 420501001</w:t>
            </w:r>
          </w:p>
          <w:p>
            <w:pPr>
              <w:pStyle w:val="Normal"/>
              <w:widowControl/>
              <w:overflowPunct w:val="false"/>
              <w:spacing w:before="0" w:after="0"/>
              <w:jc w:val="left"/>
              <w:textAlignment w:val="auto"/>
              <w:rPr>
                <w:b w:val="false"/>
                <w:bCs w:val="false"/>
                <w:szCs w:val="24"/>
              </w:rPr>
            </w:pPr>
            <w:r>
              <w:rPr>
                <w:rFonts w:eastAsia="Calibri" w:cs="Tinos" w:ascii="Tinos" w:hAnsi="Tinos"/>
                <w:b w:val="false"/>
                <w:bCs w:val="false"/>
                <w:sz w:val="24"/>
                <w:szCs w:val="24"/>
                <w:lang w:eastAsia="en-US"/>
              </w:rPr>
              <w:t>УФК по Новосибирской области (НИИ КПССЗ л/с 20396Х66880)</w:t>
            </w:r>
          </w:p>
          <w:p>
            <w:pPr>
              <w:pStyle w:val="Normal"/>
              <w:widowControl/>
              <w:overflowPunct w:val="false"/>
              <w:spacing w:before="0" w:after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Казначейский счет 03214643000000015106</w:t>
            </w:r>
          </w:p>
          <w:p>
            <w:pPr>
              <w:pStyle w:val="Normal"/>
              <w:widowControl/>
              <w:overflowPunct w:val="false"/>
              <w:spacing w:before="0" w:after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ОКЦ № 1 СибГУ Банка России//УФК по Новосибирской области, г. Новосибирск</w:t>
            </w:r>
          </w:p>
          <w:p>
            <w:pPr>
              <w:pStyle w:val="Normal"/>
              <w:widowControl/>
              <w:overflowPunct w:val="false"/>
              <w:spacing w:before="0" w:after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 015004950</w:t>
            </w:r>
          </w:p>
          <w:p>
            <w:pPr>
              <w:pStyle w:val="Normal"/>
              <w:widowControl/>
              <w:overflowPunct w:val="false"/>
              <w:spacing w:before="0" w:after="0"/>
              <w:jc w:val="left"/>
              <w:textAlignment w:val="auto"/>
              <w:rPr>
                <w:szCs w:val="24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Единый казначейский счет  40102810445370000043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КБК 00000000000000000130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ОГРН 1034205024479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ОКПО 55608705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ОКАТО 32401367000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ОКТМО 32701000001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ОКОГУ 1322600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ОКФС 12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ОКОПФ 75103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ОКВЭД 72.19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cs="Tinos"/>
                <w:sz w:val="24"/>
                <w:szCs w:val="24"/>
                <w:lang w:eastAsia="en-US"/>
              </w:rPr>
            </w:pPr>
            <w:r>
              <w:rPr>
                <w:rFonts w:cs="Tinos" w:ascii="Tinos" w:hAnsi="Tinos"/>
                <w:sz w:val="24"/>
                <w:szCs w:val="24"/>
                <w:lang w:eastAsia="en-US"/>
              </w:rPr>
              <w:t>Адрес: 650002, г. Кемерово, р-н Рудничный,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  <w:lang w:eastAsia="en-US"/>
              </w:rPr>
              <w:t>бульвар имени академика Л.С.Барбараша, стр. 6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Начальник отдела материально-технического снабжения ____________ А.Е.Кузнецова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083" w:type="dxa"/>
            <w:tcBorders/>
          </w:tcPr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b/>
                <w:sz w:val="24"/>
                <w:szCs w:val="24"/>
              </w:rPr>
              <w:t>Исполнитель:</w:t>
            </w:r>
          </w:p>
          <w:p>
            <w:pPr>
              <w:pStyle w:val="Style20"/>
              <w:widowControl w:val="false"/>
              <w:spacing w:before="0" w:after="0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  <w:t xml:space="preserve"> </w:t>
            </w:r>
            <w:r>
              <w:rPr>
                <w:rFonts w:cs="Tinos" w:ascii="Tinos" w:hAnsi="Tinos"/>
                <w:sz w:val="24"/>
                <w:szCs w:val="24"/>
              </w:rPr>
              <w:t>__________________</w:t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  <w:t>м.п.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095" w:right="700" w:gutter="0" w:header="720" w:top="777" w:footer="0" w:bottom="776"/>
          <w:pgNumType w:start="1" w:fmt="decimal"/>
          <w:formProt w:val="false"/>
          <w:titlePg/>
          <w:textDirection w:val="lrTb"/>
          <w:docGrid w:type="default" w:linePitch="272" w:charSpace="8192"/>
        </w:sectPr>
      </w:pPr>
    </w:p>
    <w:p>
      <w:pPr>
        <w:pStyle w:val="Normal"/>
        <w:spacing w:before="0" w:after="0"/>
        <w:contextualSpacing/>
        <w:jc w:val="right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  <w:t>Приложение № 1</w:t>
      </w:r>
    </w:p>
    <w:p>
      <w:pPr>
        <w:pStyle w:val="Normal"/>
        <w:spacing w:before="0" w:after="0"/>
        <w:contextualSpacing/>
        <w:jc w:val="right"/>
        <w:rPr>
          <w:rFonts w:ascii="Tinos" w:hAnsi="Tinos" w:eastAsia="Calibri" w:cs="Tinos"/>
          <w:sz w:val="24"/>
          <w:szCs w:val="24"/>
          <w:lang w:eastAsia="en-US"/>
        </w:rPr>
      </w:pPr>
      <w:r>
        <w:rPr>
          <w:rFonts w:cs="Tinos" w:ascii="Tinos" w:hAnsi="Tinos"/>
          <w:sz w:val="24"/>
          <w:szCs w:val="24"/>
        </w:rPr>
        <w:t>к Контракту №</w:t>
      </w:r>
      <w:r>
        <w:rPr>
          <w:rFonts w:eastAsia="Calibri" w:cs="Tinos" w:ascii="Tinos" w:hAnsi="Tinos"/>
          <w:sz w:val="24"/>
          <w:szCs w:val="24"/>
          <w:lang w:eastAsia="en-US"/>
        </w:rPr>
        <w:t xml:space="preserve">100084032126100654 </w:t>
      </w:r>
      <w:r>
        <w:rPr>
          <w:rFonts w:eastAsia="Calibri" w:cs="Tinos" w:ascii="Tinos" w:hAnsi="Tinos"/>
          <w:sz w:val="24"/>
          <w:szCs w:val="24"/>
          <w:lang w:eastAsia="en-US"/>
        </w:rPr>
        <w:t>(200-26)</w:t>
      </w:r>
    </w:p>
    <w:p>
      <w:pPr>
        <w:pStyle w:val="Normal"/>
        <w:spacing w:before="0" w:after="0"/>
        <w:contextualSpacing/>
        <w:jc w:val="right"/>
        <w:rPr>
          <w:rFonts w:ascii="Tinos" w:hAnsi="Tinos" w:cs="Tinos"/>
          <w:b/>
          <w:bCs/>
          <w:sz w:val="24"/>
          <w:szCs w:val="24"/>
        </w:rPr>
      </w:pPr>
      <w:r>
        <w:rPr>
          <w:rFonts w:eastAsia="Calibri" w:cs="Tinos" w:ascii="Tinos" w:hAnsi="Tinos"/>
          <w:sz w:val="24"/>
          <w:szCs w:val="24"/>
          <w:lang w:eastAsia="en-US"/>
        </w:rPr>
        <w:t>«__» ___________ 202</w:t>
      </w:r>
      <w:r>
        <w:rPr>
          <w:rFonts w:eastAsia="Calibri" w:cs="Tinos" w:ascii="Tinos" w:hAnsi="Tinos"/>
          <w:color w:val="000000"/>
          <w:sz w:val="24"/>
          <w:szCs w:val="24"/>
          <w:lang w:eastAsia="en-US"/>
        </w:rPr>
        <w:t>6</w:t>
      </w:r>
      <w:r>
        <w:rPr>
          <w:rFonts w:eastAsia="Calibri" w:cs="Tinos" w:ascii="Tinos" w:hAnsi="Tinos"/>
          <w:sz w:val="24"/>
          <w:szCs w:val="24"/>
          <w:lang w:eastAsia="en-US"/>
        </w:rPr>
        <w:t>г.</w:t>
      </w:r>
      <w:bookmarkStart w:id="9" w:name="_Hlk180496427"/>
      <w:bookmarkEnd w:id="9"/>
    </w:p>
    <w:p>
      <w:pPr>
        <w:pStyle w:val="Normal"/>
        <w:spacing w:before="0" w:after="0"/>
        <w:contextualSpacing/>
        <w:jc w:val="center"/>
        <w:rPr>
          <w:rFonts w:ascii="Tinos" w:hAnsi="Tinos" w:cs="Tinos"/>
          <w:b/>
          <w:bCs/>
          <w:sz w:val="24"/>
          <w:szCs w:val="24"/>
        </w:rPr>
      </w:pPr>
      <w:r>
        <w:rPr>
          <w:rFonts w:cs="Tinos" w:ascii="Tinos" w:hAnsi="Tinos"/>
          <w:b/>
          <w:bCs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b/>
          <w:bCs/>
          <w:sz w:val="24"/>
          <w:szCs w:val="24"/>
        </w:rPr>
        <w:t>Спецификация</w:t>
      </w:r>
    </w:p>
    <w:tbl>
      <w:tblPr>
        <w:tblW w:w="15719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597"/>
        <w:gridCol w:w="6652"/>
        <w:gridCol w:w="2100"/>
        <w:gridCol w:w="912"/>
        <w:gridCol w:w="905"/>
        <w:gridCol w:w="1533"/>
        <w:gridCol w:w="1144"/>
        <w:gridCol w:w="1753"/>
        <w:gridCol w:w="123"/>
      </w:tblGrid>
      <w:tr>
        <w:trPr>
          <w:trHeight w:val="23" w:hRule="atLeast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  <w:t>п/п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  <w:t>Наименование, минимальные технические (качественные) характеристики  товара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nos" w:ascii="Tinos" w:hAnsi="Tinos"/>
                <w:sz w:val="24"/>
                <w:szCs w:val="24"/>
              </w:rPr>
              <w:t xml:space="preserve">Страна происхождения </w:t>
            </w:r>
            <w:r>
              <w:rPr>
                <w:rFonts w:cs="Tinos" w:ascii="Tinos" w:hAnsi="Tinos"/>
                <w:color w:val="000000"/>
                <w:sz w:val="24"/>
                <w:szCs w:val="24"/>
              </w:rPr>
              <w:t>ТРУ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  <w:t>Кол-во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  <w:t>Ед. изм.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contextualSpacing/>
              <w:jc w:val="center"/>
              <w:rPr>
                <w:rFonts w:ascii="Tinos" w:hAnsi="Tinos" w:cs="Tinos"/>
                <w:color w:val="000000"/>
                <w:spacing w:val="-11"/>
                <w:sz w:val="24"/>
                <w:szCs w:val="24"/>
              </w:rPr>
            </w:pPr>
            <w:r>
              <w:rPr>
                <w:rFonts w:cs="Tinos" w:ascii="Tinos" w:hAnsi="Tinos"/>
                <w:color w:val="000000"/>
                <w:spacing w:val="-11"/>
                <w:sz w:val="24"/>
                <w:szCs w:val="24"/>
              </w:rPr>
              <w:t>Стоимость единицы, рублей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contextualSpacing/>
              <w:jc w:val="center"/>
              <w:rPr>
                <w:rFonts w:ascii="Tinos" w:hAnsi="Tinos" w:cs="Tinos"/>
                <w:color w:val="000000"/>
                <w:spacing w:val="-11"/>
                <w:sz w:val="24"/>
                <w:szCs w:val="24"/>
              </w:rPr>
            </w:pPr>
            <w:r>
              <w:rPr>
                <w:rFonts w:cs="Tinos" w:ascii="Tinos" w:hAnsi="Tinos"/>
                <w:color w:val="000000"/>
                <w:spacing w:val="-11"/>
                <w:sz w:val="24"/>
                <w:szCs w:val="24"/>
              </w:rPr>
              <w:t>НДС, рублей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contextualSpacing/>
              <w:jc w:val="center"/>
              <w:rPr>
                <w:rFonts w:ascii="Tinos" w:hAnsi="Tinos" w:cs="Tinos"/>
                <w:color w:val="000000"/>
                <w:spacing w:val="-11"/>
                <w:sz w:val="24"/>
                <w:szCs w:val="24"/>
              </w:rPr>
            </w:pPr>
            <w:r>
              <w:rPr>
                <w:rFonts w:cs="Tinos" w:ascii="Tinos" w:hAnsi="Tinos"/>
                <w:color w:val="000000"/>
                <w:spacing w:val="-11"/>
                <w:sz w:val="24"/>
                <w:szCs w:val="24"/>
              </w:rPr>
              <w:t>Общая стоимость с НДС, рублей</w:t>
            </w:r>
          </w:p>
        </w:tc>
        <w:tc>
          <w:tcPr>
            <w:tcW w:w="123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</w:tc>
      </w:tr>
      <w:tr>
        <w:trPr>
          <w:trHeight w:val="23" w:hRule="atLeast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  <w:t>1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u w:val="none"/>
              </w:rPr>
            </w:pPr>
            <w:r>
              <w:rPr>
                <w:rFonts w:eastAsia="Arial Unicode MS" w:cs="Tinos"/>
                <w:kern w:val="2"/>
                <w:sz w:val="24"/>
                <w:szCs w:val="24"/>
                <w:u w:val="none"/>
                <w:lang w:eastAsia="ru-RU" w:bidi="hi-IN"/>
              </w:rPr>
              <w:t>Установка камер видеонаблюдения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  <w:t>1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  <w:t>усл.ед.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WW-"/>
              <w:widowControl w:val="false"/>
              <w:tabs>
                <w:tab w:val="clear" w:pos="709"/>
              </w:tabs>
              <w:snapToGrid w:val="false"/>
              <w:spacing w:lineRule="auto" w:line="240"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WW-"/>
              <w:widowControl w:val="false"/>
              <w:tabs>
                <w:tab w:val="clear" w:pos="709"/>
              </w:tabs>
              <w:snapToGrid w:val="false"/>
              <w:spacing w:lineRule="auto" w:line="240"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WW-"/>
              <w:widowControl w:val="false"/>
              <w:tabs>
                <w:tab w:val="clear" w:pos="709"/>
              </w:tabs>
              <w:snapToGrid w:val="false"/>
              <w:spacing w:lineRule="auto" w:line="240"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</w:tc>
        <w:tc>
          <w:tcPr>
            <w:tcW w:w="123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</w:tc>
      </w:tr>
      <w:tr>
        <w:trPr>
          <w:trHeight w:val="23" w:hRule="atLeast"/>
        </w:trPr>
        <w:tc>
          <w:tcPr>
            <w:tcW w:w="155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nos" w:hAnsi="Tinos" w:cs="Tinos"/>
                <w:b/>
                <w:bCs/>
                <w:sz w:val="24"/>
                <w:szCs w:val="24"/>
              </w:rPr>
            </w:pPr>
            <w:r>
              <w:rPr>
                <w:rFonts w:cs="Tinos" w:ascii="Tinos" w:hAnsi="Tinos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3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nos" w:hAnsi="Tinos" w:cs="Tinos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nos" w:ascii="Tinos" w:hAnsi="Tinos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23" w:hRule="atLeast"/>
        </w:trPr>
        <w:tc>
          <w:tcPr>
            <w:tcW w:w="9349" w:type="dxa"/>
            <w:gridSpan w:val="3"/>
            <w:tcBorders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7680" w:leader="none"/>
              </w:tabs>
              <w:snapToGrid w:val="false"/>
              <w:spacing w:before="0" w:after="0"/>
              <w:contextualSpacing/>
              <w:rPr>
                <w:rFonts w:ascii="Tinos" w:hAnsi="Tinos" w:cs="Tinos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nos" w:ascii="Tinos" w:hAnsi="Tinos"/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408"/>
                <w:tab w:val="left" w:pos="7680" w:leader="none"/>
              </w:tabs>
              <w:spacing w:before="0" w:after="0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b/>
                <w:color w:val="000000"/>
                <w:sz w:val="24"/>
                <w:szCs w:val="24"/>
              </w:rPr>
              <w:t>Заказчик: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Начальник отдела материально-технического снабжения ____________ А.Е.Кузнецова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7680" w:leader="none"/>
              </w:tabs>
              <w:spacing w:before="0" w:after="0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  <w:t>м.п.</w:t>
            </w:r>
          </w:p>
        </w:tc>
        <w:tc>
          <w:tcPr>
            <w:tcW w:w="1817" w:type="dxa"/>
            <w:gridSpan w:val="2"/>
            <w:tcBorders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7680" w:leader="none"/>
              </w:tabs>
              <w:snapToGrid w:val="false"/>
              <w:spacing w:before="0" w:after="0"/>
              <w:contextualSpacing/>
              <w:rPr>
                <w:rFonts w:ascii="Tinos" w:hAnsi="Tinos" w:cs="Tinos"/>
                <w:b/>
                <w:color w:val="000000"/>
                <w:sz w:val="24"/>
                <w:szCs w:val="24"/>
              </w:rPr>
            </w:pPr>
            <w:r>
              <w:rPr>
                <w:rFonts w:cs="Tinos" w:ascii="Tinos" w:hAnsi="Tinos"/>
                <w:b/>
                <w:color w:val="000000"/>
                <w:sz w:val="24"/>
                <w:szCs w:val="24"/>
              </w:rPr>
            </w:r>
          </w:p>
        </w:tc>
        <w:tc>
          <w:tcPr>
            <w:tcW w:w="4553" w:type="dxa"/>
            <w:gridSpan w:val="4"/>
            <w:tcBorders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7680" w:leader="none"/>
              </w:tabs>
              <w:snapToGrid w:val="false"/>
              <w:spacing w:before="0" w:after="0"/>
              <w:contextualSpacing/>
              <w:rPr>
                <w:rFonts w:ascii="Tinos" w:hAnsi="Tinos" w:cs="Tinos"/>
                <w:b/>
                <w:color w:val="000000"/>
                <w:sz w:val="24"/>
                <w:szCs w:val="24"/>
              </w:rPr>
            </w:pPr>
            <w:r>
              <w:rPr>
                <w:rFonts w:cs="Tinos" w:ascii="Tinos" w:hAnsi="Tinos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408"/>
                <w:tab w:val="left" w:pos="7680" w:leader="none"/>
              </w:tabs>
              <w:spacing w:before="0" w:after="0"/>
              <w:contextualSpacing/>
              <w:rPr>
                <w:rFonts w:ascii="Tinos" w:hAnsi="Tinos" w:cs="Tinos"/>
                <w:b/>
                <w:color w:val="000000"/>
                <w:sz w:val="24"/>
                <w:szCs w:val="24"/>
              </w:rPr>
            </w:pPr>
            <w:r>
              <w:rPr>
                <w:rFonts w:cs="Tinos" w:ascii="Tinos" w:hAnsi="Tinos"/>
                <w:b/>
                <w:color w:val="000000"/>
                <w:sz w:val="24"/>
                <w:szCs w:val="24"/>
              </w:rPr>
              <w:t>Исполнитель: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7680" w:leader="none"/>
              </w:tabs>
              <w:spacing w:before="0" w:after="0"/>
              <w:contextualSpacing/>
              <w:rPr>
                <w:rFonts w:ascii="Tinos" w:hAnsi="Tinos" w:cs="Tinos"/>
                <w:b/>
                <w:color w:val="000000"/>
                <w:sz w:val="24"/>
                <w:szCs w:val="24"/>
              </w:rPr>
            </w:pPr>
            <w:r>
              <w:rPr>
                <w:rFonts w:cs="Tinos" w:ascii="Tinos" w:hAnsi="Tinos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nos" w:hAnsi="Tinos" w:cs="Tinos"/>
                <w:b/>
                <w:color w:val="000000"/>
                <w:sz w:val="24"/>
                <w:szCs w:val="24"/>
              </w:rPr>
            </w:pPr>
            <w:r>
              <w:rPr>
                <w:rFonts w:cs="Tinos" w:ascii="Tinos" w:hAnsi="Tinos"/>
                <w:b/>
                <w:color w:val="000000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  <w:t>______________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7680" w:leader="none"/>
              </w:tabs>
              <w:snapToGrid w:val="false"/>
              <w:spacing w:before="0" w:after="0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cs="Tinos" w:ascii="Tinos" w:hAnsi="Tinos"/>
                <w:sz w:val="24"/>
                <w:szCs w:val="24"/>
              </w:rPr>
              <w:t>м.п.</w:t>
            </w:r>
          </w:p>
        </w:tc>
      </w:tr>
    </w:tbl>
    <w:p>
      <w:pPr>
        <w:pStyle w:val="Normal"/>
        <w:widowControl/>
        <w:spacing w:before="0" w:after="0"/>
        <w:contextualSpacing/>
        <w:jc w:val="right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b/>
          <w:bCs/>
          <w:kern w:val="2"/>
          <w:sz w:val="24"/>
          <w:szCs w:val="24"/>
          <w:lang w:bidi="hi-IN"/>
        </w:rPr>
        <w:t xml:space="preserve"> </w:t>
      </w:r>
      <w:r>
        <w:rPr>
          <w:kern w:val="2"/>
          <w:sz w:val="24"/>
          <w:szCs w:val="24"/>
          <w:lang w:bidi="hi-IN"/>
        </w:rPr>
        <w:t>Приложение №</w:t>
      </w:r>
      <w:r>
        <w:rPr>
          <w:color w:val="000000"/>
          <w:kern w:val="2"/>
          <w:sz w:val="24"/>
          <w:szCs w:val="24"/>
          <w:lang w:bidi="hi-IN"/>
        </w:rPr>
        <w:t>2</w:t>
      </w:r>
    </w:p>
    <w:p>
      <w:pPr>
        <w:pStyle w:val="Normal"/>
        <w:spacing w:before="0" w:after="0"/>
        <w:contextualSpacing/>
        <w:jc w:val="right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к </w:t>
      </w:r>
      <w:r>
        <w:rPr>
          <w:rFonts w:cs="Tinos" w:ascii="Tinos" w:hAnsi="Tinos"/>
          <w:sz w:val="24"/>
          <w:szCs w:val="24"/>
        </w:rPr>
        <w:t>Контракт</w:t>
      </w:r>
      <w:r>
        <w:rPr>
          <w:sz w:val="24"/>
          <w:szCs w:val="24"/>
        </w:rPr>
        <w:t>у №</w:t>
      </w:r>
      <w:r>
        <w:rPr>
          <w:rFonts w:eastAsia="Calibri" w:cs="Tinos" w:ascii="Tinos" w:hAnsi="Tinos"/>
          <w:sz w:val="24"/>
          <w:szCs w:val="24"/>
          <w:lang w:eastAsia="en-US"/>
        </w:rPr>
        <w:t>100084032126100654 (200-26)</w:t>
      </w:r>
    </w:p>
    <w:p>
      <w:pPr>
        <w:pStyle w:val="Normal"/>
        <w:spacing w:before="0" w:after="0"/>
        <w:contextualSpacing/>
        <w:jc w:val="right"/>
        <w:rPr>
          <w:b/>
          <w:bCs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«__» _________ 202</w:t>
      </w:r>
      <w:r>
        <w:rPr>
          <w:rFonts w:eastAsia="Calibri"/>
          <w:color w:val="000000"/>
          <w:sz w:val="24"/>
          <w:szCs w:val="24"/>
          <w:lang w:eastAsia="en-US"/>
        </w:rPr>
        <w:t>6</w:t>
      </w:r>
      <w:r>
        <w:rPr>
          <w:rFonts w:eastAsia="Calibri"/>
          <w:sz w:val="24"/>
          <w:szCs w:val="24"/>
          <w:lang w:eastAsia="en-US"/>
        </w:rPr>
        <w:t>г.</w:t>
      </w:r>
      <w:bookmarkStart w:id="10" w:name="_Hlk1804964271"/>
      <w:bookmarkEnd w:id="10"/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center"/>
        <w:rPr>
          <w:rFonts w:ascii="Liberation Serif;Times New Roma" w:hAnsi="Liberation Serif;Times New Roma" w:eastAsia="NSimSun" w:cs="Liberation Serif;Times New Roma"/>
          <w:kern w:val="2"/>
          <w:sz w:val="24"/>
          <w:szCs w:val="24"/>
          <w:lang w:bidi="hi-IN"/>
        </w:rPr>
      </w:pPr>
      <w:r>
        <w:rPr>
          <w:rFonts w:eastAsia="NSimSun"/>
          <w:b/>
          <w:bCs/>
          <w:kern w:val="2"/>
          <w:sz w:val="24"/>
          <w:szCs w:val="24"/>
          <w:lang w:bidi="hi-IN"/>
        </w:rPr>
        <w:t>Техническое задание на оказание услуг</w:t>
      </w:r>
      <w:r>
        <w:rPr>
          <w:b/>
          <w:bCs/>
          <w:kern w:val="2"/>
          <w:sz w:val="24"/>
          <w:szCs w:val="24"/>
        </w:rPr>
        <w:t xml:space="preserve"> </w:t>
      </w:r>
      <w:r>
        <w:rPr>
          <w:rFonts w:eastAsia="NSimSun" w:cs="Liberation Serif;Times New Roma" w:ascii="Liberation Serif;Times New Roma" w:hAnsi="Liberation Serif;Times New Roma"/>
          <w:b/>
          <w:bCs/>
          <w:kern w:val="2"/>
          <w:sz w:val="24"/>
          <w:szCs w:val="24"/>
          <w:lang w:bidi="hi-IN"/>
        </w:rPr>
        <w:t xml:space="preserve"> </w:t>
      </w:r>
    </w:p>
    <w:p>
      <w:pPr>
        <w:pStyle w:val="Normal"/>
        <w:jc w:val="center"/>
        <w:rPr>
          <w:rFonts w:ascii="Liberation Serif;Times New Roma" w:hAnsi="Liberation Serif;Times New Roma" w:eastAsia="NSimSun" w:cs="Liberation Serif;Times New Roma"/>
          <w:kern w:val="2"/>
          <w:sz w:val="24"/>
          <w:szCs w:val="24"/>
          <w:lang w:bidi="hi-IN"/>
        </w:rPr>
      </w:pPr>
      <w:r>
        <w:rPr>
          <w:rFonts w:eastAsia="NSimSun" w:cs="Liberation Serif;Times New Roma" w:ascii="Liberation Serif;Times New Roma" w:hAnsi="Liberation Serif;Times New Roma"/>
          <w:kern w:val="2"/>
          <w:sz w:val="24"/>
          <w:szCs w:val="24"/>
          <w:lang w:bidi="hi-IN"/>
        </w:rPr>
      </w:r>
    </w:p>
    <w:tbl>
      <w:tblPr>
        <w:tblW w:w="14680" w:type="dxa"/>
        <w:jc w:val="left"/>
        <w:tblInd w:w="7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76"/>
        <w:gridCol w:w="1872"/>
        <w:gridCol w:w="5631"/>
        <w:gridCol w:w="3344"/>
        <w:gridCol w:w="533"/>
        <w:gridCol w:w="844"/>
        <w:gridCol w:w="1680"/>
      </w:tblGrid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(техническое задание)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ОКПД2/ КТРУ</w:t>
            </w:r>
          </w:p>
        </w:tc>
      </w:tr>
      <w:tr>
        <w:trPr/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Установка камер видеонаблюдения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Усл.ед.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80.20.10.000</w:t>
            </w:r>
          </w:p>
        </w:tc>
      </w:tr>
      <w:tr>
        <w:trPr/>
        <w:tc>
          <w:tcPr>
            <w:tcW w:w="11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Классификация по КБК</w:t>
            </w:r>
          </w:p>
        </w:tc>
        <w:tc>
          <w:tcPr>
            <w:tcW w:w="3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1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Источник финансирования размещаемого заказа</w:t>
            </w:r>
          </w:p>
        </w:tc>
        <w:tc>
          <w:tcPr>
            <w:tcW w:w="3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Классификация по ОКПД2</w:t>
            </w:r>
          </w:p>
        </w:tc>
        <w:tc>
          <w:tcPr>
            <w:tcW w:w="120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80.20.10.000 – </w:t>
            </w:r>
            <w:r>
              <w:rPr>
                <w:sz w:val="24"/>
                <w:szCs w:val="24"/>
              </w:rPr>
              <w:t>Услуги систем обеспечения безопасности</w:t>
            </w:r>
          </w:p>
        </w:tc>
      </w:tr>
      <w:tr>
        <w:trPr/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Требование к безопасности товара, работ, услуг</w:t>
            </w:r>
          </w:p>
        </w:tc>
        <w:tc>
          <w:tcPr>
            <w:tcW w:w="120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соответствии с сертификатами соответствия либо документами, подтверждающими качество и безопасность закупаемого товара. Поставщик гарантирует, что поставляемая им продукция отвечает стандартам безопасности и качества в соответствии с законодательством РФ.</w:t>
            </w:r>
          </w:p>
        </w:tc>
      </w:tr>
      <w:tr>
        <w:trPr/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Требование к отгрузке товара</w:t>
            </w:r>
          </w:p>
        </w:tc>
        <w:tc>
          <w:tcPr>
            <w:tcW w:w="120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Поставка товара должна осуществляться в упаковке, обеспечивающей защиту и сохранность от внешних повреждений или порчи во время транспортировки и хранения. Упаковка должна отвечать требованиям безопасности жизни, здоровья и охраны окружающей среды.</w:t>
            </w:r>
          </w:p>
        </w:tc>
      </w:tr>
      <w:tr>
        <w:trPr/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Требование к качеству товара, работ, услуг</w:t>
            </w:r>
          </w:p>
        </w:tc>
        <w:tc>
          <w:tcPr>
            <w:tcW w:w="120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ind w:hanging="142" w:left="89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Система видеонаблюдения предназначена для визуального наблюдения за различными объектами на территории Заказчика.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ind w:hanging="142" w:left="89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Расположение видеокамеры выбирается таким образом, чтобы обеспечить покрытие наблюдением всех необходимой зон. Схема размещения видеокамер утверждается Заказчиком.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ind w:hanging="142" w:left="89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Оказание услуг по оборудованию системы видеонаблюдения должно соответствовать действующим на территории Российской Федерации нормативным документами и техническим регламентам, в том числе: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ind w:hanging="142" w:left="89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ГОСТ Р 51558-2014 «Средства и системы охранные телевизионные. Классификация. Общие технические требования. Методы испытаний»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ind w:hanging="142" w:left="89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Федеральный закон от 30.12.2009 N 384-ФЗ "Технический регламент о безопасности зданий и сооружений.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ind w:hanging="142" w:left="89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Качество поставляемого товара соответствует требованиям нормативно-технической документации, действующей на территории РФ, и подтверждается документами, содержащими сведения о наличии сертификата соответствия Госстандарта РФ.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ind w:hanging="142" w:left="89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Товар должен быть новым, не бывшим в употреблении, целым, без повреждений.</w:t>
            </w:r>
          </w:p>
        </w:tc>
      </w:tr>
      <w:tr>
        <w:trPr/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</w:t>
            </w:r>
            <w:r>
              <w:rPr>
                <w:rFonts w:eastAsia="Andale Sans UI"/>
                <w:sz w:val="24"/>
                <w:szCs w:val="24"/>
              </w:rPr>
              <w:t>оказанию услуг</w:t>
            </w:r>
          </w:p>
        </w:tc>
        <w:tc>
          <w:tcPr>
            <w:tcW w:w="120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В услугу входит: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- Поставка оборудования и комплектующих, соответствующего (далее – Товара) требованиям и в сроки, предусмотренные условиями контракта.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- Выполнение демонтажа существующей видеокамер PROXIS CCTV RX-PT7A-20V50 – 2 (две) штуки перед установкой.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- Установка видеокамер в соответствии с инструкцией по монтажу в паспорте изделия.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- Прокладку кабельной линии.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- Подключение к существующему оборудованию Заказчика и настройка камер видеонаблюдения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- Оказывать услугу без приостановки функционирования Учреждения.</w:t>
            </w:r>
          </w:p>
        </w:tc>
      </w:tr>
      <w:tr>
        <w:trPr>
          <w:trHeight w:val="552" w:hRule="atLeast"/>
        </w:trPr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Условия поставки товара, выполнения работ, оказания услуг</w:t>
            </w:r>
          </w:p>
        </w:tc>
        <w:tc>
          <w:tcPr>
            <w:tcW w:w="120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spacing w:lineRule="auto" w:line="240" w:before="0" w:after="0"/>
              <w:ind w:hanging="142" w:left="8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Осуществить поставку до склада Заказчика Товара, соответствующего требованиям и в сроки, предусмотренные условиями контракта.</w:t>
            </w:r>
          </w:p>
          <w:p>
            <w:pPr>
              <w:pStyle w:val="BodyTextIndent"/>
              <w:numPr>
                <w:ilvl w:val="0"/>
                <w:numId w:val="3"/>
              </w:numPr>
              <w:tabs>
                <w:tab w:val="clear" w:pos="408"/>
                <w:tab w:val="left" w:pos="181" w:leader="none"/>
                <w:tab w:val="left" w:pos="231" w:leader="none"/>
                <w:tab w:val="left" w:pos="700" w:leader="none"/>
                <w:tab w:val="left" w:pos="900" w:leader="none"/>
              </w:tabs>
              <w:overflowPunct w:val="true"/>
              <w:ind w:hanging="142" w:left="8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Поставка Товара осуществляется транспортом Поставщика и за его счет на склад Заказчика по адресу: 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650002, Кемеровская обл., г. Кемерово, </w:t>
            </w:r>
            <w:r>
              <w:rPr>
                <w:sz w:val="24"/>
                <w:szCs w:val="24"/>
                <w:lang w:val="ru-RU"/>
              </w:rPr>
              <w:t>бульвар имени академика Л.С. Барбараша, 6.</w:t>
            </w:r>
          </w:p>
          <w:p>
            <w:pPr>
              <w:pStyle w:val="BodyTextIndent"/>
              <w:numPr>
                <w:ilvl w:val="0"/>
                <w:numId w:val="3"/>
              </w:numPr>
              <w:tabs>
                <w:tab w:val="clear" w:pos="408"/>
                <w:tab w:val="left" w:pos="181" w:leader="none"/>
                <w:tab w:val="left" w:pos="231" w:leader="none"/>
                <w:tab w:val="left" w:pos="700" w:leader="none"/>
                <w:tab w:val="left" w:pos="900" w:leader="none"/>
              </w:tabs>
              <w:overflowPunct w:val="true"/>
              <w:spacing w:before="0" w:after="60"/>
              <w:ind w:hanging="142" w:left="8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Демонтажные и монтажные работы по установке камер видеонаблюдения осуществляются на высоте 6 метров по адресу: 650002, Кемеровская обл., г. Кемерово, бульвар имени академика Л.С. Барбараша, 6, стоянка.</w:t>
            </w:r>
          </w:p>
        </w:tc>
      </w:tr>
      <w:tr>
        <w:trPr>
          <w:trHeight w:val="2394" w:hRule="atLeast"/>
        </w:trPr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Исполнителю</w:t>
            </w:r>
          </w:p>
        </w:tc>
        <w:tc>
          <w:tcPr>
            <w:tcW w:w="120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обязан: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До начала оказания услуг, весь персонал Исполнителя, задействованный на Объекте Заказчика, обязан пройти вводный инструктаж по охране труда и пожарной безопасности, получить акт допуска на Объект у специалистов Заказчика. Инструктаж проходит на Объекте в заранее согласованное время с Заказчиком.  О прохождении вводного инструктажа по охране труда и пожарной безопасности делается отметка в «Журнале регистрации вводного инструктажа по охране труда и пожарной безопасности» Заказчика.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В течение 2 дней с даты заключения Контракта в целях обеспечения безопасности предоставить Заказчику список сотрудников, привлекаемых для оказания услуг (включая водителей, заезжающей на территорию объекта). В списке должно быть указано ответственное лицо и его контактный телефон для оперативного разрешения возникающих вопросов;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Производить оказание услуг с соблюдением пропускного, внутрибольничного и эпидемиологического режима Заказчика. Исполнитель обязан ежедневно обеспечивать каждого сотрудника необходимыми средствами индивидуальной защиты. Оказание услуг на Объекте выполняются ежедневно в рабочие дни с 8-00 часов до 16-30 часов. Увеличение продолжительности рабочего времени, оказание услуг в выходные дни необходимо заранее согласовывать с Заказчиком через официальное письмо, адресованное руководителю Заказчика.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>
              <w:rPr>
                <w:rStyle w:val="Hyperlink"/>
                <w:color w:val="auto"/>
                <w:sz w:val="24"/>
                <w:szCs w:val="24"/>
                <w:u w:val="none"/>
              </w:rPr>
              <w:t>пециалисты Исполнителя должны быть обучены, проинструктированы и иметь опыт работы по установке</w:t>
            </w:r>
            <w:r>
              <w:rPr>
                <w:sz w:val="24"/>
                <w:szCs w:val="24"/>
                <w:lang w:eastAsia="ru-RU"/>
              </w:rPr>
              <w:t xml:space="preserve"> камер видеонаблюде</w:t>
            </w:r>
            <w:r>
              <w:rPr>
                <w:sz w:val="24"/>
                <w:szCs w:val="24"/>
                <w:shd w:fill="auto" w:val="clear"/>
                <w:lang w:eastAsia="ru-RU"/>
              </w:rPr>
              <w:t>ния</w:t>
            </w:r>
            <w:r>
              <w:rPr>
                <w:rStyle w:val="Hyperlink"/>
                <w:color w:val="auto"/>
                <w:sz w:val="24"/>
                <w:szCs w:val="24"/>
                <w:u w:val="none"/>
                <w:shd w:fill="auto" w:val="clear"/>
              </w:rPr>
              <w:t>.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>- Специалисты Исполнителя должны быть обеспечены спецодеждой с опознавательными знаками.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Приглашать Заказчика на освидетельствование скрытых работ.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По завершению оказания услуг предоставить Заказчику полный перечень документов: акты скрытых работ, сертификаты соответствия/паспорта качества для используемых материалов. Все предоставляемые документы необходимо согласовывать со стороны Заказчика.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Информировать Заказчика обо всех допущенных при оказании услуг нарушениях не позднее 3 (трех) дней с момента обнаружения нарушения посредством направления копии акта о проведении контрольного мероприятия в адрес Заказчика.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Предоставлять Заказчику информацию о любых факторах, которые могут повлиять на оказание услуг.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Незамедлительно уведомить Заказчика о необходимости приостановить оказание услуг в случаях выявления непригодности или несоответствия используемых материалов, изделий, конструкций установленным законодательством Российской Федерации требованиям, в случаях выявления нарушений технологии производства работ, а также при иных обстоятельствах, угрожающих сохранности или качеству выполненных работ либо препятствующих завершению работ в установленный срок.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Предотвращать ущерб имуществу Заказчика и гражданам находящихся на территории Заказчика. В случае причинения ущерба, Исполнитель возмещает полную стоимость ущерба на момент происшествия.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Устранять собственными силами и за свой счет дефекты и недоделки, обнаруженные во время оказания услуг и в период гарантийного срока.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допускать скопления строительного мусора на объекте осуществлять своевременный уборку мусора. Исполнитель должен исключить загрязнение прилегающей территории строительным мусором.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ind w:hanging="142" w:left="8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После оказание услуг, ежедневно, должна производиться уборка мусора, материалов и т.п. Место складирования мусора указывается Заказчиком. Вывоз мусора – ежедневно, по мере накопления.</w:t>
            </w:r>
          </w:p>
          <w:p>
            <w:pPr>
              <w:pStyle w:val="ListParagraph"/>
              <w:shd w:val="clear" w:fill="FFFFFF"/>
              <w:tabs>
                <w:tab w:val="clear" w:pos="408"/>
                <w:tab w:val="left" w:pos="181" w:leader="none"/>
                <w:tab w:val="left" w:pos="231" w:leader="none"/>
                <w:tab w:val="left" w:pos="540" w:leader="none"/>
                <w:tab w:val="left" w:pos="1637" w:leader="none"/>
              </w:tabs>
              <w:overflowPunct w:val="true"/>
              <w:spacing w:before="0" w:after="200"/>
              <w:ind w:hanging="142" w:left="8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Оказание услуг не должно препятствовать или создавать неудобства в работе Учреждения или представлять угрозу для сотрудников, посетителей Учреждения и иных третьих лиц.</w:t>
            </w:r>
          </w:p>
        </w:tc>
      </w:tr>
      <w:tr>
        <w:trPr>
          <w:trHeight w:val="552" w:hRule="atLeast"/>
        </w:trPr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обучению лиц, осуществляющих использование и обслуживание товара</w:t>
            </w:r>
          </w:p>
        </w:tc>
        <w:tc>
          <w:tcPr>
            <w:tcW w:w="120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hd w:val="clear" w:fill="FFFFFF"/>
              <w:tabs>
                <w:tab w:val="clear" w:pos="408"/>
                <w:tab w:val="left" w:pos="231" w:leader="none"/>
              </w:tabs>
              <w:overflowPunct w:val="true"/>
              <w:spacing w:lineRule="auto" w:line="240" w:before="0" w:after="0"/>
              <w:ind w:firstLine="266" w:left="0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Удостоверение на 3 (или выше) группу по электробезопасности при работе в электроустановках напряжением до 1000В. Удостоверение на 3 (или выше) группу по электробезопасности должно быть установленного образца, с отметкой о результатах проверки знаний Федеральной службой по экологическому, технологическому и атомному надзору Ростехнадзор или комиссией Исполнителя с подтверждением ее полномочий (все члены комиссии должны быть аттестованы в установленном порядке в Ростехнадзоре в соответствии с действующим законодательством и нормативными документами).</w:t>
            </w:r>
          </w:p>
          <w:p>
            <w:pPr>
              <w:pStyle w:val="ListParagraph"/>
              <w:numPr>
                <w:ilvl w:val="0"/>
                <w:numId w:val="4"/>
              </w:numPr>
              <w:spacing w:before="0" w:after="200"/>
              <w:ind w:firstLine="266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Удостоверение на 1 или 2 группу об обучении по безопасным методам и приемам выполнения работ на высоте в соответствии с Приказом Министерства труда и социальной защиты РФ № 782н от 16.11.2020.</w:t>
            </w:r>
          </w:p>
        </w:tc>
      </w:tr>
      <w:tr>
        <w:trPr/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Общий срок поставки товара выполнения работ, оказания услуг</w:t>
            </w:r>
          </w:p>
        </w:tc>
        <w:tc>
          <w:tcPr>
            <w:tcW w:w="120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fill="FFFFFF"/>
              <w:tabs>
                <w:tab w:val="clear" w:pos="408"/>
                <w:tab w:val="left" w:pos="0" w:leader="none"/>
                <w:tab w:val="left" w:pos="181" w:leader="none"/>
                <w:tab w:val="left" w:pos="540" w:leader="none"/>
                <w:tab w:val="left" w:pos="1637" w:leader="none"/>
              </w:tabs>
              <w:overflowPunct w:val="true"/>
              <w:spacing w:lineRule="auto" w:line="240" w:before="0" w:after="0"/>
              <w:ind w:left="3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 01.11.2026 до 30.11.2026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>
        <w:trPr>
          <w:trHeight w:val="1547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IP</w:t>
            </w:r>
            <w:r>
              <w:rPr>
                <w:b/>
                <w:sz w:val="24"/>
                <w:szCs w:val="24"/>
              </w:rPr>
              <w:t xml:space="preserve"> видеокамера наружная.</w:t>
            </w:r>
          </w:p>
          <w:tbl>
            <w:tblPr>
              <w:tblW w:w="10600" w:type="dxa"/>
              <w:jc w:val="left"/>
              <w:tblInd w:w="0" w:type="dxa"/>
              <w:tblLayout w:type="fixed"/>
              <w:tblCellMar>
                <w:top w:w="0" w:type="dxa"/>
                <w:left w:w="53" w:type="dxa"/>
                <w:bottom w:w="0" w:type="dxa"/>
                <w:right w:w="108" w:type="dxa"/>
              </w:tblCellMar>
            </w:tblPr>
            <w:tblGrid>
              <w:gridCol w:w="4588"/>
              <w:gridCol w:w="3796"/>
              <w:gridCol w:w="2216"/>
            </w:tblGrid>
            <w:tr>
              <w:trPr/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наименование характеристики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значение характеристики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ind w:left="-11" w:right="-18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единица измерения характеристики</w:t>
                  </w:r>
                </w:p>
              </w:tc>
            </w:tr>
            <w:tr>
              <w:trPr/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Максимальное разрешение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Не менее 5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Мегапикселей</w:t>
                  </w:r>
                </w:p>
              </w:tc>
            </w:tr>
            <w:tr>
              <w:trPr/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textAlignment w:val="baseline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Частота кадров при максимальном разрешении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Не менее 30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Кадров/сек</w:t>
                  </w:r>
                </w:p>
              </w:tc>
            </w:tr>
            <w:tr>
              <w:trPr/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Количество видеопотоков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Не менее 3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>
              <w:trPr>
                <w:trHeight w:val="270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Максимальное разрешение первого потока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Не менее 2592*1944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Пикселей</w:t>
                  </w:r>
                </w:p>
              </w:tc>
            </w:tr>
            <w:tr>
              <w:trPr>
                <w:trHeight w:val="231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Максимальное разрешение третьего потока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Не менее 352*288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Пикселей</w:t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Механический ИК-фильтр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Наличие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305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Дистанция освещения ИК-подсветки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Не менее 100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00A933"/>
                      <w:sz w:val="24"/>
                      <w:szCs w:val="24"/>
                    </w:rPr>
                  </w:pPr>
                  <w:r>
                    <w:rPr>
                      <w:color w:val="00A933"/>
                      <w:sz w:val="24"/>
                      <w:szCs w:val="24"/>
                    </w:rPr>
                    <w:t>Метров</w:t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Объем карты памяти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Не более 128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Гб</w:t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Максимальная потребляемая мощность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Не более 30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Вт</w:t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Напряжение электропитания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36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</w:t>
                  </w:r>
                </w:p>
              </w:tc>
            </w:tr>
            <w:tr>
              <w:trPr>
                <w:trHeight w:val="268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 xml:space="preserve">Электропитание по </w:t>
                  </w:r>
                  <w:r>
                    <w:rPr>
                      <w:color w:val="auto"/>
                      <w:sz w:val="24"/>
                      <w:szCs w:val="24"/>
                      <w:lang w:val="en-US"/>
                    </w:rPr>
                    <w:t>POE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color w:val="auto"/>
                      <w:sz w:val="24"/>
                      <w:szCs w:val="24"/>
                      <w:lang w:val="en-US"/>
                    </w:rPr>
                    <w:t>POE (802.3at)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268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Тип электропитания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</w:rPr>
                    <w:t>Постоянное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Класс защиты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 xml:space="preserve">Не менее </w:t>
                  </w:r>
                  <w:r>
                    <w:rPr>
                      <w:color w:val="auto"/>
                      <w:sz w:val="24"/>
                      <w:szCs w:val="24"/>
                      <w:shd w:fill="FFFFFF" w:val="clear"/>
                      <w:lang w:val="en-US"/>
                    </w:rPr>
                    <w:t>IP66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Минимальная рабочая температура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Не менее 40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1F1F1F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1F1F1F"/>
                      <w:sz w:val="24"/>
                      <w:szCs w:val="24"/>
                      <w:shd w:fill="FFFFFF" w:val="clear"/>
                    </w:rPr>
                    <w:t>°C</w:t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Максимальная рабочая температура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Не более 60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1F1F1F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1F1F1F"/>
                      <w:sz w:val="24"/>
                      <w:szCs w:val="24"/>
                      <w:shd w:fill="FFFFFF" w:val="clear"/>
                    </w:rPr>
                    <w:t>°C</w:t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Тип корпуса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Поворотная скоростная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Настенный кронштейн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Наличие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Тип объектива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Трансфокатор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422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Дальность обнаружения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Не менее 2500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</w:t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422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Дальность распознавания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Не менее 500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</w:t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422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Дальность идентификации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Не менее 224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</w:t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422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Сетевые протоколы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/>
                  </w:pPr>
                  <w:r>
                    <w:rPr>
                      <w:rStyle w:val="Emphasis"/>
                      <w:i w:val="false"/>
                      <w:color w:val="auto"/>
                      <w:sz w:val="24"/>
                      <w:szCs w:val="24"/>
                    </w:rPr>
                    <w:t>TCP/IP; IPv4; IPv6; UDP; RTCP; RTSP; HTTP; DHCP; DNS; UPnP;NTP; SMTP; ICMP; PPPoE; QoS; P2P; RTMP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422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Сетевой интерфейс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/>
                  </w:pPr>
                  <w:r>
                    <w:rPr>
                      <w:rStyle w:val="Emphasis"/>
                      <w:i w:val="false"/>
                      <w:color w:val="auto"/>
                      <w:sz w:val="24"/>
                      <w:szCs w:val="24"/>
                      <w:lang w:val="en-US"/>
                    </w:rPr>
                    <w:t>10Base-T/100Base-TX Ethernet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387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Аудиовход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/>
                  </w:pPr>
                  <w:r>
                    <w:rPr>
                      <w:rStyle w:val="Emphasis"/>
                      <w:i w:val="false"/>
                      <w:color w:val="auto"/>
                      <w:sz w:val="24"/>
                      <w:szCs w:val="24"/>
                    </w:rPr>
                    <w:t>Наличие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387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Аудиовыход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/>
                  </w:pPr>
                  <w:r>
                    <w:rPr>
                      <w:rStyle w:val="Emphasis"/>
                      <w:i w:val="false"/>
                      <w:color w:val="auto"/>
                      <w:sz w:val="24"/>
                      <w:szCs w:val="24"/>
                    </w:rPr>
                    <w:t>Наличие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387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Тревожный вход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/>
                  </w:pPr>
                  <w:r>
                    <w:rPr>
                      <w:rStyle w:val="Emphasis"/>
                      <w:i w:val="false"/>
                      <w:color w:val="auto"/>
                      <w:sz w:val="24"/>
                      <w:szCs w:val="24"/>
                    </w:rPr>
                    <w:t>Наличие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</w:r>
                </w:p>
              </w:tc>
            </w:tr>
            <w:tr>
              <w:trPr>
                <w:trHeight w:val="9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387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Тревожный выход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/>
                  </w:pPr>
                  <w:r>
                    <w:rPr>
                      <w:rStyle w:val="Emphasis"/>
                      <w:i w:val="false"/>
                      <w:color w:val="auto"/>
                      <w:sz w:val="24"/>
                      <w:szCs w:val="24"/>
                    </w:rPr>
                    <w:t>Наличие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387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Цвет корпуса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/>
                  </w:pPr>
                  <w:r>
                    <w:rPr>
                      <w:rStyle w:val="Emphasis"/>
                      <w:i w:val="false"/>
                      <w:color w:val="auto"/>
                      <w:sz w:val="24"/>
                      <w:szCs w:val="24"/>
                    </w:rPr>
                    <w:t>Белый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387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Вес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/>
                  </w:pPr>
                  <w:r>
                    <w:rPr>
                      <w:rStyle w:val="Emphasis"/>
                      <w:i w:val="false"/>
                      <w:color w:val="auto"/>
                      <w:sz w:val="24"/>
                      <w:szCs w:val="24"/>
                    </w:rPr>
                    <w:t>Не менее 7000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</w:t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387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Поддерживаемый видеокодеки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/>
                  </w:pPr>
                  <w:r>
                    <w:rPr>
                      <w:rStyle w:val="Emphasis"/>
                      <w:i w:val="false"/>
                      <w:color w:val="auto"/>
                      <w:sz w:val="24"/>
                      <w:szCs w:val="24"/>
                    </w:rPr>
                    <w:t>H.264; H.265;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387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Интеграция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  <w:lang w:val="en-US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  <w:lang w:val="en-US"/>
                    </w:rPr>
                    <w:t>ONVIF Profile S, ONVIF Profile T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387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Диапазон поворота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Не менее 360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Гр.</w:t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387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Оптический зум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Не менее 23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387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Тип камеры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Цифровая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387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Исполнение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Уличная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4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408"/>
                      <w:tab w:val="left" w:pos="1387" w:leader="none"/>
                    </w:tabs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Тип крепления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auto"/>
                      <w:sz w:val="24"/>
                      <w:szCs w:val="24"/>
                      <w:shd w:fill="FFFFFF" w:val="clear"/>
                    </w:rPr>
                    <w:t>Настенная</w:t>
                  </w:r>
                </w:p>
              </w:tc>
              <w:tc>
                <w:tcPr>
                  <w:tcW w:w="2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</w:tr>
      <w:tr>
        <w:trPr>
          <w:trHeight w:val="5788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0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Коммутатор</w:t>
            </w:r>
          </w:p>
          <w:tbl>
            <w:tblPr>
              <w:tblW w:w="10713" w:type="dxa"/>
              <w:jc w:val="left"/>
              <w:tblInd w:w="0" w:type="dxa"/>
              <w:tblLayout w:type="fixed"/>
              <w:tblCellMar>
                <w:top w:w="0" w:type="dxa"/>
                <w:left w:w="53" w:type="dxa"/>
                <w:bottom w:w="0" w:type="dxa"/>
                <w:right w:w="108" w:type="dxa"/>
              </w:tblCellMar>
            </w:tblPr>
            <w:tblGrid>
              <w:gridCol w:w="4590"/>
              <w:gridCol w:w="3798"/>
              <w:gridCol w:w="2325"/>
            </w:tblGrid>
            <w:tr>
              <w:trPr>
                <w:trHeight w:val="627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наименование характеристики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значение характеристики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единица измерения характеристики</w:t>
                  </w:r>
                </w:p>
              </w:tc>
            </w:tr>
            <w:tr>
              <w:trPr/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Блок питания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Внешний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r>
                </w:p>
              </w:tc>
            </w:tr>
            <w:tr>
              <w:trPr/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Количество блоков питания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1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Штука</w:t>
                  </w:r>
                </w:p>
              </w:tc>
            </w:tr>
            <w:tr>
              <w:trPr/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Тип блоков питания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Фиксированные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r>
                </w:p>
              </w:tc>
            </w:tr>
            <w:tr>
              <w:trPr>
                <w:trHeight w:val="270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Тип коммутатора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Неуправляемый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r>
                </w:p>
              </w:tc>
            </w:tr>
            <w:tr>
              <w:trPr>
                <w:trHeight w:val="195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Тип передачи данных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Ethernet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Тип электропитания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AC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r>
                </w:p>
              </w:tc>
            </w:tr>
            <w:tr>
              <w:trPr>
                <w:trHeight w:val="305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Тип охлаждения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Активное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Количество портов с поддержкой 802.3bt Type 3 (4PPoE)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≥ </w:t>
                  </w: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2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Штука</w:t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Количество портов с поддержкой 802.3at Type 2 (PoE+)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≥ </w:t>
                  </w: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en-US" w:eastAsia="en-US" w:bidi="ar-SA"/>
                    </w:rPr>
                    <w:t>4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Штука</w:t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Наличие портов SFP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Да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r>
                </w:p>
              </w:tc>
            </w:tr>
            <w:tr>
              <w:trPr>
                <w:trHeight w:val="268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Интерфейс LAN-порта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RJ45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r>
                </w:p>
              </w:tc>
            </w:tr>
            <w:tr>
              <w:trPr>
                <w:trHeight w:val="268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Внутренняя пропускная способность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≥ </w:t>
                  </w: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1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Гигабит в секунду</w:t>
                  </w:r>
                </w:p>
              </w:tc>
            </w:tr>
            <w:tr>
              <w:trPr>
                <w:trHeight w:val="268" w:hRule="atLeast"/>
              </w:trPr>
              <w:tc>
                <w:tcPr>
                  <w:tcW w:w="459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Количество LAN портов</w:t>
                  </w:r>
                </w:p>
              </w:tc>
              <w:tc>
                <w:tcPr>
                  <w:tcW w:w="379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≥ </w:t>
                  </w: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8</w:t>
                  </w:r>
                  <w:bookmarkStart w:id="11" w:name="_GoBack"/>
                  <w:bookmarkEnd w:id="11"/>
                </w:p>
              </w:tc>
              <w:tc>
                <w:tcPr>
                  <w:tcW w:w="2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Штука</w:t>
                  </w:r>
                </w:p>
              </w:tc>
            </w:tr>
            <w:tr>
              <w:trPr>
                <w:trHeight w:val="268" w:hRule="atLeast"/>
              </w:trPr>
              <w:tc>
                <w:tcPr>
                  <w:tcW w:w="459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Количество записей MAC</w:t>
                  </w:r>
                </w:p>
              </w:tc>
              <w:tc>
                <w:tcPr>
                  <w:tcW w:w="379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≥ </w:t>
                  </w: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8</w:t>
                  </w:r>
                </w:p>
              </w:tc>
              <w:tc>
                <w:tcPr>
                  <w:tcW w:w="2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Тысяча штук</w:t>
                  </w:r>
                </w:p>
              </w:tc>
            </w:tr>
            <w:tr>
              <w:trPr>
                <w:trHeight w:val="268" w:hRule="atLeast"/>
              </w:trPr>
              <w:tc>
                <w:tcPr>
                  <w:tcW w:w="459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Количество портов 1G 8P8C</w:t>
                  </w:r>
                </w:p>
              </w:tc>
              <w:tc>
                <w:tcPr>
                  <w:tcW w:w="379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≥ </w:t>
                  </w: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1</w:t>
                  </w:r>
                </w:p>
              </w:tc>
              <w:tc>
                <w:tcPr>
                  <w:tcW w:w="2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Штука</w:t>
                  </w:r>
                </w:p>
              </w:tc>
            </w:tr>
            <w:tr>
              <w:trPr>
                <w:trHeight w:val="268" w:hRule="atLeast"/>
              </w:trPr>
              <w:tc>
                <w:tcPr>
                  <w:tcW w:w="459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Количество портов 1G SFP</w:t>
                  </w:r>
                </w:p>
              </w:tc>
              <w:tc>
                <w:tcPr>
                  <w:tcW w:w="379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≥ </w:t>
                  </w: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1</w:t>
                  </w:r>
                </w:p>
              </w:tc>
              <w:tc>
                <w:tcPr>
                  <w:tcW w:w="2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Штука</w:t>
                  </w:r>
                </w:p>
              </w:tc>
            </w:tr>
            <w:tr>
              <w:trPr>
                <w:trHeight w:val="268" w:hRule="atLeast"/>
              </w:trPr>
              <w:tc>
                <w:tcPr>
                  <w:tcW w:w="459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Тип охлаждения</w:t>
                  </w:r>
                </w:p>
              </w:tc>
              <w:tc>
                <w:tcPr>
                  <w:tcW w:w="379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Пассивное</w:t>
                  </w:r>
                </w:p>
              </w:tc>
              <w:tc>
                <w:tcPr>
                  <w:tcW w:w="2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r>
                </w:p>
              </w:tc>
            </w:tr>
            <w:tr>
              <w:trPr>
                <w:trHeight w:val="268" w:hRule="atLeast"/>
              </w:trPr>
              <w:tc>
                <w:tcPr>
                  <w:tcW w:w="459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Тип по назначению</w:t>
                  </w:r>
                </w:p>
              </w:tc>
              <w:tc>
                <w:tcPr>
                  <w:tcW w:w="379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Industrial</w:t>
                  </w:r>
                </w:p>
              </w:tc>
              <w:tc>
                <w:tcPr>
                  <w:tcW w:w="2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r>
                </w:p>
              </w:tc>
            </w:tr>
            <w:tr>
              <w:trPr>
                <w:trHeight w:val="268" w:hRule="atLeast"/>
              </w:trPr>
              <w:tc>
                <w:tcPr>
                  <w:tcW w:w="459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Тип размещения</w:t>
                  </w:r>
                </w:p>
              </w:tc>
              <w:tc>
                <w:tcPr>
                  <w:tcW w:w="379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DIN – рейка</w:t>
                  </w:r>
                </w:p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Телекоммуникационная стойка или шкаф 19"</w:t>
                  </w:r>
                </w:p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Настольное</w:t>
                  </w:r>
                </w:p>
              </w:tc>
              <w:tc>
                <w:tcPr>
                  <w:tcW w:w="2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r>
                </w:p>
              </w:tc>
            </w:tr>
            <w:tr>
              <w:trPr>
                <w:trHeight w:val="268" w:hRule="atLeast"/>
              </w:trPr>
              <w:tc>
                <w:tcPr>
                  <w:tcW w:w="459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Тип электропитания</w:t>
                  </w:r>
                </w:p>
              </w:tc>
              <w:tc>
                <w:tcPr>
                  <w:tcW w:w="379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DC</w:t>
                  </w:r>
                </w:p>
              </w:tc>
              <w:tc>
                <w:tcPr>
                  <w:tcW w:w="2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r>
                </w:p>
              </w:tc>
            </w:tr>
          </w:tbl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Кабель </w:t>
            </w:r>
            <w:r>
              <w:rPr>
                <w:b/>
                <w:sz w:val="24"/>
                <w:szCs w:val="24"/>
                <w:lang w:val="en-US"/>
              </w:rPr>
              <w:t>F</w:t>
            </w:r>
            <w:r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en-US"/>
              </w:rPr>
              <w:t>UTP</w:t>
            </w:r>
            <w:r>
              <w:rPr>
                <w:b/>
                <w:sz w:val="24"/>
                <w:szCs w:val="24"/>
              </w:rPr>
              <w:t>.</w:t>
            </w:r>
          </w:p>
          <w:tbl>
            <w:tblPr>
              <w:tblW w:w="10725" w:type="dxa"/>
              <w:jc w:val="left"/>
              <w:tblInd w:w="0" w:type="dxa"/>
              <w:tblLayout w:type="fixed"/>
              <w:tblCellMar>
                <w:top w:w="0" w:type="dxa"/>
                <w:left w:w="53" w:type="dxa"/>
                <w:bottom w:w="0" w:type="dxa"/>
                <w:right w:w="108" w:type="dxa"/>
              </w:tblCellMar>
            </w:tblPr>
            <w:tblGrid>
              <w:gridCol w:w="4592"/>
              <w:gridCol w:w="3796"/>
              <w:gridCol w:w="2337"/>
            </w:tblGrid>
            <w:tr>
              <w:trPr>
                <w:trHeight w:val="627" w:hRule="atLeast"/>
              </w:trPr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наименование характеристики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значение характеристики</w:t>
                  </w:r>
                </w:p>
              </w:tc>
              <w:tc>
                <w:tcPr>
                  <w:tcW w:w="23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единица измерения характеристики</w:t>
                  </w:r>
                </w:p>
              </w:tc>
            </w:tr>
            <w:tr>
              <w:trPr/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Тип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F</w:t>
                  </w:r>
                  <w:r>
                    <w:rPr>
                      <w:sz w:val="24"/>
                      <w:szCs w:val="24"/>
                    </w:rPr>
                    <w:t>/</w:t>
                  </w:r>
                  <w:r>
                    <w:rPr>
                      <w:sz w:val="24"/>
                      <w:szCs w:val="24"/>
                      <w:lang w:val="en-US"/>
                    </w:rPr>
                    <w:t>UTP</w:t>
                  </w:r>
                </w:p>
              </w:tc>
              <w:tc>
                <w:tcPr>
                  <w:tcW w:w="23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textAlignment w:val="baseli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Категория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5е</w:t>
                  </w:r>
                </w:p>
              </w:tc>
              <w:tc>
                <w:tcPr>
                  <w:tcW w:w="23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Количество пар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3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>
              <w:trPr>
                <w:trHeight w:val="270" w:hRule="atLeast"/>
              </w:trPr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Количество жил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3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>
              <w:trPr>
                <w:trHeight w:val="195" w:hRule="atLeast"/>
              </w:trPr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Материал оболочки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LSZH</w:t>
                  </w:r>
                  <w:r>
                    <w:rPr>
                      <w:sz w:val="24"/>
                      <w:szCs w:val="24"/>
                    </w:rPr>
                    <w:t xml:space="preserve"> (малодымный безгалогенный компаунд)</w:t>
                  </w:r>
                </w:p>
              </w:tc>
              <w:tc>
                <w:tcPr>
                  <w:tcW w:w="23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Изоляция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Полиэтилен</w:t>
                  </w:r>
                </w:p>
              </w:tc>
              <w:tc>
                <w:tcPr>
                  <w:tcW w:w="23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305" w:hRule="atLeast"/>
              </w:trPr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sz w:val="24"/>
                      <w:szCs w:val="24"/>
                      <w:shd w:fill="FFFFFF" w:val="clear"/>
                    </w:rPr>
                    <w:t>Минимальная рабочая температура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sz w:val="24"/>
                      <w:szCs w:val="24"/>
                      <w:shd w:fill="FFFFFF" w:val="clear"/>
                    </w:rPr>
                    <w:t>Не менее 40</w:t>
                  </w:r>
                </w:p>
              </w:tc>
              <w:tc>
                <w:tcPr>
                  <w:tcW w:w="23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1F1F1F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1F1F1F"/>
                      <w:sz w:val="24"/>
                      <w:szCs w:val="24"/>
                      <w:shd w:fill="FFFFFF" w:val="clear"/>
                    </w:rPr>
                    <w:t>°C</w:t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sz w:val="24"/>
                      <w:szCs w:val="24"/>
                      <w:shd w:fill="FFFFFF" w:val="clear"/>
                    </w:rPr>
                    <w:t>Максимальная рабочая температура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sz w:val="24"/>
                      <w:szCs w:val="24"/>
                      <w:shd w:fill="FFFFFF" w:val="clear"/>
                    </w:rPr>
                    <w:t>Не более 60</w:t>
                  </w:r>
                </w:p>
              </w:tc>
              <w:tc>
                <w:tcPr>
                  <w:tcW w:w="23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1F1F1F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color w:val="1F1F1F"/>
                      <w:sz w:val="24"/>
                      <w:szCs w:val="24"/>
                      <w:shd w:fill="FFFFFF" w:val="clear"/>
                    </w:rPr>
                    <w:t>°C</w:t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sz w:val="24"/>
                      <w:szCs w:val="24"/>
                      <w:shd w:fill="FFFFFF" w:val="clear"/>
                    </w:rPr>
                    <w:t>Материал проводника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sz w:val="24"/>
                      <w:szCs w:val="24"/>
                      <w:shd w:fill="FFFFFF" w:val="clear"/>
                    </w:rPr>
                    <w:t>Медь</w:t>
                  </w:r>
                </w:p>
              </w:tc>
              <w:tc>
                <w:tcPr>
                  <w:tcW w:w="23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sz w:val="24"/>
                      <w:szCs w:val="24"/>
                      <w:shd w:fill="FFFFFF" w:val="clear"/>
                    </w:rPr>
                    <w:t>Применение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shd w:fill="FFFFFF" w:val="clear"/>
                    </w:rPr>
                  </w:pPr>
                  <w:r>
                    <w:rPr>
                      <w:sz w:val="24"/>
                      <w:szCs w:val="24"/>
                      <w:shd w:fill="FFFFFF" w:val="clear"/>
                    </w:rPr>
                    <w:t>Для внешней прокладки</w:t>
                  </w:r>
                </w:p>
              </w:tc>
              <w:tc>
                <w:tcPr>
                  <w:tcW w:w="23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Гофрированная труба.</w:t>
            </w:r>
          </w:p>
          <w:tbl>
            <w:tblPr>
              <w:tblW w:w="10713" w:type="dxa"/>
              <w:jc w:val="left"/>
              <w:tblInd w:w="0" w:type="dxa"/>
              <w:tblLayout w:type="fixed"/>
              <w:tblCellMar>
                <w:top w:w="0" w:type="dxa"/>
                <w:left w:w="53" w:type="dxa"/>
                <w:bottom w:w="0" w:type="dxa"/>
                <w:right w:w="108" w:type="dxa"/>
              </w:tblCellMar>
            </w:tblPr>
            <w:tblGrid>
              <w:gridCol w:w="4590"/>
              <w:gridCol w:w="3798"/>
              <w:gridCol w:w="2325"/>
            </w:tblGrid>
            <w:tr>
              <w:trPr>
                <w:trHeight w:val="627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наименование характеристики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значение характеристики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ind w:left="-67" w:right="-4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единица измерения характеристики</w:t>
                  </w:r>
                </w:p>
              </w:tc>
            </w:tr>
            <w:tr>
              <w:trPr/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Материал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ПНД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textAlignment w:val="baseli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Внешний диаметр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Не менее 20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мм</w:t>
                  </w:r>
                </w:p>
              </w:tc>
            </w:tr>
            <w:tr>
              <w:trPr/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Цвет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Серый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270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Степень защиты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408"/>
                      <w:tab w:val="left" w:pos="4150" w:leader="none"/>
                    </w:tabs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Не менее </w:t>
                  </w:r>
                  <w:r>
                    <w:rPr>
                      <w:sz w:val="24"/>
                      <w:szCs w:val="24"/>
                      <w:lang w:val="en-US"/>
                    </w:rPr>
                    <w:t>IP</w:t>
                  </w:r>
                  <w:r>
                    <w:rPr>
                      <w:sz w:val="24"/>
                      <w:szCs w:val="24"/>
                    </w:rPr>
                    <w:t xml:space="preserve"> 55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195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Устойчивость к ультрафиолету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Наличие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Протяжка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Наличие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235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Не поддерживает горение (нг)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Наличие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Скоба однолапковая</w:t>
            </w:r>
          </w:p>
          <w:tbl>
            <w:tblPr>
              <w:tblW w:w="10650" w:type="dxa"/>
              <w:jc w:val="left"/>
              <w:tblInd w:w="0" w:type="dxa"/>
              <w:tblLayout w:type="fixed"/>
              <w:tblCellMar>
                <w:top w:w="0" w:type="dxa"/>
                <w:left w:w="53" w:type="dxa"/>
                <w:bottom w:w="0" w:type="dxa"/>
                <w:right w:w="108" w:type="dxa"/>
              </w:tblCellMar>
            </w:tblPr>
            <w:tblGrid>
              <w:gridCol w:w="4592"/>
              <w:gridCol w:w="3792"/>
              <w:gridCol w:w="2266"/>
            </w:tblGrid>
            <w:tr>
              <w:trPr>
                <w:trHeight w:val="627" w:hRule="atLeast"/>
              </w:trPr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наименование характеристики</w:t>
                  </w:r>
                </w:p>
              </w:tc>
              <w:tc>
                <w:tcPr>
                  <w:tcW w:w="37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значение характеристики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ind w:left="-115" w:right="-4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единица измерения характеристики</w:t>
                  </w:r>
                </w:p>
              </w:tc>
            </w:tr>
            <w:tr>
              <w:trPr/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Материал</w:t>
                  </w:r>
                </w:p>
              </w:tc>
              <w:tc>
                <w:tcPr>
                  <w:tcW w:w="37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Сталь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textAlignment w:val="baseli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Покрытие</w:t>
                  </w:r>
                </w:p>
              </w:tc>
              <w:tc>
                <w:tcPr>
                  <w:tcW w:w="37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Гальваническая оцинковка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Диаметр кабеля</w:t>
                  </w:r>
                </w:p>
              </w:tc>
              <w:tc>
                <w:tcPr>
                  <w:tcW w:w="37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ind w:left="-91" w:right="-69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мм.</w:t>
                  </w:r>
                </w:p>
              </w:tc>
            </w:tr>
          </w:tbl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Дюбель металлический</w:t>
            </w:r>
          </w:p>
          <w:tbl>
            <w:tblPr>
              <w:tblW w:w="10663" w:type="dxa"/>
              <w:jc w:val="left"/>
              <w:tblInd w:w="0" w:type="dxa"/>
              <w:tblLayout w:type="fixed"/>
              <w:tblCellMar>
                <w:top w:w="0" w:type="dxa"/>
                <w:left w:w="53" w:type="dxa"/>
                <w:bottom w:w="0" w:type="dxa"/>
                <w:right w:w="108" w:type="dxa"/>
              </w:tblCellMar>
            </w:tblPr>
            <w:tblGrid>
              <w:gridCol w:w="4591"/>
              <w:gridCol w:w="3796"/>
              <w:gridCol w:w="2276"/>
            </w:tblGrid>
            <w:tr>
              <w:trPr>
                <w:trHeight w:val="627" w:hRule="atLeast"/>
              </w:trPr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наименование характеристики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значение характеристики</w:t>
                  </w:r>
                </w:p>
              </w:tc>
              <w:tc>
                <w:tcPr>
                  <w:tcW w:w="2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ind w:left="-115" w:right="-4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единица измерения характеристики</w:t>
                  </w:r>
                </w:p>
              </w:tc>
            </w:tr>
            <w:tr>
              <w:trPr/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Длина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2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мм</w:t>
                  </w:r>
                </w:p>
              </w:tc>
            </w:tr>
            <w:tr>
              <w:trPr/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textAlignment w:val="baseli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Диаметр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мм</w:t>
                  </w:r>
                </w:p>
              </w:tc>
            </w:tr>
            <w:tr>
              <w:trPr/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Диаметр отверстия под дюбель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Материал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2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Тип</w:t>
                  </w:r>
                </w:p>
              </w:tc>
              <w:tc>
                <w:tcPr>
                  <w:tcW w:w="3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Для газобетона</w:t>
                  </w:r>
                </w:p>
              </w:tc>
              <w:tc>
                <w:tcPr>
                  <w:tcW w:w="2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Саморез с прессшайбой</w:t>
            </w:r>
          </w:p>
          <w:tbl>
            <w:tblPr>
              <w:tblW w:w="10713" w:type="dxa"/>
              <w:jc w:val="left"/>
              <w:tblInd w:w="0" w:type="dxa"/>
              <w:tblLayout w:type="fixed"/>
              <w:tblCellMar>
                <w:top w:w="0" w:type="dxa"/>
                <w:left w:w="53" w:type="dxa"/>
                <w:bottom w:w="0" w:type="dxa"/>
                <w:right w:w="108" w:type="dxa"/>
              </w:tblCellMar>
            </w:tblPr>
            <w:tblGrid>
              <w:gridCol w:w="4590"/>
              <w:gridCol w:w="3798"/>
              <w:gridCol w:w="2325"/>
            </w:tblGrid>
            <w:tr>
              <w:trPr>
                <w:trHeight w:val="627" w:hRule="atLeast"/>
              </w:trPr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наименование характеристики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значение характеристики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ind w:left="-115" w:right="-4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единица измерения характеристики</w:t>
                  </w:r>
                </w:p>
              </w:tc>
            </w:tr>
            <w:tr>
              <w:trPr/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Наконечник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Острый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textAlignment w:val="baseli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Длина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Диаметр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4.2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Пресс-шайба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Наличие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Покрытие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Оцинкованный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Материал</w:t>
                  </w:r>
                </w:p>
              </w:tc>
              <w:tc>
                <w:tcPr>
                  <w:tcW w:w="37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Оцинкованная сталь</w:t>
                  </w:r>
                </w:p>
              </w:tc>
              <w:tc>
                <w:tcPr>
                  <w:tcW w:w="23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snapToGrid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Разъем </w:t>
            </w:r>
            <w:r>
              <w:rPr>
                <w:b/>
                <w:bCs/>
                <w:sz w:val="24"/>
                <w:szCs w:val="24"/>
                <w:lang w:val="en-US"/>
              </w:rPr>
              <w:t>rj-45</w:t>
            </w:r>
          </w:p>
          <w:tbl>
            <w:tblPr>
              <w:tblW w:w="10763" w:type="dxa"/>
              <w:jc w:val="left"/>
              <w:tblInd w:w="0" w:type="dxa"/>
              <w:tblLayout w:type="fixed"/>
              <w:tblCellMar>
                <w:top w:w="0" w:type="dxa"/>
                <w:left w:w="53" w:type="dxa"/>
                <w:bottom w:w="0" w:type="dxa"/>
                <w:right w:w="108" w:type="dxa"/>
              </w:tblCellMar>
            </w:tblPr>
            <w:tblGrid>
              <w:gridCol w:w="4591"/>
              <w:gridCol w:w="3795"/>
              <w:gridCol w:w="2377"/>
            </w:tblGrid>
            <w:tr>
              <w:trPr>
                <w:trHeight w:val="627" w:hRule="atLeast"/>
              </w:trPr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наименование характеристики</w:t>
                  </w:r>
                </w:p>
              </w:tc>
              <w:tc>
                <w:tcPr>
                  <w:tcW w:w="3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значение характеристики</w:t>
                  </w:r>
                </w:p>
              </w:tc>
              <w:tc>
                <w:tcPr>
                  <w:tcW w:w="2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ind w:left="-115" w:right="-4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единица измерения характеристики</w:t>
                  </w:r>
                </w:p>
              </w:tc>
            </w:tr>
            <w:tr>
              <w:trPr/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Тип</w:t>
                  </w:r>
                </w:p>
              </w:tc>
              <w:tc>
                <w:tcPr>
                  <w:tcW w:w="3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Вилка </w:t>
                  </w:r>
                  <w:r>
                    <w:rPr>
                      <w:sz w:val="24"/>
                      <w:szCs w:val="24"/>
                      <w:lang w:val="en-US"/>
                    </w:rPr>
                    <w:t>RJ-45</w:t>
                  </w:r>
                </w:p>
              </w:tc>
              <w:tc>
                <w:tcPr>
                  <w:tcW w:w="2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textAlignment w:val="baseli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Тип разъема</w:t>
                  </w:r>
                </w:p>
              </w:tc>
              <w:tc>
                <w:tcPr>
                  <w:tcW w:w="3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FFFFFF" w:val="clear"/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RJ-45</w:t>
                  </w:r>
                </w:p>
              </w:tc>
              <w:tc>
                <w:tcPr>
                  <w:tcW w:w="2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Степень защиты</w:t>
                  </w:r>
                </w:p>
              </w:tc>
              <w:tc>
                <w:tcPr>
                  <w:tcW w:w="3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IP20</w:t>
                  </w:r>
                </w:p>
              </w:tc>
              <w:tc>
                <w:tcPr>
                  <w:tcW w:w="2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Количество контактов</w:t>
                  </w:r>
                </w:p>
              </w:tc>
              <w:tc>
                <w:tcPr>
                  <w:tcW w:w="3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Категория</w:t>
                  </w:r>
                </w:p>
              </w:tc>
              <w:tc>
                <w:tcPr>
                  <w:tcW w:w="3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5е</w:t>
                  </w:r>
                </w:p>
              </w:tc>
              <w:tc>
                <w:tcPr>
                  <w:tcW w:w="2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Цвет</w:t>
                  </w:r>
                </w:p>
              </w:tc>
              <w:tc>
                <w:tcPr>
                  <w:tcW w:w="3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Прозрачный</w:t>
                  </w:r>
                </w:p>
              </w:tc>
              <w:tc>
                <w:tcPr>
                  <w:tcW w:w="2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Материал</w:t>
                  </w:r>
                </w:p>
              </w:tc>
              <w:tc>
                <w:tcPr>
                  <w:tcW w:w="3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2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5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Монтаж</w:t>
                  </w:r>
                </w:p>
              </w:tc>
              <w:tc>
                <w:tcPr>
                  <w:tcW w:w="3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overflowPunct w:val="true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Обжимной</w:t>
                  </w:r>
                </w:p>
              </w:tc>
              <w:tc>
                <w:tcPr>
                  <w:tcW w:w="23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Normal"/>
              <w:snapToGrid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lef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305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300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500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</w:tr>
      <w:tr>
        <w:trPr>
          <w:trHeight w:val="1533" w:hRule="atLeast"/>
        </w:trPr>
        <w:tc>
          <w:tcPr>
            <w:tcW w:w="8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7680" w:leader="none"/>
              </w:tabs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Заказчик: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Начальник отдела материально-технического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nos" w:hAnsi="Tinos" w:eastAsia="Calibri" w:cs="Tinos"/>
                <w:sz w:val="24"/>
                <w:szCs w:val="24"/>
                <w:lang w:eastAsia="en-US"/>
              </w:rPr>
            </w:pPr>
            <w:r>
              <w:rPr>
                <w:rFonts w:eastAsia="Calibri" w:cs="Tinos" w:ascii="Tinos" w:hAnsi="Tinos"/>
                <w:sz w:val="24"/>
                <w:szCs w:val="24"/>
                <w:lang w:eastAsia="en-US"/>
              </w:rPr>
              <w:t>снабжения ____________ А.Е.Кузнецова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7680" w:leader="none"/>
              </w:tabs>
              <w:spacing w:before="0" w:after="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6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Исполнитель: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7680" w:leader="none"/>
              </w:tabs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ConsPlusNonformat"/>
              <w:widowControl w:val="false"/>
              <w:spacing w:before="0" w:after="0"/>
              <w:ind w:hanging="0" w:right="-143"/>
              <w:contextualSpacing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eastAsia="Calibri" w:cs="Tinos" w:ascii="Tinos" w:hAnsi="Tinos"/>
                <w:color w:val="000000"/>
                <w:sz w:val="24"/>
                <w:szCs w:val="24"/>
                <w:lang w:eastAsia="en-US"/>
              </w:rPr>
              <w:t>______________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7680" w:leader="none"/>
              </w:tabs>
              <w:snapToGrid w:val="false"/>
              <w:spacing w:before="0" w:after="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м.п.</w:t>
            </w:r>
          </w:p>
        </w:tc>
      </w:tr>
    </w:tbl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p>
      <w:pPr>
        <w:pStyle w:val="Normal"/>
        <w:widowControl/>
        <w:spacing w:before="0" w:after="0"/>
        <w:contextualSpacing/>
        <w:jc w:val="both"/>
        <w:rPr/>
      </w:pPr>
      <w:r>
        <w:rPr/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orient="landscape" w:w="16838" w:h="11906"/>
      <w:pgMar w:left="720" w:right="720" w:gutter="0" w:header="720" w:top="777" w:footer="709" w:bottom="766"/>
      <w:pgNumType w:fmt="decimal"/>
      <w:formProt w:val="false"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Calibri"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charset w:val="01"/>
    <w:family w:val="roman"/>
    <w:pitch w:val="default"/>
  </w:font>
  <w:font w:name="Tinos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ind w:hanging="0" w:right="3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643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44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6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8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0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2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4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6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8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09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85"/>
  <w:displayBackgroundShape/>
  <w:defaultTabStop w:val="408"/>
  <w:autoHyphenation w:val="true"/>
  <w:hyphenationZone w:val="360"/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oto Serif CJK SC" w:cs="FreeSan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BodyText"/>
    <w:uiPriority w:val="9"/>
    <w:qFormat/>
    <w:pPr>
      <w:widowControl/>
      <w:numPr>
        <w:ilvl w:val="0"/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4" w:customStyle="1">
    <w:name w:val="Основной шрифт абзаца4"/>
    <w:qFormat/>
    <w:rPr/>
  </w:style>
  <w:style w:type="character" w:styleId="3" w:customStyle="1">
    <w:name w:val="Основной шрифт абзаца3"/>
    <w:qFormat/>
    <w:rPr/>
  </w:style>
  <w:style w:type="character" w:styleId="2" w:customStyle="1">
    <w:name w:val="Основной шрифт абзаца2"/>
    <w:qFormat/>
    <w:rPr/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>
      <w:rFonts w:ascii="Symbol" w:hAnsi="Symbol" w:cs="Symbol"/>
      <w:sz w:val="20"/>
    </w:rPr>
  </w:style>
  <w:style w:type="character" w:styleId="WW8Num3z1" w:customStyle="1">
    <w:name w:val="WW8Num3z1"/>
    <w:qFormat/>
    <w:rPr>
      <w:rFonts w:ascii="Courier New" w:hAnsi="Courier New" w:cs="Courier New"/>
      <w:sz w:val="20"/>
    </w:rPr>
  </w:style>
  <w:style w:type="character" w:styleId="WW8Num3z2" w:customStyle="1">
    <w:name w:val="WW8Num3z2"/>
    <w:qFormat/>
    <w:rPr>
      <w:rFonts w:ascii="Wingdings" w:hAnsi="Wingdings" w:cs="Wingdings"/>
      <w:sz w:val="20"/>
    </w:rPr>
  </w:style>
  <w:style w:type="character" w:styleId="WW8Num4z0" w:customStyle="1">
    <w:name w:val="WW8Num4z0"/>
    <w:qFormat/>
    <w:rPr>
      <w:rFonts w:ascii="Symbol" w:hAnsi="Symbol" w:cs="Symbol"/>
      <w:sz w:val="20"/>
    </w:rPr>
  </w:style>
  <w:style w:type="character" w:styleId="WW8Num4z1" w:customStyle="1">
    <w:name w:val="WW8Num4z1"/>
    <w:qFormat/>
    <w:rPr>
      <w:rFonts w:ascii="Courier New" w:hAnsi="Courier New" w:cs="Courier New"/>
      <w:sz w:val="20"/>
    </w:rPr>
  </w:style>
  <w:style w:type="character" w:styleId="WW8Num4z2" w:customStyle="1">
    <w:name w:val="WW8Num4z2"/>
    <w:qFormat/>
    <w:rPr>
      <w:rFonts w:ascii="Wingdings" w:hAnsi="Wingdings" w:cs="Wingdings"/>
      <w:sz w:val="20"/>
    </w:rPr>
  </w:style>
  <w:style w:type="character" w:styleId="WW8Num5z0" w:customStyle="1">
    <w:name w:val="WW8Num5z0"/>
    <w:qFormat/>
    <w:rPr>
      <w:rFonts w:ascii="Symbol" w:hAnsi="Symbol" w:cs="Symbol"/>
      <w:sz w:val="20"/>
    </w:rPr>
  </w:style>
  <w:style w:type="character" w:styleId="WW8Num5z1" w:customStyle="1">
    <w:name w:val="WW8Num5z1"/>
    <w:qFormat/>
    <w:rPr>
      <w:rFonts w:ascii="Courier New" w:hAnsi="Courier New" w:cs="Courier New"/>
      <w:sz w:val="20"/>
    </w:rPr>
  </w:style>
  <w:style w:type="character" w:styleId="WW8Num5z2" w:customStyle="1">
    <w:name w:val="WW8Num5z2"/>
    <w:qFormat/>
    <w:rPr>
      <w:rFonts w:ascii="Wingdings" w:hAnsi="Wingdings" w:cs="Wingdings"/>
      <w:sz w:val="20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b w:val="false"/>
    </w:rPr>
  </w:style>
  <w:style w:type="character" w:styleId="WW8Num12z0" w:customStyle="1">
    <w:name w:val="WW8Num12z0"/>
    <w:qFormat/>
    <w:rPr>
      <w:rFonts w:ascii="Times New Roman" w:hAnsi="Times New Roman" w:cs="Times New Roman"/>
    </w:rPr>
  </w:style>
  <w:style w:type="character" w:styleId="WW8Num12z2" w:customStyle="1">
    <w:name w:val="WW8Num12z2"/>
    <w:qFormat/>
    <w:rPr>
      <w:rFonts w:ascii="Wingdings" w:hAnsi="Wingdings" w:cs="Wingdings"/>
    </w:rPr>
  </w:style>
  <w:style w:type="character" w:styleId="WW8Num12z3" w:customStyle="1">
    <w:name w:val="WW8Num12z3"/>
    <w:qFormat/>
    <w:rPr>
      <w:rFonts w:ascii="Symbol" w:hAnsi="Symbol" w:cs="Symbol"/>
    </w:rPr>
  </w:style>
  <w:style w:type="character" w:styleId="WW8Num12z4" w:customStyle="1">
    <w:name w:val="WW8Num12z4"/>
    <w:qFormat/>
    <w:rPr>
      <w:rFonts w:ascii="Courier New" w:hAnsi="Courier New" w:cs="Courier New"/>
    </w:rPr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/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WW8Num18z0" w:customStyle="1">
    <w:name w:val="WW8Num18z0"/>
    <w:qFormat/>
    <w:rPr>
      <w:sz w:val="20"/>
    </w:rPr>
  </w:style>
  <w:style w:type="character" w:styleId="WW8Num19z0" w:customStyle="1">
    <w:name w:val="WW8Num19z0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>
      <w:sz w:val="24"/>
    </w:rPr>
  </w:style>
  <w:style w:type="character" w:styleId="WW8Num22z0" w:customStyle="1">
    <w:name w:val="WW8Num22z0"/>
    <w:qFormat/>
    <w:rPr/>
  </w:style>
  <w:style w:type="character" w:styleId="WW8Num22z1" w:customStyle="1">
    <w:name w:val="WW8Num22z1"/>
    <w:qFormat/>
    <w:rPr/>
  </w:style>
  <w:style w:type="character" w:styleId="WW8Num22z2" w:customStyle="1">
    <w:name w:val="WW8Num22z2"/>
    <w:qFormat/>
    <w:rPr/>
  </w:style>
  <w:style w:type="character" w:styleId="WW8Num22z3" w:customStyle="1">
    <w:name w:val="WW8Num22z3"/>
    <w:qFormat/>
    <w:rPr/>
  </w:style>
  <w:style w:type="character" w:styleId="WW8Num22z4" w:customStyle="1">
    <w:name w:val="WW8Num22z4"/>
    <w:qFormat/>
    <w:rPr/>
  </w:style>
  <w:style w:type="character" w:styleId="WW8Num22z5" w:customStyle="1">
    <w:name w:val="WW8Num22z5"/>
    <w:qFormat/>
    <w:rPr/>
  </w:style>
  <w:style w:type="character" w:styleId="WW8Num22z6" w:customStyle="1">
    <w:name w:val="WW8Num22z6"/>
    <w:qFormat/>
    <w:rPr/>
  </w:style>
  <w:style w:type="character" w:styleId="WW8Num22z7" w:customStyle="1">
    <w:name w:val="WW8Num22z7"/>
    <w:qFormat/>
    <w:rPr/>
  </w:style>
  <w:style w:type="character" w:styleId="WW8Num22z8" w:customStyle="1">
    <w:name w:val="WW8Num22z8"/>
    <w:qFormat/>
    <w:rPr/>
  </w:style>
  <w:style w:type="character" w:styleId="WW8Num23z0" w:customStyle="1">
    <w:name w:val="WW8Num23z0"/>
    <w:qFormat/>
    <w:rPr/>
  </w:style>
  <w:style w:type="character" w:styleId="WW8Num23z1" w:customStyle="1">
    <w:name w:val="WW8Num23z1"/>
    <w:qFormat/>
    <w:rPr/>
  </w:style>
  <w:style w:type="character" w:styleId="WW8Num23z2" w:customStyle="1">
    <w:name w:val="WW8Num23z2"/>
    <w:qFormat/>
    <w:rPr/>
  </w:style>
  <w:style w:type="character" w:styleId="WW8Num23z3" w:customStyle="1">
    <w:name w:val="WW8Num23z3"/>
    <w:qFormat/>
    <w:rPr/>
  </w:style>
  <w:style w:type="character" w:styleId="WW8Num23z4" w:customStyle="1">
    <w:name w:val="WW8Num23z4"/>
    <w:qFormat/>
    <w:rPr/>
  </w:style>
  <w:style w:type="character" w:styleId="WW8Num23z5" w:customStyle="1">
    <w:name w:val="WW8Num23z5"/>
    <w:qFormat/>
    <w:rPr/>
  </w:style>
  <w:style w:type="character" w:styleId="WW8Num23z6" w:customStyle="1">
    <w:name w:val="WW8Num23z6"/>
    <w:qFormat/>
    <w:rPr/>
  </w:style>
  <w:style w:type="character" w:styleId="WW8Num23z7" w:customStyle="1">
    <w:name w:val="WW8Num23z7"/>
    <w:qFormat/>
    <w:rPr/>
  </w:style>
  <w:style w:type="character" w:styleId="WW8Num23z8" w:customStyle="1">
    <w:name w:val="WW8Num23z8"/>
    <w:qFormat/>
    <w:rPr/>
  </w:style>
  <w:style w:type="character" w:styleId="WW8Num24z0" w:customStyle="1">
    <w:name w:val="WW8Num24z0"/>
    <w:qFormat/>
    <w:rPr>
      <w:rFonts w:ascii="Symbol" w:hAnsi="Symbol" w:cs="Symbol"/>
      <w:sz w:val="20"/>
    </w:rPr>
  </w:style>
  <w:style w:type="character" w:styleId="WW8Num24z1" w:customStyle="1">
    <w:name w:val="WW8Num24z1"/>
    <w:qFormat/>
    <w:rPr>
      <w:rFonts w:ascii="Courier New" w:hAnsi="Courier New" w:cs="Courier New"/>
      <w:sz w:val="20"/>
    </w:rPr>
  </w:style>
  <w:style w:type="character" w:styleId="WW8Num24z2" w:customStyle="1">
    <w:name w:val="WW8Num24z2"/>
    <w:qFormat/>
    <w:rPr>
      <w:rFonts w:ascii="Wingdings" w:hAnsi="Wingdings" w:cs="Wingdings"/>
      <w:sz w:val="20"/>
    </w:rPr>
  </w:style>
  <w:style w:type="character" w:styleId="WW8Num25z0" w:customStyle="1">
    <w:name w:val="WW8Num25z0"/>
    <w:qFormat/>
    <w:rPr/>
  </w:style>
  <w:style w:type="character" w:styleId="WW8Num26z0" w:customStyle="1">
    <w:name w:val="WW8Num26z0"/>
    <w:qFormat/>
    <w:rPr>
      <w:rFonts w:ascii="Symbol" w:hAnsi="Symbol" w:cs="Symbol"/>
      <w:sz w:val="20"/>
    </w:rPr>
  </w:style>
  <w:style w:type="character" w:styleId="WW8Num26z1" w:customStyle="1">
    <w:name w:val="WW8Num26z1"/>
    <w:qFormat/>
    <w:rPr>
      <w:rFonts w:ascii="Courier New" w:hAnsi="Courier New" w:cs="Courier New"/>
      <w:sz w:val="20"/>
    </w:rPr>
  </w:style>
  <w:style w:type="character" w:styleId="WW8Num26z2" w:customStyle="1">
    <w:name w:val="WW8Num26z2"/>
    <w:qFormat/>
    <w:rPr>
      <w:rFonts w:ascii="Wingdings" w:hAnsi="Wingdings" w:cs="Wingdings"/>
      <w:sz w:val="20"/>
    </w:rPr>
  </w:style>
  <w:style w:type="character" w:styleId="WW8Num27z0" w:customStyle="1">
    <w:name w:val="WW8Num27z0"/>
    <w:qFormat/>
    <w:rPr/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WW8Num28z0" w:customStyle="1">
    <w:name w:val="WW8Num28z0"/>
    <w:qFormat/>
    <w:rPr>
      <w:rFonts w:ascii="Symbol" w:hAnsi="Symbol" w:cs="Symbol"/>
      <w:sz w:val="20"/>
    </w:rPr>
  </w:style>
  <w:style w:type="character" w:styleId="WW8Num28z1" w:customStyle="1">
    <w:name w:val="WW8Num28z1"/>
    <w:qFormat/>
    <w:rPr>
      <w:rFonts w:ascii="Courier New" w:hAnsi="Courier New" w:cs="Courier New"/>
      <w:sz w:val="20"/>
    </w:rPr>
  </w:style>
  <w:style w:type="character" w:styleId="WW8Num28z2" w:customStyle="1">
    <w:name w:val="WW8Num28z2"/>
    <w:qFormat/>
    <w:rPr>
      <w:rFonts w:ascii="Wingdings" w:hAnsi="Wingdings" w:cs="Wingdings"/>
      <w:sz w:val="20"/>
    </w:rPr>
  </w:style>
  <w:style w:type="character" w:styleId="WW8Num29z0" w:customStyle="1">
    <w:name w:val="WW8Num29z0"/>
    <w:qFormat/>
    <w:rPr/>
  </w:style>
  <w:style w:type="character" w:styleId="WW8Num30z0" w:customStyle="1">
    <w:name w:val="WW8Num30z0"/>
    <w:qFormat/>
    <w:rPr>
      <w:rFonts w:ascii="Symbol" w:hAnsi="Symbol" w:cs="Symbol"/>
      <w:sz w:val="20"/>
    </w:rPr>
  </w:style>
  <w:style w:type="character" w:styleId="WW8Num30z1" w:customStyle="1">
    <w:name w:val="WW8Num30z1"/>
    <w:qFormat/>
    <w:rPr>
      <w:rFonts w:ascii="Courier New" w:hAnsi="Courier New" w:cs="Courier New"/>
      <w:sz w:val="20"/>
    </w:rPr>
  </w:style>
  <w:style w:type="character" w:styleId="WW8Num30z2" w:customStyle="1">
    <w:name w:val="WW8Num30z2"/>
    <w:qFormat/>
    <w:rPr>
      <w:rFonts w:ascii="Wingdings" w:hAnsi="Wingdings" w:cs="Wingdings"/>
      <w:sz w:val="20"/>
    </w:rPr>
  </w:style>
  <w:style w:type="character" w:styleId="WW8Num31z0" w:customStyle="1">
    <w:name w:val="WW8Num31z0"/>
    <w:qFormat/>
    <w:rPr/>
  </w:style>
  <w:style w:type="character" w:styleId="WW8Num31z1" w:customStyle="1">
    <w:name w:val="WW8Num31z1"/>
    <w:qFormat/>
    <w:rPr/>
  </w:style>
  <w:style w:type="character" w:styleId="WW8Num31z2" w:customStyle="1">
    <w:name w:val="WW8Num31z2"/>
    <w:qFormat/>
    <w:rPr/>
  </w:style>
  <w:style w:type="character" w:styleId="WW8Num31z3" w:customStyle="1">
    <w:name w:val="WW8Num31z3"/>
    <w:qFormat/>
    <w:rPr/>
  </w:style>
  <w:style w:type="character" w:styleId="WW8Num31z4" w:customStyle="1">
    <w:name w:val="WW8Num31z4"/>
    <w:qFormat/>
    <w:rPr/>
  </w:style>
  <w:style w:type="character" w:styleId="WW8Num31z5" w:customStyle="1">
    <w:name w:val="WW8Num31z5"/>
    <w:qFormat/>
    <w:rPr/>
  </w:style>
  <w:style w:type="character" w:styleId="WW8Num31z6" w:customStyle="1">
    <w:name w:val="WW8Num31z6"/>
    <w:qFormat/>
    <w:rPr/>
  </w:style>
  <w:style w:type="character" w:styleId="WW8Num31z7" w:customStyle="1">
    <w:name w:val="WW8Num31z7"/>
    <w:qFormat/>
    <w:rPr/>
  </w:style>
  <w:style w:type="character" w:styleId="WW8Num31z8" w:customStyle="1">
    <w:name w:val="WW8Num31z8"/>
    <w:qFormat/>
    <w:rPr/>
  </w:style>
  <w:style w:type="character" w:styleId="WW8Num32z0" w:customStyle="1">
    <w:name w:val="WW8Num32z0"/>
    <w:qFormat/>
    <w:rPr/>
  </w:style>
  <w:style w:type="character" w:styleId="WW8Num32z1" w:customStyle="1">
    <w:name w:val="WW8Num32z1"/>
    <w:qFormat/>
    <w:rPr>
      <w:rFonts w:ascii="Courier New" w:hAnsi="Courier New" w:cs="Courier New"/>
      <w:sz w:val="20"/>
    </w:rPr>
  </w:style>
  <w:style w:type="character" w:styleId="WW8Num32z2" w:customStyle="1">
    <w:name w:val="WW8Num32z2"/>
    <w:qFormat/>
    <w:rPr/>
  </w:style>
  <w:style w:type="character" w:styleId="WW8Num32z3" w:customStyle="1">
    <w:name w:val="WW8Num32z3"/>
    <w:qFormat/>
    <w:rPr/>
  </w:style>
  <w:style w:type="character" w:styleId="WW8Num32z4" w:customStyle="1">
    <w:name w:val="WW8Num32z4"/>
    <w:qFormat/>
    <w:rPr/>
  </w:style>
  <w:style w:type="character" w:styleId="WW8Num32z5" w:customStyle="1">
    <w:name w:val="WW8Num32z5"/>
    <w:qFormat/>
    <w:rPr/>
  </w:style>
  <w:style w:type="character" w:styleId="WW8Num32z6" w:customStyle="1">
    <w:name w:val="WW8Num32z6"/>
    <w:qFormat/>
    <w:rPr/>
  </w:style>
  <w:style w:type="character" w:styleId="WW8Num32z7" w:customStyle="1">
    <w:name w:val="WW8Num32z7"/>
    <w:qFormat/>
    <w:rPr/>
  </w:style>
  <w:style w:type="character" w:styleId="WW8Num32z8" w:customStyle="1">
    <w:name w:val="WW8Num32z8"/>
    <w:qFormat/>
    <w:rPr/>
  </w:style>
  <w:style w:type="character" w:styleId="WW8Num33z0" w:customStyle="1">
    <w:name w:val="WW8Num33z0"/>
    <w:qFormat/>
    <w:rPr/>
  </w:style>
  <w:style w:type="character" w:styleId="WW8Num34z0" w:customStyle="1">
    <w:name w:val="WW8Num34z0"/>
    <w:qFormat/>
    <w:rPr/>
  </w:style>
  <w:style w:type="character" w:styleId="WW8Num34z1" w:customStyle="1">
    <w:name w:val="WW8Num34z1"/>
    <w:qFormat/>
    <w:rPr/>
  </w:style>
  <w:style w:type="character" w:styleId="WW8Num34z2" w:customStyle="1">
    <w:name w:val="WW8Num34z2"/>
    <w:qFormat/>
    <w:rPr/>
  </w:style>
  <w:style w:type="character" w:styleId="WW8Num34z3" w:customStyle="1">
    <w:name w:val="WW8Num34z3"/>
    <w:qFormat/>
    <w:rPr/>
  </w:style>
  <w:style w:type="character" w:styleId="WW8Num34z4" w:customStyle="1">
    <w:name w:val="WW8Num34z4"/>
    <w:qFormat/>
    <w:rPr/>
  </w:style>
  <w:style w:type="character" w:styleId="WW8Num34z5" w:customStyle="1">
    <w:name w:val="WW8Num34z5"/>
    <w:qFormat/>
    <w:rPr/>
  </w:style>
  <w:style w:type="character" w:styleId="WW8Num34z6" w:customStyle="1">
    <w:name w:val="WW8Num34z6"/>
    <w:qFormat/>
    <w:rPr/>
  </w:style>
  <w:style w:type="character" w:styleId="WW8Num34z7" w:customStyle="1">
    <w:name w:val="WW8Num34z7"/>
    <w:qFormat/>
    <w:rPr/>
  </w:style>
  <w:style w:type="character" w:styleId="WW8Num34z8" w:customStyle="1">
    <w:name w:val="WW8Num34z8"/>
    <w:qFormat/>
    <w:rPr/>
  </w:style>
  <w:style w:type="character" w:styleId="WW8Num35z0" w:customStyle="1">
    <w:name w:val="WW8Num35z0"/>
    <w:qFormat/>
    <w:rPr/>
  </w:style>
  <w:style w:type="character" w:styleId="WW8Num35z1" w:customStyle="1">
    <w:name w:val="WW8Num35z1"/>
    <w:qFormat/>
    <w:rPr/>
  </w:style>
  <w:style w:type="character" w:styleId="WW8Num35z2" w:customStyle="1">
    <w:name w:val="WW8Num35z2"/>
    <w:qFormat/>
    <w:rPr/>
  </w:style>
  <w:style w:type="character" w:styleId="WW8Num35z3" w:customStyle="1">
    <w:name w:val="WW8Num35z3"/>
    <w:qFormat/>
    <w:rPr/>
  </w:style>
  <w:style w:type="character" w:styleId="WW8Num35z4" w:customStyle="1">
    <w:name w:val="WW8Num35z4"/>
    <w:qFormat/>
    <w:rPr/>
  </w:style>
  <w:style w:type="character" w:styleId="WW8Num35z5" w:customStyle="1">
    <w:name w:val="WW8Num35z5"/>
    <w:qFormat/>
    <w:rPr/>
  </w:style>
  <w:style w:type="character" w:styleId="WW8Num35z6" w:customStyle="1">
    <w:name w:val="WW8Num35z6"/>
    <w:qFormat/>
    <w:rPr/>
  </w:style>
  <w:style w:type="character" w:styleId="WW8Num35z7" w:customStyle="1">
    <w:name w:val="WW8Num35z7"/>
    <w:qFormat/>
    <w:rPr/>
  </w:style>
  <w:style w:type="character" w:styleId="WW8Num35z8" w:customStyle="1">
    <w:name w:val="WW8Num35z8"/>
    <w:qFormat/>
    <w:rPr/>
  </w:style>
  <w:style w:type="character" w:styleId="WW8Num36z0" w:customStyle="1">
    <w:name w:val="WW8Num36z0"/>
    <w:qFormat/>
    <w:rPr/>
  </w:style>
  <w:style w:type="character" w:styleId="WW8Num36z1" w:customStyle="1">
    <w:name w:val="WW8Num36z1"/>
    <w:qFormat/>
    <w:rPr>
      <w:rFonts w:ascii="Courier New" w:hAnsi="Courier New" w:cs="Courier New"/>
      <w:sz w:val="20"/>
    </w:rPr>
  </w:style>
  <w:style w:type="character" w:styleId="WW8Num36z2" w:customStyle="1">
    <w:name w:val="WW8Num36z2"/>
    <w:qFormat/>
    <w:rPr/>
  </w:style>
  <w:style w:type="character" w:styleId="WW8Num36z3" w:customStyle="1">
    <w:name w:val="WW8Num36z3"/>
    <w:qFormat/>
    <w:rPr/>
  </w:style>
  <w:style w:type="character" w:styleId="WW8Num36z4" w:customStyle="1">
    <w:name w:val="WW8Num36z4"/>
    <w:qFormat/>
    <w:rPr/>
  </w:style>
  <w:style w:type="character" w:styleId="WW8Num36z5" w:customStyle="1">
    <w:name w:val="WW8Num36z5"/>
    <w:qFormat/>
    <w:rPr/>
  </w:style>
  <w:style w:type="character" w:styleId="WW8Num36z6" w:customStyle="1">
    <w:name w:val="WW8Num36z6"/>
    <w:qFormat/>
    <w:rPr/>
  </w:style>
  <w:style w:type="character" w:styleId="WW8Num36z7" w:customStyle="1">
    <w:name w:val="WW8Num36z7"/>
    <w:qFormat/>
    <w:rPr/>
  </w:style>
  <w:style w:type="character" w:styleId="WW8Num36z8" w:customStyle="1">
    <w:name w:val="WW8Num36z8"/>
    <w:qFormat/>
    <w:rPr/>
  </w:style>
  <w:style w:type="character" w:styleId="WW8Num37z0" w:customStyle="1">
    <w:name w:val="WW8Num37z0"/>
    <w:qFormat/>
    <w:rPr/>
  </w:style>
  <w:style w:type="character" w:styleId="WW8Num38z0" w:customStyle="1">
    <w:name w:val="WW8Num38z0"/>
    <w:qFormat/>
    <w:rPr/>
  </w:style>
  <w:style w:type="character" w:styleId="WW8Num38z1" w:customStyle="1">
    <w:name w:val="WW8Num38z1"/>
    <w:qFormat/>
    <w:rPr/>
  </w:style>
  <w:style w:type="character" w:styleId="WW8Num38z2" w:customStyle="1">
    <w:name w:val="WW8Num38z2"/>
    <w:qFormat/>
    <w:rPr/>
  </w:style>
  <w:style w:type="character" w:styleId="WW8Num38z3" w:customStyle="1">
    <w:name w:val="WW8Num38z3"/>
    <w:qFormat/>
    <w:rPr/>
  </w:style>
  <w:style w:type="character" w:styleId="WW8Num38z4" w:customStyle="1">
    <w:name w:val="WW8Num38z4"/>
    <w:qFormat/>
    <w:rPr/>
  </w:style>
  <w:style w:type="character" w:styleId="WW8Num38z5" w:customStyle="1">
    <w:name w:val="WW8Num38z5"/>
    <w:qFormat/>
    <w:rPr/>
  </w:style>
  <w:style w:type="character" w:styleId="WW8Num38z6" w:customStyle="1">
    <w:name w:val="WW8Num38z6"/>
    <w:qFormat/>
    <w:rPr/>
  </w:style>
  <w:style w:type="character" w:styleId="WW8Num38z7" w:customStyle="1">
    <w:name w:val="WW8Num38z7"/>
    <w:qFormat/>
    <w:rPr/>
  </w:style>
  <w:style w:type="character" w:styleId="WW8Num38z8" w:customStyle="1">
    <w:name w:val="WW8Num38z8"/>
    <w:qFormat/>
    <w:rPr/>
  </w:style>
  <w:style w:type="character" w:styleId="WW8Num39z0" w:customStyle="1">
    <w:name w:val="WW8Num39z0"/>
    <w:qFormat/>
    <w:rPr/>
  </w:style>
  <w:style w:type="character" w:styleId="WW8Num39z1" w:customStyle="1">
    <w:name w:val="WW8Num39z1"/>
    <w:qFormat/>
    <w:rPr/>
  </w:style>
  <w:style w:type="character" w:styleId="WW8Num39z2" w:customStyle="1">
    <w:name w:val="WW8Num39z2"/>
    <w:qFormat/>
    <w:rPr/>
  </w:style>
  <w:style w:type="character" w:styleId="WW8Num39z3" w:customStyle="1">
    <w:name w:val="WW8Num39z3"/>
    <w:qFormat/>
    <w:rPr/>
  </w:style>
  <w:style w:type="character" w:styleId="WW8Num39z4" w:customStyle="1">
    <w:name w:val="WW8Num39z4"/>
    <w:qFormat/>
    <w:rPr/>
  </w:style>
  <w:style w:type="character" w:styleId="WW8Num39z5" w:customStyle="1">
    <w:name w:val="WW8Num39z5"/>
    <w:qFormat/>
    <w:rPr/>
  </w:style>
  <w:style w:type="character" w:styleId="WW8Num39z6" w:customStyle="1">
    <w:name w:val="WW8Num39z6"/>
    <w:qFormat/>
    <w:rPr/>
  </w:style>
  <w:style w:type="character" w:styleId="WW8Num39z7" w:customStyle="1">
    <w:name w:val="WW8Num39z7"/>
    <w:qFormat/>
    <w:rPr/>
  </w:style>
  <w:style w:type="character" w:styleId="WW8Num39z8" w:customStyle="1">
    <w:name w:val="WW8Num39z8"/>
    <w:qFormat/>
    <w:rPr/>
  </w:style>
  <w:style w:type="character" w:styleId="WW8Num40z0" w:customStyle="1">
    <w:name w:val="WW8Num40z0"/>
    <w:qFormat/>
    <w:rPr/>
  </w:style>
  <w:style w:type="character" w:styleId="WW8Num41z0" w:customStyle="1">
    <w:name w:val="WW8Num41z0"/>
    <w:qFormat/>
    <w:rPr>
      <w:rFonts w:ascii="Symbol" w:hAnsi="Symbol" w:cs="Symbol"/>
      <w:sz w:val="20"/>
    </w:rPr>
  </w:style>
  <w:style w:type="character" w:styleId="WW8Num41z1" w:customStyle="1">
    <w:name w:val="WW8Num41z1"/>
    <w:qFormat/>
    <w:rPr>
      <w:rFonts w:ascii="Courier New" w:hAnsi="Courier New" w:cs="Courier New"/>
      <w:sz w:val="20"/>
    </w:rPr>
  </w:style>
  <w:style w:type="character" w:styleId="WW8Num41z2" w:customStyle="1">
    <w:name w:val="WW8Num41z2"/>
    <w:qFormat/>
    <w:rPr>
      <w:rFonts w:ascii="Wingdings" w:hAnsi="Wingdings" w:cs="Wingdings"/>
      <w:sz w:val="20"/>
    </w:rPr>
  </w:style>
  <w:style w:type="character" w:styleId="WW8Num42z0" w:customStyle="1">
    <w:name w:val="WW8Num42z0"/>
    <w:qFormat/>
    <w:rPr/>
  </w:style>
  <w:style w:type="character" w:styleId="WW8Num42z1" w:customStyle="1">
    <w:name w:val="WW8Num42z1"/>
    <w:qFormat/>
    <w:rPr/>
  </w:style>
  <w:style w:type="character" w:styleId="WW8Num42z2" w:customStyle="1">
    <w:name w:val="WW8Num42z2"/>
    <w:qFormat/>
    <w:rPr/>
  </w:style>
  <w:style w:type="character" w:styleId="WW8Num42z3" w:customStyle="1">
    <w:name w:val="WW8Num42z3"/>
    <w:qFormat/>
    <w:rPr/>
  </w:style>
  <w:style w:type="character" w:styleId="WW8Num42z4" w:customStyle="1">
    <w:name w:val="WW8Num42z4"/>
    <w:qFormat/>
    <w:rPr/>
  </w:style>
  <w:style w:type="character" w:styleId="WW8Num42z5" w:customStyle="1">
    <w:name w:val="WW8Num42z5"/>
    <w:qFormat/>
    <w:rPr/>
  </w:style>
  <w:style w:type="character" w:styleId="WW8Num42z6" w:customStyle="1">
    <w:name w:val="WW8Num42z6"/>
    <w:qFormat/>
    <w:rPr/>
  </w:style>
  <w:style w:type="character" w:styleId="WW8Num42z7" w:customStyle="1">
    <w:name w:val="WW8Num42z7"/>
    <w:qFormat/>
    <w:rPr/>
  </w:style>
  <w:style w:type="character" w:styleId="WW8Num42z8" w:customStyle="1">
    <w:name w:val="WW8Num42z8"/>
    <w:qFormat/>
    <w:rPr/>
  </w:style>
  <w:style w:type="character" w:styleId="WW8Num43z0" w:customStyle="1">
    <w:name w:val="WW8Num43z0"/>
    <w:qFormat/>
    <w:rPr/>
  </w:style>
  <w:style w:type="character" w:styleId="WW8Num44z0" w:customStyle="1">
    <w:name w:val="WW8Num44z0"/>
    <w:qFormat/>
    <w:rPr>
      <w:rFonts w:ascii="Symbol" w:hAnsi="Symbol" w:cs="Symbol"/>
      <w:sz w:val="20"/>
    </w:rPr>
  </w:style>
  <w:style w:type="character" w:styleId="WW8Num44z1" w:customStyle="1">
    <w:name w:val="WW8Num44z1"/>
    <w:qFormat/>
    <w:rPr>
      <w:rFonts w:ascii="Courier New" w:hAnsi="Courier New" w:cs="Courier New"/>
      <w:sz w:val="20"/>
    </w:rPr>
  </w:style>
  <w:style w:type="character" w:styleId="WW8Num44z2" w:customStyle="1">
    <w:name w:val="WW8Num44z2"/>
    <w:qFormat/>
    <w:rPr>
      <w:rFonts w:ascii="Wingdings" w:hAnsi="Wingdings" w:cs="Wingdings"/>
      <w:sz w:val="20"/>
    </w:rPr>
  </w:style>
  <w:style w:type="character" w:styleId="WW8Num45z0" w:customStyle="1">
    <w:name w:val="WW8Num45z0"/>
    <w:qFormat/>
    <w:rPr/>
  </w:style>
  <w:style w:type="character" w:styleId="1" w:customStyle="1">
    <w:name w:val="Основной шрифт абзаца1"/>
    <w:qFormat/>
    <w:rPr/>
  </w:style>
  <w:style w:type="character" w:styleId="PageNumber">
    <w:name w:val="page number"/>
    <w:qFormat/>
    <w:rPr>
      <w:sz w:val="20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FF"/>
      <w:u w:val="single"/>
    </w:rPr>
  </w:style>
  <w:style w:type="character" w:styleId="Style12" w:customStyle="1">
    <w:name w:val="Текст Знак"/>
    <w:qFormat/>
    <w:rPr>
      <w:rFonts w:ascii="Courier New" w:hAnsi="Courier New" w:cs="Courier New"/>
      <w:lang w:val="ru-RU" w:bidi="ar-SA"/>
    </w:rPr>
  </w:style>
  <w:style w:type="character" w:styleId="apple-converted-space" w:customStyle="1">
    <w:name w:val="apple-converted-space"/>
    <w:basedOn w:val="1"/>
    <w:qFormat/>
    <w:rPr/>
  </w:style>
  <w:style w:type="character" w:styleId="Style13" w:customStyle="1">
    <w:name w:val="Без интервала Знак"/>
    <w:qFormat/>
    <w:rPr>
      <w:rFonts w:ascii="Calibri" w:hAnsi="Calibri" w:cs="Calibri"/>
      <w:sz w:val="22"/>
      <w:szCs w:val="22"/>
    </w:rPr>
  </w:style>
  <w:style w:type="character" w:styleId="11" w:customStyle="1">
    <w:name w:val="Знак примечания1"/>
    <w:qFormat/>
    <w:rPr>
      <w:sz w:val="16"/>
      <w:szCs w:val="16"/>
    </w:rPr>
  </w:style>
  <w:style w:type="character" w:styleId="Style14" w:customStyle="1">
    <w:name w:val="Текст примечания Знак"/>
    <w:basedOn w:val="1"/>
    <w:qFormat/>
    <w:rPr/>
  </w:style>
  <w:style w:type="character" w:styleId="1w9o2igt" w:customStyle="1">
    <w:name w:val="_1w9o2igt"/>
    <w:qFormat/>
    <w:rPr/>
  </w:style>
  <w:style w:type="character" w:styleId="12" w:customStyle="1">
    <w:name w:val="Текст примечания Знак1"/>
    <w:uiPriority w:val="99"/>
    <w:semiHidden/>
    <w:qFormat/>
    <w:rPr>
      <w:rFonts w:ascii="Times New Roman" w:hAnsi="Times New Roman" w:eastAsia="Times New Roman" w:cs="Times New Roman"/>
      <w:sz w:val="20"/>
      <w:szCs w:val="20"/>
      <w:lang w:bidi="ar-SA"/>
    </w:rPr>
  </w:style>
  <w:style w:type="character" w:styleId="CommentReference">
    <w:name w:val="annotation reference"/>
    <w:uiPriority w:val="99"/>
    <w:semiHidden/>
    <w:unhideWhenUsed/>
    <w:qFormat/>
    <w:rPr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PT Astra Serif;Arial" w:hAnsi="PT Astra Serif;Arial" w:cs="Noto Sans Devanagari;Times New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;Arial" w:hAnsi="PT Astra Serif;Arial" w:cs="Noto Sans Devanagari;Times New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 w:customStyle="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31" w:customStyle="1">
    <w:name w:val="Заголовок3"/>
    <w:basedOn w:val="Normal"/>
    <w:next w:val="BodyText"/>
    <w:qFormat/>
    <w:pPr>
      <w:keepNext w:val="true"/>
      <w:spacing w:before="240" w:after="120"/>
    </w:pPr>
    <w:rPr>
      <w:rFonts w:ascii="PT Astra Serif;Arial" w:hAnsi="PT Astra Serif;Arial" w:eastAsia="Tahoma" w:cs="Noto Sans Devanagari;Times New"/>
      <w:sz w:val="28"/>
      <w:szCs w:val="28"/>
    </w:rPr>
  </w:style>
  <w:style w:type="paragraph" w:styleId="41" w:customStyle="1">
    <w:name w:val="Указатель4"/>
    <w:basedOn w:val="Normal"/>
    <w:qFormat/>
    <w:pPr>
      <w:suppressLineNumbers/>
    </w:pPr>
    <w:rPr>
      <w:rFonts w:ascii="PT Astra Serif;Arial" w:hAnsi="PT Astra Serif;Arial" w:cs="Noto Sans Devanagari;Times New"/>
    </w:rPr>
  </w:style>
  <w:style w:type="paragraph" w:styleId="42" w:customStyle="1">
    <w:name w:val="Название объекта4"/>
    <w:basedOn w:val="Normal"/>
    <w:qFormat/>
    <w:pPr>
      <w:suppressLineNumbers/>
      <w:spacing w:before="120" w:after="120"/>
    </w:pPr>
    <w:rPr>
      <w:rFonts w:ascii="PT Astra Serif;Arial" w:hAnsi="PT Astra Serif;Arial" w:cs="Noto Sans Devanagari;Times New"/>
      <w:i/>
      <w:iCs/>
      <w:sz w:val="24"/>
      <w:szCs w:val="24"/>
    </w:rPr>
  </w:style>
  <w:style w:type="paragraph" w:styleId="32" w:customStyle="1">
    <w:name w:val="Указатель3"/>
    <w:basedOn w:val="Normal"/>
    <w:qFormat/>
    <w:pPr>
      <w:suppressLineNumbers/>
    </w:pPr>
    <w:rPr>
      <w:rFonts w:ascii="PT Astra Serif;Arial" w:hAnsi="PT Astra Serif;Arial" w:cs="Noto Sans Devanagari;Times New"/>
    </w:rPr>
  </w:style>
  <w:style w:type="paragraph" w:styleId="21" w:customStyle="1">
    <w:name w:val="Заголовок2"/>
    <w:basedOn w:val="Normal"/>
    <w:next w:val="BodyText"/>
    <w:qFormat/>
    <w:pPr>
      <w:keepNext w:val="true"/>
      <w:spacing w:before="240" w:after="120"/>
    </w:pPr>
    <w:rPr>
      <w:rFonts w:ascii="PT Astra Serif;Arial" w:hAnsi="PT Astra Serif;Arial" w:eastAsia="Tahoma" w:cs="Noto Sans Devanagari;Times New"/>
      <w:sz w:val="28"/>
      <w:szCs w:val="28"/>
    </w:rPr>
  </w:style>
  <w:style w:type="paragraph" w:styleId="33" w:customStyle="1">
    <w:name w:val="Название объекта3"/>
    <w:basedOn w:val="Normal"/>
    <w:qFormat/>
    <w:pPr>
      <w:suppressLineNumbers/>
      <w:spacing w:before="120" w:after="120"/>
    </w:pPr>
    <w:rPr>
      <w:rFonts w:ascii="PT Astra Serif;Arial" w:hAnsi="PT Astra Serif;Arial" w:cs="Noto Sans Devanagari;Times New"/>
      <w:i/>
      <w:iCs/>
      <w:sz w:val="24"/>
      <w:szCs w:val="24"/>
    </w:rPr>
  </w:style>
  <w:style w:type="paragraph" w:styleId="22" w:customStyle="1">
    <w:name w:val="Указатель2"/>
    <w:basedOn w:val="Normal"/>
    <w:qFormat/>
    <w:pPr>
      <w:suppressLineNumbers/>
    </w:pPr>
    <w:rPr>
      <w:rFonts w:ascii="PT Astra Serif;Arial" w:hAnsi="PT Astra Serif;Arial" w:cs="Noto Sans Devanagari;Times New"/>
    </w:rPr>
  </w:style>
  <w:style w:type="paragraph" w:styleId="13" w:customStyle="1">
    <w:name w:val="Заголовок1"/>
    <w:basedOn w:val="Normal"/>
    <w:next w:val="BodyText"/>
    <w:qFormat/>
    <w:pPr>
      <w:widowControl/>
      <w:jc w:val="center"/>
    </w:pPr>
    <w:rPr>
      <w:rFonts w:ascii="Tahoma" w:hAnsi="Tahoma" w:cs="Tahoma"/>
      <w:b/>
      <w:sz w:val="64"/>
    </w:rPr>
  </w:style>
  <w:style w:type="paragraph" w:styleId="23" w:customStyle="1">
    <w:name w:val="Название объекта2"/>
    <w:basedOn w:val="Normal"/>
    <w:qFormat/>
    <w:pPr>
      <w:suppressLineNumbers/>
      <w:spacing w:before="120" w:after="120"/>
    </w:pPr>
    <w:rPr>
      <w:rFonts w:ascii="PT Astra Serif;Arial" w:hAnsi="PT Astra Serif;Arial" w:cs="Noto Sans Devanagari;Times New"/>
      <w:i/>
      <w:iCs/>
      <w:sz w:val="24"/>
      <w:szCs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ascii="PT Astra Serif;Arial" w:hAnsi="PT Astra Serif;Arial" w:cs="Noto Sans Devanagari;Times New"/>
    </w:rPr>
  </w:style>
  <w:style w:type="paragraph" w:styleId="Style17" w:customStyle="1">
    <w:name w:val="Верхний и нижний колонтитулы"/>
    <w:basedOn w:val="Normal"/>
    <w:qFormat/>
    <w:pPr>
      <w:suppressLineNumbers/>
      <w:tabs>
        <w:tab w:val="clear" w:pos="408"/>
        <w:tab w:val="center" w:pos="4819" w:leader="none"/>
        <w:tab w:val="right" w:pos="9638" w:leader="none"/>
      </w:tabs>
    </w:pPr>
    <w:rPr/>
  </w:style>
  <w:style w:type="paragraph" w:styleId="Style18">
    <w:name w:val="Колонтитулы"/>
    <w:basedOn w:val="Normal"/>
    <w:qFormat/>
    <w:pPr/>
    <w:rPr/>
  </w:style>
  <w:style w:type="paragraph" w:styleId="Style19">
    <w:name w:val="Колонтитул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4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408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pPr>
      <w:spacing w:before="0" w:after="60"/>
      <w:ind w:hanging="143" w:left="851"/>
      <w:jc w:val="both"/>
    </w:pPr>
    <w:rPr>
      <w:sz w:val="24"/>
    </w:rPr>
  </w:style>
  <w:style w:type="paragraph" w:styleId="211" w:customStyle="1">
    <w:name w:val="Основной текст с отступом 21"/>
    <w:basedOn w:val="Normal"/>
    <w:qFormat/>
    <w:pPr>
      <w:ind w:firstLine="284"/>
      <w:jc w:val="both"/>
    </w:pPr>
    <w:rPr>
      <w:sz w:val="24"/>
    </w:rPr>
  </w:style>
  <w:style w:type="paragraph" w:styleId="311" w:customStyle="1">
    <w:name w:val="Основной текст с отступом 31"/>
    <w:basedOn w:val="Normal"/>
    <w:qFormat/>
    <w:pPr>
      <w:ind w:hanging="0" w:left="993"/>
      <w:jc w:val="both"/>
    </w:pPr>
    <w:rPr>
      <w:sz w:val="24"/>
    </w:rPr>
  </w:style>
  <w:style w:type="paragraph" w:styleId="BodyTextIndent21" w:customStyle="1">
    <w:name w:val="Body Text Indent 21"/>
    <w:basedOn w:val="Normal"/>
    <w:qFormat/>
    <w:pPr>
      <w:ind w:hanging="426" w:left="426"/>
      <w:jc w:val="both"/>
    </w:pPr>
    <w:rPr>
      <w:sz w:val="24"/>
    </w:rPr>
  </w:style>
  <w:style w:type="paragraph" w:styleId="Style20" w:customStyle="1">
    <w:name w:val="Таблицы (моноширинный)"/>
    <w:basedOn w:val="Normal"/>
    <w:next w:val="Normal"/>
    <w:qFormat/>
    <w:pPr>
      <w:jc w:val="both"/>
    </w:pPr>
    <w:rPr>
      <w:rFonts w:ascii="Courier New" w:hAnsi="Courier New" w:cs="Courier New"/>
    </w:rPr>
  </w:style>
  <w:style w:type="paragraph" w:styleId="Style21" w:customStyle="1">
    <w:name w:val="Заголовок статьи"/>
    <w:basedOn w:val="Normal"/>
    <w:next w:val="Normal"/>
    <w:qFormat/>
    <w:pPr>
      <w:ind w:hanging="892" w:left="1612"/>
      <w:jc w:val="both"/>
    </w:pPr>
    <w:rPr>
      <w:rFonts w:ascii="Arial" w:hAnsi="Arial" w:cs="Arial"/>
    </w:rPr>
  </w:style>
  <w:style w:type="paragraph" w:styleId="Style22" w:customStyle="1">
    <w:name w:val="Комментарий"/>
    <w:basedOn w:val="Normal"/>
    <w:next w:val="Normal"/>
    <w:qFormat/>
    <w:pPr>
      <w:spacing w:before="56" w:after="0"/>
      <w:ind w:hanging="0" w:left="56" w:right="56"/>
    </w:pPr>
    <w:rPr/>
  </w:style>
  <w:style w:type="paragraph" w:styleId="ConsNormal" w:customStyle="1">
    <w:name w:val="ConsNormal"/>
    <w:qFormat/>
    <w:pPr>
      <w:widowControl w:val="false"/>
      <w:suppressAutoHyphens w:val="true"/>
      <w:overflowPunct w:val="true"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2"/>
      <w:szCs w:val="22"/>
      <w:lang w:val="ru-RU" w:eastAsia="zh-CN" w:bidi="ar-SA"/>
    </w:rPr>
  </w:style>
  <w:style w:type="paragraph" w:styleId="HTMLPreformatted">
    <w:name w:val="HTML Preformatted"/>
    <w:basedOn w:val="Normal"/>
    <w:qFormat/>
    <w:pPr>
      <w:widowControl/>
      <w:tabs>
        <w:tab w:val="clear" w:pos="4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3"/>
      <w:szCs w:val="23"/>
    </w:rPr>
  </w:style>
  <w:style w:type="paragraph" w:styleId="ConsPlusNonformat" w:customStyle="1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PlusTitle" w:customStyle="1">
    <w:name w:val="ConsPlusTitle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zh-CN" w:bidi="ar-SA"/>
    </w:rPr>
  </w:style>
  <w:style w:type="paragraph" w:styleId="Style23" w:customStyle="1">
    <w:name w:val="Обычный (веб)"/>
    <w:basedOn w:val="Normal"/>
    <w:qFormat/>
    <w:pPr>
      <w:widowControl/>
      <w:spacing w:before="280" w:after="280"/>
    </w:pPr>
    <w:rPr>
      <w:sz w:val="24"/>
      <w:szCs w:val="24"/>
    </w:rPr>
  </w:style>
  <w:style w:type="paragraph" w:styleId="15" w:customStyle="1">
    <w:name w:val="Текст1"/>
    <w:basedOn w:val="Normal"/>
    <w:qFormat/>
    <w:pPr>
      <w:widowControl/>
    </w:pPr>
    <w:rPr>
      <w:rFonts w:ascii="Courier New" w:hAnsi="Courier New" w:cs="Courier New"/>
    </w:rPr>
  </w:style>
  <w:style w:type="paragraph" w:styleId="FR1" w:customStyle="1">
    <w:name w:val="FR1"/>
    <w:qFormat/>
    <w:pPr>
      <w:widowControl w:val="false"/>
      <w:suppressAutoHyphens w:val="true"/>
      <w:overflowPunct w:val="true"/>
      <w:bidi w:val="0"/>
      <w:spacing w:lineRule="auto" w:line="420" w:before="60" w:after="0"/>
      <w:ind w:hanging="0" w:left="920" w:right="1400"/>
      <w:jc w:val="center"/>
    </w:pPr>
    <w:rPr>
      <w:rFonts w:ascii="Times New Roman" w:hAnsi="Times New Roman" w:eastAsia="Times New Roman" w:cs="Times New Roman"/>
      <w:color w:val="auto"/>
      <w:kern w:val="0"/>
      <w:sz w:val="32"/>
      <w:szCs w:val="20"/>
      <w:lang w:val="ru-RU" w:eastAsia="zh-CN" w:bidi="ar-SA"/>
    </w:rPr>
  </w:style>
  <w:style w:type="paragraph" w:styleId="ConsPlusNormal" w:customStyle="1">
    <w:name w:val="ConsPlus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16" w:customStyle="1">
    <w:name w:val="Название объекта1"/>
    <w:basedOn w:val="Normal"/>
    <w:qFormat/>
    <w:pPr>
      <w:widowControl/>
      <w:suppressLineNumbers/>
      <w:spacing w:lineRule="atLeast" w:line="100" w:before="120" w:after="120"/>
    </w:pPr>
    <w:rPr>
      <w:rFonts w:cs="Lohit Hindi;Times New Roman"/>
      <w:i/>
      <w:iCs/>
      <w:color w:val="00000A"/>
      <w:sz w:val="24"/>
      <w:szCs w:val="24"/>
    </w:rPr>
  </w:style>
  <w:style w:type="paragraph" w:styleId="17" w:customStyle="1">
    <w:name w:val="Без интервала1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zh-CN" w:bidi="ar-SA"/>
    </w:rPr>
  </w:style>
  <w:style w:type="paragraph" w:styleId="18" w:customStyle="1">
    <w:name w:val="Текст примечания1"/>
    <w:basedOn w:val="Normal"/>
    <w:qFormat/>
    <w:pPr>
      <w:widowControl/>
    </w:pPr>
    <w:rPr/>
  </w:style>
  <w:style w:type="paragraph" w:styleId="user3" w:customStyle="1">
    <w:name w:val="Содержимое таблицы (user)"/>
    <w:basedOn w:val="Normal"/>
    <w:qFormat/>
    <w:pPr>
      <w:suppressLineNumbers/>
    </w:pPr>
    <w:rPr/>
  </w:style>
  <w:style w:type="paragraph" w:styleId="user4" w:customStyle="1">
    <w:name w:val="Заголовок таблицы (user)"/>
    <w:basedOn w:val="user3"/>
    <w:qFormat/>
    <w:pPr>
      <w:jc w:val="center"/>
    </w:pPr>
    <w:rPr>
      <w:b/>
      <w:bCs/>
    </w:rPr>
  </w:style>
  <w:style w:type="paragraph" w:styleId="user5" w:customStyle="1">
    <w:name w:val="Содержимое врезки (user)"/>
    <w:basedOn w:val="Normal"/>
    <w:qFormat/>
    <w:pPr/>
    <w:rPr/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Noto Sans Devanagari"/>
      <w:color w:val="auto"/>
      <w:kern w:val="0"/>
      <w:sz w:val="20"/>
      <w:szCs w:val="22"/>
      <w:lang w:val="ru-RU" w:eastAsia="zh-CN" w:bidi="ar-SA"/>
    </w:rPr>
  </w:style>
  <w:style w:type="paragraph" w:styleId="WW-" w:customStyle="1">
    <w:name w:val="WW-Базовый"/>
    <w:qFormat/>
    <w:pPr>
      <w:widowControl/>
      <w:tabs>
        <w:tab w:val="clear" w:pos="408"/>
        <w:tab w:val="left" w:pos="709" w:leader="none"/>
      </w:tabs>
      <w:suppressAutoHyphens w:val="true"/>
      <w:overflowPunct w:val="true"/>
      <w:bidi w:val="0"/>
      <w:spacing w:lineRule="atLeast" w:line="20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zh-CN" w:bidi="ar-SA"/>
    </w:rPr>
  </w:style>
  <w:style w:type="paragraph" w:styleId="19" w:customStyle="1">
    <w:name w:val="Обычный1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0"/>
      <w:lang w:val="ru-RU" w:eastAsia="zh-CN" w:bidi="ar-SA"/>
    </w:rPr>
  </w:style>
  <w:style w:type="paragraph" w:styleId="CommentText">
    <w:name w:val="annotation text"/>
    <w:basedOn w:val="Normal"/>
    <w:link w:val="12"/>
    <w:uiPriority w:val="99"/>
    <w:semiHidden/>
    <w:unhideWhenUsed/>
    <w:qFormat/>
    <w:pPr/>
    <w:rPr/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numbering" w:styleId="Style24" w:default="1">
    <w:name w:val="Без списка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Application>LibreOffice/25.8.3.2$Linux_X86_64 LibreOffice_project/580$Build-2</Application>
  <AppVersion>15.0000</AppVersion>
  <Pages>14</Pages>
  <Words>3549</Words>
  <Characters>25115</Characters>
  <CharactersWithSpaces>28246</CharactersWithSpaces>
  <Paragraphs>490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2025-07-29T16:10:00Z</dcterms:created>
  <dc:creator>Семенков Александр Викторович</dc:creator>
  <dc:description/>
  <dc:language>ru-RU</dc:language>
  <cp:lastModifiedBy/>
  <cp:lastPrinted>2025-12-02T13:30:00Z</cp:lastPrinted>
  <dcterms:modified xsi:type="dcterms:W3CDTF">2026-10-27T08:26:38Z</dcterms:modified>
  <cp:revision>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