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426" w:leader="none"/>
        </w:tabs>
        <w:spacing w:lineRule="auto" w:line="240" w:before="0" w:after="60"/>
        <w:jc w:val="right"/>
        <w:rPr>
          <w:rFonts w:ascii="Times New Roman" w:hAnsi="Times New Roman"/>
          <w:sz w:val="24"/>
          <w:szCs w:val="24"/>
        </w:rPr>
      </w:pPr>
      <w:r>
        <w:rPr>
          <w:rFonts w:ascii="Times New Roman" w:hAnsi="Times New Roman"/>
          <w:sz w:val="24"/>
          <w:szCs w:val="24"/>
        </w:rPr>
      </w:r>
      <w:bookmarkStart w:id="0" w:name="_Toc134434179"/>
      <w:bookmarkStart w:id="1" w:name="_Toc134434240"/>
      <w:bookmarkStart w:id="2" w:name="_Toc134434488"/>
      <w:bookmarkStart w:id="3" w:name="_Toc134614709"/>
      <w:bookmarkStart w:id="4" w:name="_Toc268182839"/>
      <w:bookmarkStart w:id="5" w:name="_Toc344565816"/>
      <w:bookmarkStart w:id="6" w:name="_Toc378960258"/>
      <w:bookmarkStart w:id="7" w:name="_Toc378960332"/>
      <w:bookmarkStart w:id="8" w:name="_Toc378962694"/>
      <w:bookmarkStart w:id="9" w:name="_Toc134434179"/>
      <w:bookmarkStart w:id="10" w:name="_Toc134434240"/>
      <w:bookmarkStart w:id="11" w:name="_Toc134434488"/>
      <w:bookmarkStart w:id="12" w:name="_Toc134614709"/>
      <w:bookmarkStart w:id="13" w:name="_Toc268182839"/>
      <w:bookmarkStart w:id="14" w:name="_Toc344565816"/>
      <w:bookmarkStart w:id="15" w:name="_Toc378960258"/>
      <w:bookmarkStart w:id="16" w:name="_Toc378960332"/>
      <w:bookmarkStart w:id="17" w:name="_Toc378962694"/>
      <w:bookmarkEnd w:id="9"/>
      <w:bookmarkEnd w:id="10"/>
      <w:bookmarkEnd w:id="11"/>
      <w:bookmarkEnd w:id="12"/>
      <w:bookmarkEnd w:id="13"/>
      <w:bookmarkEnd w:id="14"/>
      <w:bookmarkEnd w:id="15"/>
      <w:bookmarkEnd w:id="16"/>
      <w:bookmarkEnd w:id="17"/>
    </w:p>
    <w:p>
      <w:pPr>
        <w:pStyle w:val="Normal"/>
        <w:spacing w:lineRule="auto" w:line="240" w:before="0" w:after="0"/>
        <w:jc w:val="center"/>
        <w:rPr>
          <w:rFonts w:ascii="Times New Roman" w:hAnsi="Times New Roman"/>
          <w:b/>
          <w:bCs/>
          <w:color w:val="000000"/>
          <w:sz w:val="24"/>
          <w:szCs w:val="24"/>
        </w:rPr>
      </w:pPr>
      <w:bookmarkStart w:id="18" w:name="_Toc134434179"/>
      <w:bookmarkStart w:id="19" w:name="_Toc134434240"/>
      <w:bookmarkStart w:id="20" w:name="_Toc134434488"/>
      <w:bookmarkStart w:id="21" w:name="_Toc134614709"/>
      <w:bookmarkStart w:id="22" w:name="_Toc268182839"/>
      <w:bookmarkStart w:id="23" w:name="_Toc344565816"/>
      <w:bookmarkStart w:id="24" w:name="_Toc378960258"/>
      <w:bookmarkStart w:id="25" w:name="_Toc378960332"/>
      <w:bookmarkStart w:id="26" w:name="_Toc378962694"/>
      <w:bookmarkStart w:id="27" w:name="_Toc257307994"/>
      <w:bookmarkStart w:id="28" w:name="_Toc257305091"/>
      <w:bookmarkStart w:id="29" w:name="_Toc257304963"/>
      <w:bookmarkStart w:id="30" w:name="_Toc252450614"/>
      <w:bookmarkStart w:id="31" w:name="_Toc252449658"/>
      <w:bookmarkStart w:id="32" w:name="_Toc252447766"/>
      <w:bookmarkStart w:id="33" w:name="_Toc252447590"/>
      <w:bookmarkStart w:id="34" w:name="_Toc252442802"/>
      <w:bookmarkEnd w:id="18"/>
      <w:bookmarkEnd w:id="19"/>
      <w:bookmarkEnd w:id="20"/>
      <w:bookmarkEnd w:id="21"/>
      <w:bookmarkEnd w:id="22"/>
      <w:bookmarkEnd w:id="23"/>
      <w:bookmarkEnd w:id="24"/>
      <w:bookmarkEnd w:id="25"/>
      <w:bookmarkEnd w:id="26"/>
      <w:r>
        <w:rPr>
          <w:rFonts w:ascii="Times New Roman" w:hAnsi="Times New Roman"/>
          <w:b/>
          <w:bCs/>
          <w:color w:val="000000"/>
          <w:sz w:val="24"/>
          <w:szCs w:val="24"/>
        </w:rPr>
        <w:t>Контракт № _________________________</w:t>
      </w:r>
    </w:p>
    <w:p>
      <w:pPr>
        <w:pStyle w:val="Normal"/>
        <w:spacing w:lineRule="auto" w:line="240" w:before="0" w:after="0"/>
        <w:jc w:val="center"/>
        <w:rPr>
          <w:b/>
          <w:bCs/>
          <w:color w:val="000000"/>
          <w:sz w:val="24"/>
          <w:szCs w:val="24"/>
        </w:rPr>
      </w:pPr>
      <w:r>
        <w:rPr>
          <w:rFonts w:ascii="Times New Roman" w:hAnsi="Times New Roman"/>
          <w:b/>
          <w:bCs/>
          <w:color w:val="000000"/>
          <w:sz w:val="24"/>
          <w:szCs w:val="24"/>
        </w:rPr>
        <w:t>на продление права использования на условиях простой (неисключительной) лицензии ПО «ПФХД 2.0» в составе «Электронный сервис «РАМЗЭС 2.0»</w:t>
      </w:r>
    </w:p>
    <w:tbl>
      <w:tblPr>
        <w:tblStyle w:val="ab"/>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239"/>
        <w:gridCol w:w="5239"/>
      </w:tblGrid>
      <w:tr>
        <w:trPr>
          <w:trHeight w:val="392" w:hRule="atLeast"/>
        </w:trPr>
        <w:tc>
          <w:tcPr>
            <w:tcW w:w="5239" w:type="dxa"/>
            <w:tcBorders>
              <w:top w:val="nil"/>
              <w:left w:val="nil"/>
              <w:bottom w:val="nil"/>
              <w:right w:val="nil"/>
            </w:tcBorders>
            <w:vAlign w:val="center"/>
          </w:tcPr>
          <w:p>
            <w:pPr>
              <w:pStyle w:val="Normal"/>
              <w:widowControl/>
              <w:tabs>
                <w:tab w:val="clear" w:pos="709"/>
                <w:tab w:val="left" w:pos="6806" w:leader="none"/>
              </w:tabs>
              <w:spacing w:lineRule="auto" w:line="240" w:before="280" w:after="0"/>
              <w:jc w:val="left"/>
              <w:rPr>
                <w:rFonts w:ascii="Times New Roman" w:hAnsi="Times New Roman"/>
                <w:bCs/>
                <w:sz w:val="23"/>
                <w:szCs w:val="23"/>
              </w:rPr>
            </w:pPr>
            <w:r>
              <w:rPr>
                <w:rFonts w:eastAsia="Times New Roman" w:ascii="Times New Roman" w:hAnsi="Times New Roman"/>
                <w:bCs/>
                <w:kern w:val="0"/>
                <w:sz w:val="23"/>
                <w:szCs w:val="23"/>
                <w:lang w:val="ru-RU" w:eastAsia="ru-RU" w:bidi="ar-SA"/>
              </w:rPr>
            </w:r>
          </w:p>
        </w:tc>
        <w:tc>
          <w:tcPr>
            <w:tcW w:w="5239" w:type="dxa"/>
            <w:tcBorders>
              <w:top w:val="nil"/>
              <w:left w:val="nil"/>
              <w:bottom w:val="nil"/>
              <w:right w:val="nil"/>
            </w:tcBorders>
            <w:vAlign w:val="center"/>
          </w:tcPr>
          <w:p>
            <w:pPr>
              <w:pStyle w:val="Normal"/>
              <w:widowControl/>
              <w:tabs>
                <w:tab w:val="clear" w:pos="709"/>
                <w:tab w:val="left" w:pos="6806" w:leader="none"/>
              </w:tabs>
              <w:spacing w:lineRule="auto" w:line="240" w:before="280" w:after="0"/>
              <w:jc w:val="right"/>
              <w:rPr>
                <w:rFonts w:ascii="Times New Roman" w:hAnsi="Times New Roman"/>
                <w:bCs/>
                <w:sz w:val="23"/>
                <w:szCs w:val="23"/>
              </w:rPr>
            </w:pPr>
            <w:r>
              <w:rPr>
                <w:rFonts w:eastAsia="Times New Roman" w:ascii="Times New Roman" w:hAnsi="Times New Roman"/>
                <w:bCs/>
                <w:kern w:val="0"/>
                <w:sz w:val="23"/>
                <w:szCs w:val="23"/>
                <w:lang w:val="ru-RU" w:eastAsia="ru-RU" w:bidi="ar-SA"/>
              </w:rPr>
              <w:t>«____» _________ 2026 г.</w:t>
            </w:r>
          </w:p>
        </w:tc>
      </w:tr>
    </w:tbl>
    <w:p>
      <w:pPr>
        <w:pStyle w:val="Normal"/>
        <w:widowControl w:val="false"/>
        <w:spacing w:lineRule="auto" w:line="240" w:before="40" w:after="0"/>
        <w:ind w:firstLine="567"/>
        <w:jc w:val="both"/>
        <w:rPr>
          <w:rFonts w:ascii="Times New Roman" w:hAnsi="Times New Roman"/>
          <w:b/>
        </w:rPr>
      </w:pPr>
      <w:r>
        <w:rPr>
          <w:rFonts w:ascii="Times New Roman" w:hAnsi="Times New Roman"/>
          <w:b/>
        </w:rPr>
      </w:r>
    </w:p>
    <w:p>
      <w:pPr>
        <w:pStyle w:val="Normal"/>
        <w:widowControl w:val="false"/>
        <w:spacing w:lineRule="auto" w:line="240" w:before="40" w:after="0"/>
        <w:ind w:firstLine="567"/>
        <w:jc w:val="both"/>
        <w:rPr>
          <w:rFonts w:ascii="Times New Roman" w:hAnsi="Times New Roman"/>
          <w:bCs/>
        </w:rPr>
      </w:pPr>
      <w:r>
        <w:rPr>
          <w:rFonts w:cs="Times New Roman" w:ascii="Times New Roman" w:hAnsi="Times New Roman"/>
          <w:bCs/>
        </w:rPr>
        <w:t>Федеральное бюджетное учреждение "Администрация Камского бассейна внутренних водных путей", именуемый в дальнейшем Заказчик, в лице начальника Нижне-Камского района водных путей и судоходства - филиала ФБУ "Администрация Камского бассейна внутренних водных путей" Мосина Артёма Юрьевича, действующего на основании доверенности от 29.12.2025 № 15-12-07</w:t>
      </w:r>
      <w:r>
        <w:rPr>
          <w:rFonts w:ascii="Times New Roman" w:hAnsi="Times New Roman"/>
          <w:bCs/>
        </w:rPr>
        <w:t xml:space="preserve">, с одной стороны, и </w:t>
      </w:r>
      <w:r>
        <w:rPr>
          <w:rFonts w:ascii="Times New Roman" w:hAnsi="Times New Roman"/>
          <w:b/>
          <w:bCs/>
        </w:rPr>
        <w:t>_______________________</w:t>
      </w:r>
      <w:r>
        <w:rPr>
          <w:rFonts w:ascii="Times New Roman" w:hAnsi="Times New Roman"/>
          <w:bCs/>
        </w:rPr>
        <w:t xml:space="preserve">, именуемое в дальнейшем «Лицензиар», в лице </w:t>
      </w:r>
      <w:r>
        <w:rPr>
          <w:rFonts w:ascii="Times New Roman" w:hAnsi="Times New Roman"/>
          <w:bCs/>
        </w:rPr>
        <w:t>________________________</w:t>
      </w:r>
      <w:r>
        <w:rPr>
          <w:rFonts w:ascii="Times New Roman" w:hAnsi="Times New Roman"/>
          <w:bCs/>
        </w:rPr>
        <w:t xml:space="preserve">, действующего на основании </w:t>
      </w:r>
      <w:r>
        <w:rPr>
          <w:rFonts w:ascii="Times New Roman" w:hAnsi="Times New Roman"/>
          <w:bCs/>
        </w:rPr>
        <w:t>___________________________</w:t>
      </w:r>
      <w:r>
        <w:rPr>
          <w:rFonts w:ascii="Times New Roman" w:hAnsi="Times New Roman"/>
          <w:bCs/>
        </w:rPr>
        <w:t>, с другой стороны, далее совместно именуемые «Стороны», а каждая по отдельности – «Сторона», заключили настоящий Контракт о нижеследующем:.</w:t>
      </w:r>
    </w:p>
    <w:p>
      <w:pPr>
        <w:pStyle w:val="FR1"/>
        <w:tabs>
          <w:tab w:val="clear" w:pos="709"/>
          <w:tab w:val="left" w:pos="0" w:leader="none"/>
        </w:tabs>
        <w:ind w:firstLine="567"/>
        <w:jc w:val="both"/>
        <w:rPr>
          <w:rFonts w:ascii="Times New Roman" w:hAnsi="Times New Roman" w:cs="Times New Roman"/>
          <w:sz w:val="22"/>
          <w:szCs w:val="22"/>
        </w:rPr>
      </w:pPr>
      <w:r>
        <w:rPr>
          <w:rFonts w:cs="Times New Roman" w:ascii="Times New Roman" w:hAnsi="Times New Roman"/>
          <w:sz w:val="22"/>
          <w:szCs w:val="22"/>
        </w:rPr>
      </w:r>
    </w:p>
    <w:p>
      <w:pPr>
        <w:pStyle w:val="ListParagraph"/>
        <w:numPr>
          <w:ilvl w:val="0"/>
          <w:numId w:val="3"/>
        </w:numPr>
        <w:spacing w:lineRule="auto" w:line="240" w:before="0" w:after="0"/>
        <w:contextualSpacing w:val="false"/>
        <w:jc w:val="center"/>
        <w:rPr>
          <w:rFonts w:ascii="Times New Roman" w:hAnsi="Times New Roman"/>
          <w:b/>
        </w:rPr>
      </w:pPr>
      <w:r>
        <w:rPr>
          <w:rFonts w:ascii="Times New Roman" w:hAnsi="Times New Roman"/>
          <w:b/>
        </w:rPr>
        <w:t>ПРЕДМЕТ И УСЛОВИЯ ЛИЦЕНЗИОННОГО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xml:space="preserve">Лицензиар обязуется продлить право использования на условиях простой (неисключительной) лицензии (далее – «Лицензия») ПО «ПФХД 2.0» (далее – «ПО») в составе «Электронный сервис «РАМЗЭС 2.0» (далее </w:t>
      </w:r>
      <w:r>
        <w:rPr>
          <w:rFonts w:eastAsia="Symbol" w:cs="Symbol" w:ascii="Symbol" w:hAnsi="Symbol"/>
        </w:rPr>
        <w:sym w:font="Symbol" w:char="f02d"/>
      </w:r>
      <w:r>
        <w:rPr>
          <w:rFonts w:ascii="Times New Roman" w:hAnsi="Times New Roman"/>
        </w:rPr>
        <w:t xml:space="preserve"> «Система»), а Лицензиат обязуется принять Лицензии и оплатить вознаграждение в порядке и сроки, предусмотренные настоящим Контрактом (далее – Контракт) и Техническим заданием (Приложение № 2 к настоящему Контракту).</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xml:space="preserve">Лицензиар гарантирует, что является правообладателем исключительного права на Систему. </w:t>
      </w:r>
      <w:r>
        <w:rPr>
          <w:rFonts w:ascii="Times New Roman" w:hAnsi="Times New Roman"/>
          <w:sz w:val="23"/>
          <w:szCs w:val="23"/>
        </w:rPr>
        <w:t xml:space="preserve">Электронный сервис «РАМЗЭС 2.0» зарегистрирован в реестре отечественного ПО 18.05.2017 г., рег. номер ПО: 3566 (класс ПО: информационные системы для решения специфических отраслевых задач, системы управления процессами организации). Правообладателем Электронного сервиса «РАМЗЭС 2.0» является ООО «ФИНАТЕК» на основании Свидетельства о государственной регистрации программ для ЭВМ № 2016618923 от 10 августа 2016 г.  Страница в Едином реестре российских программ для электронных вычислительных машин и баз данных: </w:t>
      </w:r>
      <w:hyperlink r:id="rId2">
        <w:r>
          <w:rPr>
            <w:rStyle w:val="-"/>
            <w:rFonts w:ascii="Times New Roman" w:hAnsi="Times New Roman"/>
          </w:rPr>
          <w:t>https://reestr.digital.gov.ru/reestr/304916/</w:t>
        </w:r>
      </w:hyperlink>
      <w:r>
        <w:rPr>
          <w:rStyle w:val="-"/>
          <w:sz w:val="23"/>
          <w:szCs w:val="23"/>
        </w:rPr>
        <w:t>.</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Срок действия лицензий и объем передаваемых Лицензией прав определен в Спецификации к Контракту (Приложение № 1 к Контракту).</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Дата передачи Лицензии – не позднее 5 рабочих дней с момента заключения настоящего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Территория действия неисключительного права – Российская Федерация.</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ИКЗ: 261590229019118270200100170000000244</w:t>
      </w:r>
      <w:r>
        <w:rPr>
          <w:rFonts w:ascii="Times New Roman" w:hAnsi="Times New Roman"/>
        </w:rPr>
        <w:t>.</w:t>
      </w:r>
    </w:p>
    <w:p>
      <w:pPr>
        <w:pStyle w:val="ListParagraph"/>
        <w:spacing w:lineRule="auto" w:line="240" w:before="0" w:after="0"/>
        <w:ind w:left="0" w:firstLine="709"/>
        <w:contextualSpacing/>
        <w:jc w:val="both"/>
        <w:rPr>
          <w:rFonts w:ascii="Times New Roman" w:hAnsi="Times New Roman"/>
          <w:b/>
        </w:rPr>
      </w:pPr>
      <w:r>
        <w:rPr>
          <w:rFonts w:ascii="Times New Roman" w:hAnsi="Times New Roman"/>
          <w:b/>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ЦЕНА КОНТРАКТА И ПОРЯДОК РАСЧЕТОВ</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xml:space="preserve">Сумма лицензионного вознаграждения составляет </w:t>
      </w:r>
      <w:r>
        <w:rPr>
          <w:rFonts w:ascii="Times New Roman" w:hAnsi="Times New Roman"/>
        </w:rPr>
        <w:t>_____</w:t>
      </w:r>
      <w:r>
        <w:rPr>
          <w:rFonts w:ascii="Times New Roman" w:hAnsi="Times New Roman"/>
        </w:rPr>
        <w:t xml:space="preserve"> (</w:t>
      </w:r>
      <w:r>
        <w:rPr>
          <w:rFonts w:ascii="Times New Roman" w:hAnsi="Times New Roman"/>
        </w:rPr>
        <w:t>____________</w:t>
      </w:r>
      <w:r>
        <w:rPr>
          <w:rFonts w:ascii="Times New Roman" w:hAnsi="Times New Roman"/>
        </w:rPr>
        <w:t>) рублей (далее - Цена Контракта),</w:t>
      </w:r>
      <w:r>
        <w:rPr>
          <w:rFonts w:ascii="Times New Roman" w:hAnsi="Times New Roman"/>
        </w:rPr>
        <w:t xml:space="preserve"> в т.ч. </w:t>
      </w:r>
      <w:r>
        <w:rPr>
          <w:rFonts w:ascii="Times New Roman" w:hAnsi="Times New Roman"/>
        </w:rPr>
        <w:t xml:space="preserve"> НДС</w:t>
      </w:r>
      <w:r>
        <w:rPr>
          <w:rFonts w:ascii="Times New Roman" w:hAnsi="Times New Roman"/>
        </w:rPr>
        <w:t xml:space="preserve"> (при наличии).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Источником оплаты вознаграждения являются субсидии на выполнение государственного задания и/или собственные средства Учреждения.</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Оплата по Контракту осуществляется в рублях Российской Федерации.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Цена Контракта включает стоимость передаваемого права на Систему и лицензионного сопровождения, включает в себя все налоги, сборы и расходы Лицензиара, необходимые для исполнения обязательств по настоящему Контракту.</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Цена Контракта является твердой, устанавливается на весь срок действия Контракта и не может изменяться в ходе заключения и исполнения Контракта, за исключением случаев, установленных настоящим Контрактом.</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Обязательства, исполненные с изменением или отклонением от условий Контракта, не оформленные дополнительными Соглашениями, оплате не подлежат.</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xml:space="preserve">Цена Контракта включает в себя все затраты, издержки и иные расходы Лицензиара, связанные с исполнением настоящего Контракта, в том числе затраты, связанные с согласованием проектной документации, прохождением государственной экспертизы и получением положительного заключения государственной экспертизы проектной документации и результатов инженерных изысканий, государственной экспертизы по проверке достоверности определения сметной стоимости с уплатой пошлин, налогов, сборов и иных обязательных платежей в соответствии с законодательством Российской Федерации. </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В случае начисления Лицензиатом Лицензиару неустойки (штрафа, пени) и (или) предъявления требования о возмещении убытков оплата исполнения обязательств осуществляется Лицензиаром за вычетом соответствующего размера неустойки (штрафа, пени) и (или) убытков на основании представленных Лицензиару счета и счета-фактуры (для плательщиков НДС).</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В случае исполнения обязательств субъектами малого предпринимательства (СМП) или социально ориентированной некоммерческой организацией (СОНО) оплата лицензионного вознаграждения (ее результатов), отдельных этапов) производится не более чем в течение семи рабочих дней с даты подписания Лицензиатом акта приема-передачи лицензии.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Общая сумма, подлежащая уплате Лицензиатом Лицензиару, может быть уменьшена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Лицензиатом.</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xml:space="preserve">Оплата вознаграждения Лицензиатом производится единоразово по факту предоставления лицензии не позднее 7 (семи) рабочих дней после подписания Сторонами Акта приема-передачи лицензии (далее – Акт), на основании выставленного Лицензиаром счета, путем перечисления денежных средств на расчетный счет Лицензиара. </w:t>
      </w:r>
    </w:p>
    <w:p>
      <w:pPr>
        <w:pStyle w:val="Normal"/>
        <w:spacing w:lineRule="auto" w:line="240" w:before="0" w:after="0"/>
        <w:jc w:val="both"/>
        <w:rPr>
          <w:rFonts w:ascii="Times New Roman" w:hAnsi="Times New Roman"/>
        </w:rPr>
      </w:pPr>
      <w:r>
        <w:rPr>
          <w:rFonts w:ascii="Times New Roman" w:hAnsi="Times New Roman"/>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СРОК ДЕЙСТВИЯ ЛИЦЕНЗИИ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Срок действия Лицензии: с 01 ноября 2026 г. по 31 октября 2027 г.</w:t>
      </w:r>
    </w:p>
    <w:p>
      <w:pPr>
        <w:pStyle w:val="ListParagraph"/>
        <w:tabs>
          <w:tab w:val="clear" w:pos="709"/>
          <w:tab w:val="left" w:pos="426" w:leader="none"/>
        </w:tabs>
        <w:spacing w:lineRule="auto" w:line="240" w:before="0" w:after="0"/>
        <w:ind w:left="0" w:hanging="0"/>
        <w:contextualSpacing/>
        <w:jc w:val="both"/>
        <w:rPr>
          <w:rFonts w:ascii="Times New Roman" w:hAnsi="Times New Roman"/>
          <w:b/>
        </w:rPr>
      </w:pPr>
      <w:r>
        <w:rPr>
          <w:rFonts w:ascii="Times New Roman" w:hAnsi="Times New Roman"/>
          <w:b/>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ПРАВА И ОБЯЗАННОСТИ СТОРОН</w:t>
      </w:r>
    </w:p>
    <w:p>
      <w:pPr>
        <w:pStyle w:val="ListParagraph"/>
        <w:numPr>
          <w:ilvl w:val="1"/>
          <w:numId w:val="3"/>
        </w:numPr>
        <w:spacing w:lineRule="auto" w:line="240" w:before="0" w:after="0"/>
        <w:ind w:left="426" w:hanging="420"/>
        <w:contextualSpacing/>
        <w:jc w:val="both"/>
        <w:rPr>
          <w:rFonts w:ascii="Times New Roman" w:hAnsi="Times New Roman"/>
          <w:b/>
        </w:rPr>
      </w:pPr>
      <w:r>
        <w:rPr>
          <w:rFonts w:ascii="Times New Roman" w:hAnsi="Times New Roman"/>
          <w:b/>
        </w:rPr>
        <w:t xml:space="preserve">Лицензиар обязуется: </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Продлить Лицензиату Лицензию в порядке, сроки и на условиях, установленных настоящим Контрактом.</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Предоставить учетные данные (логин и пароль) для доступа к Системе Пользователю Лицензиата в соответствии с предоставленной Пользователем заявкой по установленной Лицензиаром форме.</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Предоставить Лицензиату Акт;</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Обеспечить лицензионное сопровождение Системы в объеме передаваемых Лицензией прав (Приложение №1).</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Предоставить Лицензиату круглосуточный доступ к Системе, за исключением времени проведения плановых, внеплановых и профилактических регламентных работ.</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 xml:space="preserve">Обеспечить исполнение Соглашения об уровне предоставления услуги (Service Level Agreement, SLA), доступного по постоянному адресу публикации в сети Интернет: </w:t>
      </w:r>
      <w:hyperlink r:id="rId3">
        <w:r>
          <w:rPr>
            <w:rStyle w:val="-"/>
            <w:rFonts w:ascii="Times New Roman" w:hAnsi="Times New Roman"/>
          </w:rPr>
          <w:t>https://efinatek.ru/</w:t>
        </w:r>
        <w:r>
          <w:rPr>
            <w:rStyle w:val="-"/>
            <w:rFonts w:ascii="Times New Roman" w:hAnsi="Times New Roman"/>
            <w:lang w:val="en-US"/>
          </w:rPr>
          <w:t>doc</w:t>
        </w:r>
        <w:r>
          <w:rPr>
            <w:rStyle w:val="-"/>
            <w:rFonts w:ascii="Times New Roman" w:hAnsi="Times New Roman"/>
          </w:rPr>
          <w:t>/</w:t>
        </w:r>
      </w:hyperlink>
      <w:r>
        <w:rPr>
          <w:rFonts w:ascii="Times New Roman" w:hAnsi="Times New Roman"/>
        </w:rPr>
        <w:t xml:space="preserve">. </w:t>
      </w:r>
    </w:p>
    <w:p>
      <w:pPr>
        <w:pStyle w:val="ListParagraph"/>
        <w:numPr>
          <w:ilvl w:val="1"/>
          <w:numId w:val="3"/>
        </w:numPr>
        <w:spacing w:lineRule="auto" w:line="240" w:before="0" w:after="0"/>
        <w:ind w:left="426" w:hanging="420"/>
        <w:contextualSpacing/>
        <w:jc w:val="both"/>
        <w:rPr>
          <w:rFonts w:ascii="Times New Roman" w:hAnsi="Times New Roman"/>
          <w:b/>
        </w:rPr>
      </w:pPr>
      <w:r>
        <w:rPr>
          <w:rFonts w:ascii="Times New Roman" w:hAnsi="Times New Roman"/>
          <w:b/>
        </w:rPr>
        <w:t>Лицензиат обязуется:</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Использовать Систему следующими способами:</w:t>
      </w:r>
    </w:p>
    <w:p>
      <w:pPr>
        <w:pStyle w:val="ListParagraph"/>
        <w:numPr>
          <w:ilvl w:val="0"/>
          <w:numId w:val="4"/>
        </w:numPr>
        <w:tabs>
          <w:tab w:val="clear" w:pos="709"/>
          <w:tab w:val="left" w:pos="851" w:leader="none"/>
        </w:tabs>
        <w:spacing w:lineRule="auto" w:line="240" w:before="0" w:after="0"/>
        <w:ind w:left="851" w:hanging="425"/>
        <w:contextualSpacing/>
        <w:jc w:val="both"/>
        <w:rPr>
          <w:rFonts w:ascii="Times New Roman" w:hAnsi="Times New Roman"/>
        </w:rPr>
      </w:pPr>
      <w:r>
        <w:rPr>
          <w:rFonts w:ascii="Times New Roman" w:hAnsi="Times New Roman"/>
        </w:rPr>
        <w:t>применять по прямому функциональному назначению в зависимости от спецификации (приложение № 1 к Контракту).</w:t>
      </w:r>
    </w:p>
    <w:p>
      <w:pPr>
        <w:pStyle w:val="ListParagraph"/>
        <w:numPr>
          <w:ilvl w:val="0"/>
          <w:numId w:val="4"/>
        </w:numPr>
        <w:tabs>
          <w:tab w:val="clear" w:pos="709"/>
          <w:tab w:val="left" w:pos="851" w:leader="none"/>
        </w:tabs>
        <w:spacing w:lineRule="auto" w:line="240" w:before="0" w:after="0"/>
        <w:ind w:left="851" w:hanging="425"/>
        <w:contextualSpacing/>
        <w:jc w:val="both"/>
        <w:rPr>
          <w:rFonts w:ascii="Times New Roman" w:hAnsi="Times New Roman"/>
        </w:rPr>
      </w:pPr>
      <w:r>
        <w:rPr>
          <w:rFonts w:ascii="Times New Roman" w:hAnsi="Times New Roman"/>
        </w:rPr>
        <w:t>использовать определенный Лицензиаром состав функций путем ввода и коррекции данных в интерфейсных формах Лицензиата, формирования внутрипрограммного объема числовых и текстовых данных, а также пользовательских шаблонов и настроек;</w:t>
      </w:r>
    </w:p>
    <w:p>
      <w:pPr>
        <w:pStyle w:val="ListParagraph"/>
        <w:numPr>
          <w:ilvl w:val="0"/>
          <w:numId w:val="4"/>
        </w:numPr>
        <w:tabs>
          <w:tab w:val="clear" w:pos="709"/>
          <w:tab w:val="left" w:pos="851" w:leader="none"/>
        </w:tabs>
        <w:spacing w:lineRule="auto" w:line="240" w:before="0" w:after="0"/>
        <w:ind w:left="851" w:hanging="425"/>
        <w:contextualSpacing/>
        <w:jc w:val="both"/>
        <w:rPr>
          <w:rFonts w:ascii="Times New Roman" w:hAnsi="Times New Roman"/>
        </w:rPr>
      </w:pPr>
      <w:r>
        <w:rPr>
          <w:rFonts w:ascii="Times New Roman" w:hAnsi="Times New Roman"/>
        </w:rPr>
        <w:t xml:space="preserve">использовать Систему с персонального компьютера (клиентской рабочей станции), подключенного к Интернету и соответствующего требованиям, установленным Пользовательским соглашением, опубликованным в сети Интернет: </w:t>
      </w:r>
      <w:hyperlink r:id="rId4">
        <w:r>
          <w:rPr>
            <w:rStyle w:val="-"/>
            <w:rFonts w:ascii="Times New Roman" w:hAnsi="Times New Roman"/>
          </w:rPr>
          <w:t>https://efinatek.ru/</w:t>
        </w:r>
        <w:r>
          <w:rPr>
            <w:rStyle w:val="-"/>
            <w:rFonts w:ascii="Times New Roman" w:hAnsi="Times New Roman"/>
            <w:lang w:val="en-US"/>
          </w:rPr>
          <w:t>doc</w:t>
        </w:r>
        <w:r>
          <w:rPr>
            <w:rStyle w:val="-"/>
            <w:rFonts w:ascii="Times New Roman" w:hAnsi="Times New Roman"/>
          </w:rPr>
          <w:t>/</w:t>
        </w:r>
      </w:hyperlink>
      <w:r>
        <w:rPr>
          <w:rFonts w:ascii="Times New Roman" w:hAnsi="Times New Roman"/>
        </w:rPr>
        <w:t>;</w:t>
      </w:r>
    </w:p>
    <w:p>
      <w:pPr>
        <w:pStyle w:val="ListParagraph"/>
        <w:numPr>
          <w:ilvl w:val="0"/>
          <w:numId w:val="4"/>
        </w:numPr>
        <w:tabs>
          <w:tab w:val="clear" w:pos="709"/>
          <w:tab w:val="left" w:pos="851" w:leader="none"/>
        </w:tabs>
        <w:spacing w:lineRule="auto" w:line="240" w:before="0" w:after="0"/>
        <w:ind w:left="851" w:hanging="425"/>
        <w:contextualSpacing/>
        <w:jc w:val="both"/>
        <w:rPr>
          <w:rFonts w:ascii="Times New Roman" w:hAnsi="Times New Roman"/>
        </w:rPr>
      </w:pPr>
      <w:r>
        <w:rPr>
          <w:rFonts w:ascii="Times New Roman" w:hAnsi="Times New Roman"/>
        </w:rPr>
        <w:t>размещать в любом участке Системы информацию, электронные файлы и документы, не запрещенные законодательством Российской Федерации.</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 xml:space="preserve">Выплатить вознаграждение Лицензиару в соответствии с п.2 Контракта. </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Подписать и предоставить Лицензиару Акт;</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 xml:space="preserve">Не передавать учетные данные для доступа к Системе (логин и пароль) третьим лицам без письменного согласия Лицензиара. </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bookmarkStart w:id="35" w:name="_Hlk23511181"/>
      <w:r>
        <w:rPr>
          <w:rFonts w:ascii="Times New Roman" w:hAnsi="Times New Roman"/>
        </w:rPr>
        <w:t xml:space="preserve"> </w:t>
      </w:r>
      <w:r>
        <w:rPr>
          <w:rFonts w:ascii="Times New Roman" w:hAnsi="Times New Roman"/>
        </w:rPr>
        <w:t>При утере учетных данных или подозрении о том, что учетные данные могли стать известными третьим лицам, незамедлительно сообщить об этом факте Лицензиару для изменения учетных данных.</w:t>
      </w:r>
      <w:bookmarkEnd w:id="35"/>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 xml:space="preserve">Соблюдать Пользовательское соглашение, находящееся по постоянному адресу в сети Интернет </w:t>
      </w:r>
      <w:hyperlink r:id="rId5">
        <w:r>
          <w:rPr>
            <w:rStyle w:val="-"/>
            <w:rFonts w:ascii="Times New Roman" w:hAnsi="Times New Roman"/>
          </w:rPr>
          <w:t>https://efinatek.ru/</w:t>
        </w:r>
        <w:r>
          <w:rPr>
            <w:rStyle w:val="-"/>
            <w:rFonts w:ascii="Times New Roman" w:hAnsi="Times New Roman"/>
            <w:lang w:val="en-US"/>
          </w:rPr>
          <w:t>doc</w:t>
        </w:r>
        <w:r>
          <w:rPr>
            <w:rStyle w:val="-"/>
            <w:rFonts w:ascii="Times New Roman" w:hAnsi="Times New Roman"/>
          </w:rPr>
          <w:t>/</w:t>
        </w:r>
      </w:hyperlink>
      <w:r>
        <w:rPr>
          <w:rFonts w:ascii="Times New Roman" w:hAnsi="Times New Roman"/>
        </w:rPr>
        <w:t>.</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Лицензиат не вправе изменять фирменное наименование Системы, изменять и/или удалять обозначение авторских прав (copyright)</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За исключением использования в объемах и способами, прямо предусмотренными настоящим Контрактом или законодательством РФ, действующим на момент предоставления лицензии, Лицензиат не имеет права изменять, декомпилировать, дизассемблировать, дешифровать и производить иные действия с объектным кодом Системы, имеющие целью получение информации о реализации алгоритмов, используемых в Системе, создавать производные программные продукты с использованием Системы, а также осуществлять (разрешать осуществлять) иное использование Системы и/или ее компонентов.</w:t>
      </w:r>
    </w:p>
    <w:p>
      <w:pPr>
        <w:pStyle w:val="ListParagraph"/>
        <w:numPr>
          <w:ilvl w:val="1"/>
          <w:numId w:val="3"/>
        </w:numPr>
        <w:spacing w:lineRule="auto" w:line="240" w:before="0" w:after="0"/>
        <w:ind w:left="426" w:hanging="420"/>
        <w:contextualSpacing/>
        <w:jc w:val="both"/>
        <w:rPr>
          <w:rFonts w:ascii="Times New Roman" w:hAnsi="Times New Roman"/>
          <w:b/>
        </w:rPr>
      </w:pPr>
      <w:r>
        <w:rPr>
          <w:rFonts w:ascii="Times New Roman" w:hAnsi="Times New Roman"/>
          <w:b/>
        </w:rPr>
        <w:t>Лицензиату запрещено:</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Осуществлять незаконные сбор и обработку персональных данных.</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Получать доступ к каким-либо прикладным решениям Системы иным способом, кроме как через интерфейс, предоставленный Лицензиаром, за исключением случаев, когда такие действия были прямо разрешены Лицензиату в соответствии с отдельным решением Лицензиара.</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Размещать коммерческую и политическую рекламу в общесистемных модулях Системы.</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Размещать в общесистемных модулях Системы любую иную информацию, которая, по мнению Лицензиара, является нежелательной, ущемляет интересы Пользователей, третьих лиц или по другим причинам является нежелательной для размещения в Системе.</w:t>
      </w:r>
    </w:p>
    <w:p>
      <w:pPr>
        <w:pStyle w:val="ListParagraph"/>
        <w:numPr>
          <w:ilvl w:val="1"/>
          <w:numId w:val="3"/>
        </w:numPr>
        <w:spacing w:lineRule="auto" w:line="240" w:before="0" w:after="0"/>
        <w:ind w:left="426" w:hanging="420"/>
        <w:contextualSpacing/>
        <w:jc w:val="both"/>
        <w:rPr>
          <w:rFonts w:ascii="Times New Roman" w:hAnsi="Times New Roman"/>
          <w:b/>
        </w:rPr>
      </w:pPr>
      <w:r>
        <w:rPr>
          <w:rFonts w:ascii="Times New Roman" w:hAnsi="Times New Roman"/>
          <w:b/>
        </w:rPr>
        <w:t>Лицензиат вправе:</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Использовать Систему в порядке и на условиях, установленных настоящим Контрактом.</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Для проверки предоставленной Лицензиатом лицензии, предусмотренной Контрактом, в части ее соответствия условиям Контракта, Лицензиат обязан провести экспертизу. Экспертиза лицензии, предусмотренной контрактом, может проводиться Лицензиатом своими силами или к ее проведению могут привлекаться эксперты, экспертные организации. Экспертиза лицензии, предусмотренной Контрактом, в части соответствия условиям Контракта, производится Лицензиатом.</w:t>
      </w:r>
    </w:p>
    <w:p>
      <w:pPr>
        <w:pStyle w:val="Normal"/>
        <w:spacing w:lineRule="auto" w:line="240" w:before="0" w:after="0"/>
        <w:jc w:val="both"/>
        <w:rPr>
          <w:rFonts w:ascii="Times New Roman" w:hAnsi="Times New Roman"/>
        </w:rPr>
      </w:pPr>
      <w:r>
        <w:rPr>
          <w:rFonts w:ascii="Times New Roman" w:hAnsi="Times New Roman"/>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ПОРЯДОК ПРИЕМА-ПЕРЕДАЧИ ЛИЦЕНЗИИ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Лицензиар в течение 5 дней с момента подписания Контракта передает Лицензиату Лицензию.</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Приемка Лицензиатом Лицензии оформляется Актом, предоставленным Лицензиаром Лицензиату в двух экземплярах, скрепленных подписью и печатью Лицензиара, в течение 5 рабочих дней с момента передачи (активации) Лицензии.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Стороны соглашаются с тем, что активация лицензии Лицензиата осуществляется Лицензиаром с помощью аппаратно-технических и программных средств, на основании чего отсутствие у любой из Сторон Акта приема-передачи лицензии не является доказательством отсутствия факта передачи Лицензии. Отказ Лицензиата в получении и/или подписании Акта не является признаком непредоставления Лицензии со стороны Лицензиара. Фактом предоставления лицензии Стороны считают активацию лицензии аппаратно-техническими и программными средствами Лицензиара с одновременным направлением Лицензиату электронного уведомления об активации лицензии на адрес электронной почты, указанный Лицензиатом в заявке на получение учетных данных.</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xml:space="preserve">Лицензиат в течение трех календарных дней со дня получения Акта обязан направить Лицензиару один экземпляр подписанного Лицензиатом Акта или мотивированный отказ.  </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Лицензиар в течение двух дней после получения мотивированного отказа подписания Акта, без дополнительной оплаты, обязан исправить нарушения, указанные Лицензиатом.</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После исправления нарушений в течение указанного срока Лицензиаром Лицензиат подписывает Акт.</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При невыполнении Лицензиатом пп.5.4, 5.6 Контракта, Лицензиар вправе составить односторонний Акт и принять его к бухгалтерскому и налоговому учету.</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Лицензиат, обнаруживший после приемки Лицензий отступления от условий настоящего Контракта или иные недостатки, которые не могли быть установлены при обычном способе приемки (скрытые недостатки), обязан известить об этом Лицензиара в течение двух дней со дня их обнаружения. Лицензиар обязан устранить эти недостатки в течение двух дней со дня извещения за свой счет.</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ГАРАНТИЙНЫЕ ОБЯЗАТЕЛЬСТВА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Лицензиар гарантирует работоспособность Системы на период срока действия лицензии в соответствии с объявленными характеристиками при условии ее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Системы.</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Лицензиар гарантирует, что он является надлежащим правообладателем Системы. Лицензиар также гарантирует, что в Системе не используются никакие элементы, нарушающие права третьих лиц. В случае если указанные гарантии будут нарушены, Лицензиар обязуется принять меры, которые обеспечат Лицензиату беспрепятственное использование передаваемых по настоящему Контракту прав, а в случае невозможности обеспечить беспрепятственное использование передаваемых прав возместить Лицензиату понесенные убытки, которые могут возникнуть и Лицензиата в связи с таким нарушением гарантий.</w:t>
      </w:r>
    </w:p>
    <w:p>
      <w:pPr>
        <w:pStyle w:val="Normal"/>
        <w:tabs>
          <w:tab w:val="clear" w:pos="709"/>
          <w:tab w:val="left" w:pos="426" w:leader="none"/>
        </w:tabs>
        <w:spacing w:lineRule="auto" w:line="240" w:before="0" w:after="60"/>
        <w:jc w:val="both"/>
        <w:rPr>
          <w:rFonts w:ascii="Times New Roman" w:hAnsi="Times New Roman"/>
        </w:rPr>
      </w:pPr>
      <w:r>
        <w:rPr>
          <w:rFonts w:ascii="Times New Roman" w:hAnsi="Times New Roman"/>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ОТВЕТСТВЕННОСТЬ СТОРОН</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За неисполнение или ненадлежащее исполнение обязательств по настоящему Лицензионному Контракту Лицензиат и Лицензиар несут ответственность в соответствии с действующим законодательством России.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За неисполнение или ненадлежащее исполнение обязательств по настоящему Контракту Сторонами уплачивается неустойка (штраф, пени).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Размер штрафа устанавливается Контрактом в порядке, установленном постановлением Правительства Российской Федерации от 30.08.2017 № 1042, в виде фиксированной суммы, в том числе рассчитываемой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за исключением случаев, если законодательством Российской Федерации установлен иной порядок начисления штрафов.</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За каждый факт неисполнения или ненадлежащего исполнения Лицензиаром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(за исключением случаев, предусмотренных пунктами 7.3. – 7.6. Контракта):</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а) 10 процентов цены Контракта (этапа) в случае, если цена Контракта (этапа) не превышает 3 млн. рублей;</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б) 5 процентов цены Контракта (этапа) в случае, если цена Контракта (этапа) составляет от 3 млн. рублей до 50 млн. рублей (включительно).</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За каждый факт неисполнения или ненадлежащего исполнения Лицензиаром обязательств, предусмотренных Контрактом, заключенным по результатам определения поставщика (подрядчика, исполнителя) в соответствии с пунктом 1 части 1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а) 3 процента цены Контракта (этапа) в случае, если цена Контракта (этапа) не превышает 3 млн. рублей;</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б) 2 процента цены Контракта (этапа) в случае, если цена Контракта (этапа) составляет от 3 млн. рублей до 10 млн. рублей (включительно);</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За каждый факт неисполнения или ненадлежащего исполнения Лицензиаром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Российской Федерации от 30.08.2017 № 1042, за исключением просрочки исполнения обязательств (в том числе гарантийного обязательства), предусмотренных Контрактом, и устанавливается в виде фиксированной суммы, определяемой в следующем порядке:</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а) 10 процентов начальной (максимальной) цены Контракта в случае, если начальная (максимальная) цена Контракта не превышает 3 млн. рублей;</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б) 5 процентов начальной (максимальной) цены Контракта в случае, если начальная (максимальная) цена Контракта составляет от 3 млн. рублей до 50 млн. рублей (включительно);</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За каждый факт неисполнения или ненадлежащего исполнения Лицензиаром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виде фиксированной суммы, определяемой в следующем порядке:</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а) 1000 рублей, если цена Контракта не превышает 3 млн. рублей;</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б) 5000 рублей, если цена Контракта составляет от 3 млн. рублей до 50 млн. рублей (включительно)</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В случае если в соответствии с частью 6 статьи 30 Федерального закона от 05.04.2013 № 44-ФЗ «О контрактной системе в сфере закупок товаров, работ, услуг для обеспечения государственных и муниципальных нужд» Контрактом предусмотрено условие о гражданско-правовой ответственности Лицензиара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За каждый факт неисполнения Лицензиатом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а) 1000 рублей, если цена Контракта не превышает 3 млн. рублей (включительно);</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б) 5000 рублей, если цена Контракта составляет от 3 млн. рублей до 50 млн. рублей (включительно);</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Пеня начисляется за каждый день просрочки исполнения Лицензиаром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Лицензиаром.</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Пеня начисляется за каждый день просрочки исполнения Лицензиаром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Лицензиаром, за исключением случаев, если законодательством Российской Федерации установлен иной порядок начисления пени.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Общая сумма начисленной неустойки (штрафов, пени) за неисполнение или ненадлежащее исполнение Лицензиаром обязательств, предусмотренных Контрактом, не может превышать цену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Общая сумма начисленной неустойки (штрафов, пени) за ненадлежащее исполнение Лицензиатом обязательств, предусмотренных Контрактом, не может превышать цену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xml:space="preserve">В случае если Лицензиат понес убытки вследствие ненадлежащего исполнения Лицензиаром своих обязательств по настоящему Контракту, Лицензиар обязан возместить такие убытки Лицензиату независимо от уплаты неустойки. </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В случае неисполнения или ненадлежащего исполнения Лицензиаром обязательства (в том числе просрочки исполнения обязательства Лицензиаром), предусмотренного настоящим контрактом, Лицензиат вправе произвести оплату по контракту за вычетом соответствующего размера неустойки (штраф, пени).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xml:space="preserve">ПО в составе Системы предоставляется на условиях «как есть» («as is»). Оплата лицензии означает, что имеющиеся состав функций и особенности работы соответствуют задачам Лицензиата, а Лицензиар произвел все необходимые настройки, связанные с отраслевой спецификой деятельности Лицензиата. </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Не предоставляется никаких гарантий в отношении безошибочной и бесперебойной работы ПО и/или Системы, соответствия ПО и/или Системы конкретным целям Лицензиата, о которых Лицензиар не был уведомлен должным образом до момента оплаты, а также не предоставляется никаких иных гарантий, прямо не указанных в настоящем Контракте.</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Лицензиат принимает на себя всю персональную ответственность за какие-либо прямые или косвенные последствия использования или невозможности использования ПО и/или Системы и/или ущерб, причиненный Лицензиату и/или третьим сторонам в результате какого-либо использования или неиспользования ПО и/или Системы, в том числе из-за возможных ошибок или сбоев в работе ПО и/или Системы.</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В случае претензий Лицензиата к качеству, составу функций и/или алгоритмам работы ПО и/или Системы не производится никаких компенсаций в сторону Лицензиата, а также не наступает ответственности за какие-либо убытки Лицензиата, возникшие вследствие использования или невозможности использования ПО и/или Системы. Лицензиар оставляет за собой исключительное право квалифицировать особенность работы ПО и/или Системы по своему усмотрению, а также произвести следующие работы в сроки по своему усмотрению:</w:t>
      </w:r>
    </w:p>
    <w:p>
      <w:pPr>
        <w:pStyle w:val="ListParagraph"/>
        <w:numPr>
          <w:ilvl w:val="0"/>
          <w:numId w:val="4"/>
        </w:numPr>
        <w:tabs>
          <w:tab w:val="clear" w:pos="709"/>
          <w:tab w:val="left" w:pos="851" w:leader="none"/>
        </w:tabs>
        <w:spacing w:lineRule="auto" w:line="240" w:before="0" w:after="0"/>
        <w:ind w:left="851" w:hanging="425"/>
        <w:contextualSpacing/>
        <w:jc w:val="both"/>
        <w:rPr>
          <w:rFonts w:ascii="Times New Roman" w:hAnsi="Times New Roman"/>
        </w:rPr>
      </w:pPr>
      <w:r>
        <w:rPr>
          <w:rFonts w:ascii="Times New Roman" w:hAnsi="Times New Roman"/>
        </w:rPr>
        <w:t xml:space="preserve">скорректировать особенность работы ПО и/или Системы, сочтя обращение Лицензиата гарантийным случаем в соответствии с Соглашением об уровне предоставления услуги (Service Level Agreement, SLA), доступного по постоянному адресу публикации в сети Интернет: </w:t>
      </w:r>
      <w:r>
        <w:rPr>
          <w:rFonts w:ascii="Times New Roman" w:hAnsi="Times New Roman"/>
          <w:shd w:fill="FFFF00" w:val="clear"/>
        </w:rPr>
        <w:t>____________</w:t>
      </w:r>
      <w:r>
        <w:rPr>
          <w:rFonts w:ascii="Times New Roman" w:hAnsi="Times New Roman"/>
          <w:shd w:fill="FFFF00" w:val="clear"/>
        </w:rPr>
        <w:t>;</w:t>
      </w:r>
    </w:p>
    <w:p>
      <w:pPr>
        <w:pStyle w:val="ListParagraph"/>
        <w:numPr>
          <w:ilvl w:val="0"/>
          <w:numId w:val="4"/>
        </w:numPr>
        <w:tabs>
          <w:tab w:val="clear" w:pos="709"/>
          <w:tab w:val="left" w:pos="851" w:leader="none"/>
        </w:tabs>
        <w:spacing w:lineRule="auto" w:line="240" w:before="0" w:after="0"/>
        <w:ind w:left="851" w:hanging="425"/>
        <w:contextualSpacing/>
        <w:jc w:val="both"/>
        <w:rPr>
          <w:rFonts w:ascii="Times New Roman" w:hAnsi="Times New Roman"/>
        </w:rPr>
      </w:pPr>
      <w:r>
        <w:rPr>
          <w:rFonts w:ascii="Times New Roman" w:hAnsi="Times New Roman"/>
        </w:rPr>
        <w:t>признать особенность работы ПО и/или Системы, как не подлежащую изменениям по техническим причинам;</w:t>
      </w:r>
    </w:p>
    <w:p>
      <w:pPr>
        <w:pStyle w:val="ListParagraph"/>
        <w:numPr>
          <w:ilvl w:val="0"/>
          <w:numId w:val="4"/>
        </w:numPr>
        <w:tabs>
          <w:tab w:val="clear" w:pos="709"/>
          <w:tab w:val="left" w:pos="851" w:leader="none"/>
        </w:tabs>
        <w:spacing w:lineRule="auto" w:line="240" w:before="0" w:after="0"/>
        <w:ind w:left="851" w:hanging="425"/>
        <w:contextualSpacing/>
        <w:jc w:val="both"/>
        <w:rPr>
          <w:rFonts w:ascii="Times New Roman" w:hAnsi="Times New Roman"/>
        </w:rPr>
      </w:pPr>
      <w:r>
        <w:rPr>
          <w:rFonts w:ascii="Times New Roman" w:hAnsi="Times New Roman"/>
        </w:rPr>
        <w:t>признать особенность работы ПО и/или Системы, как не требующую изменений.</w:t>
      </w:r>
    </w:p>
    <w:p>
      <w:pPr>
        <w:pStyle w:val="Normal"/>
        <w:spacing w:lineRule="auto" w:line="240" w:before="0" w:after="0"/>
        <w:ind w:left="6" w:hanging="0"/>
        <w:jc w:val="both"/>
        <w:rPr>
          <w:rFonts w:ascii="Times New Roman" w:hAnsi="Times New Roman"/>
        </w:rPr>
      </w:pPr>
      <w:r>
        <w:rPr>
          <w:rFonts w:ascii="Times New Roman" w:hAnsi="Times New Roman"/>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ОБСТОЯТЕЛЬСТВА НЕПРЕОДОЛИМОЙ СИЛЫ</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настоящего Контракта. При этом сроки выполнения обязательств по настоящему Контракту отодвигаются соразмерно сроку, в течение которого действовали такие обстоятельства и их последствия.</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Сторона, для которой создалась невозможность выполнения обязательств по настоящему Контракту, обязана немедленно (в течение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Обязанность доказать наличие обстоятельств непреодолимой силы лежит на Стороне Контракта, не выполнившей свои обязательства по Контракту.</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Если обстоятельства и их последствия будут длиться более 1 (одного) месяца и Лицензиат утратит интерес к Контракту, Контракт расторгается в порядке, предусмотренном настоящим Контрактом (раздел 9). В этом случае Лицензиар не имеет права потребовать от Лицензиата возмещения убытков и исполнения обязательств по Контракту.</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РАСТОРЖЕНИЕ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законодательством Российской Федерации.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xml:space="preserve">Лицензиат вправе в одностороннем порядке отказаться от исполнения Контракта в следующих случаях:     </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Нарушение Лицензиаром сроков предоставления лицензии более чем на 10 (десять) рабочих дней;</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Предоставления Лицензиаром лицензии с существенными нарушениями действующих норм и правил;</w:t>
      </w:r>
    </w:p>
    <w:p>
      <w:pPr>
        <w:pStyle w:val="ListParagraph"/>
        <w:numPr>
          <w:ilvl w:val="2"/>
          <w:numId w:val="3"/>
        </w:numPr>
        <w:tabs>
          <w:tab w:val="clear" w:pos="709"/>
          <w:tab w:val="left" w:pos="1134" w:leader="none"/>
        </w:tabs>
        <w:spacing w:lineRule="auto" w:line="240" w:before="0" w:after="0"/>
        <w:ind w:left="426" w:hanging="0"/>
        <w:contextualSpacing/>
        <w:jc w:val="both"/>
        <w:rPr>
          <w:rFonts w:ascii="Times New Roman" w:hAnsi="Times New Roman"/>
        </w:rPr>
      </w:pPr>
      <w:r>
        <w:rPr>
          <w:rFonts w:ascii="Times New Roman" w:hAnsi="Times New Roman"/>
        </w:rPr>
        <w:t>Невыполнения Лицензиаром в согласованный Сторонами срок (в том числе ненадлежащего выполнения) более двух раз либо отказа Лицензиара от выполнения распоряжений Лицензиата или Уполномоченного лица Лицензиата об устранении недостатков.</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Лицензиат обязан принять решение об одностороннем отказе от исполнения Контракта, если в ходе исполнения Контракта установлено, что Лицензиар не соответствует установленным извещением,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Лицензиара;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Информация о Лицензиаре, с которым Контракт был расторгнут в связи с односторонним отказом Лицензиата от исполнения Контракта, включается в установленном порядке в реестр недобросовестных поставщиков.</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Лицензиат вправе провести экспертизу лицензии с привлечением экспертов, экспертных организаций до принятия решения об одностороннем отказе от исполнения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Если Лицензиатом проведена экспертиза лицензии с привлечением экспертов, экспертных организаций, решение об одностороннем отказе от исполнения Контракта может быть принято Лицензиатом только при условии, что по результатам экспертизы лицензии в заключении эксперта, экспертной организации будут подтверждены нарушения условий Контракта, послужившие основанием для одностороннего отказа Лицензиатом от исполнения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Решение Лицензиата об одностороннем отказе от исполнения Контракта не позднее чем в течение 3 (трех) рабочих дней с даты принятия указанного решения, размещается в единой информационной системе и направляется Лицензиару по почте заказным письмом с уведомлением о вручении по адресу Лицензиара,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Лицензиатом подтверждения о его вручении Лицензиару. Выполнение Лицензиатом требований настоящего пункта считается надлежащим уведомлением Лицензиара об одностороннем отказе от исполнения Контракта. Датой такого надлежащего уведомления признается дата получения Лицензиатом подтверждения о вручении Лицензиару указанного уведомления либо дата получения Лицензиатом информации об отсутствии Лицензиара по его адресу, указанному в Контракте. При невозможности получения, указанных подтверждения либо информации датой такого надлежащего уведомления, признается дата по истечении 30 (тридцати) дней с даты размещения решения Лицензиата об одностороннем отказе от исполнения Контракта в единой информационной системе.</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Решение Лицензиата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Лицензиатом Лицензиара об одностороннем отказе от исполнения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Лицензиат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Лицензиара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Лицензиату компенсированы затраты на проведение экспертизы. Данное правило не применяется в случае повторного нарушения Лицензиаром условий Контракта, которые в соответствии с гражданским законодательством являются основанием для одностороннего отказа Лицензиата от исполнения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Лицензиар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Лицензиата принять решение об одностороннем отказе от исполнения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Решение Лицензиара об одностороннем отказе от исполнения Контракта не позднее чем в течение 3 (трех) рабочих дней с даты принятия такого решения, направляется Лицензиату по почте заказным письмом с уведомлением о вручении по адресу Лицензиата,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Лицензиаром подтверждения о его вручении Лицензиату. Выполнение Лицензиаром требований настоящего пункта считается надлежащим уведомлением Лицензиата об одностороннем отказе от исполнения Контракта. Датой такого надлежащего уведомления признается дата получения Лицензиаром подтверждения о вручении Лицензиату указанного уведомления.</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Решение Лицензиара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Лицензиаром Лицензиата об одностороннем отказе от исполнения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Лицензиар обязан отменить не вступившее в силу решение об одностороннем отказе от исполнения Контракта, если в течение 10 (десяти) дней с даты надлежащего уведомления Лицензиата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При досрочном расторжении Контракта Стороны производят взаиморасчеты за исполненные обязательства только в той части, в какой они фактически выполнены Лицензиаром и приняты в установленном порядке Лицензиатом на дату такого расторжения.</w:t>
      </w:r>
    </w:p>
    <w:p>
      <w:pPr>
        <w:pStyle w:val="Normal"/>
        <w:tabs>
          <w:tab w:val="clear" w:pos="709"/>
          <w:tab w:val="left" w:pos="426" w:leader="none"/>
        </w:tabs>
        <w:spacing w:lineRule="auto" w:line="240" w:before="0" w:after="60"/>
        <w:jc w:val="both"/>
        <w:rPr>
          <w:rFonts w:ascii="Times New Roman" w:hAnsi="Times New Roman"/>
        </w:rPr>
      </w:pPr>
      <w:r>
        <w:rPr>
          <w:rFonts w:ascii="Times New Roman" w:hAnsi="Times New Roman"/>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ПОРЯДОК РАЗРЕШЕНИЯ СПОРОВ</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xml:space="preserve">Лицензиат и Лицензиар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Контракта. </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Все претензии по настоящему Контракту с обеих Сторон оформляются в письменном виде (претензии) и направляются другой Стороне для рассмотрения в претензионном порядке посредством почтовой связи в виде заказных писем с уведомлениями либо вручаются лично в руки. Стороны определяют, что претензии по Контракту должны быть рассмотрены Сторонами в течение 30 (тридцати) дней с момента отправления претензии.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Любые споры, разногласия и требования, возникающие из Контракта, подлежат разрешению в Арбитражном суде г. Москвы.</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СРОК ДЕЙСТВИЯ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sz w:val="23"/>
          <w:szCs w:val="23"/>
        </w:rPr>
        <w:t>Контракт вступает в силу с момента заключения и действует до полного исполнения обязательств Сторонами, срок действия лицензии с 1 ноября 202</w:t>
      </w:r>
      <w:r>
        <w:rPr>
          <w:rFonts w:ascii="Times New Roman" w:hAnsi="Times New Roman"/>
          <w:sz w:val="23"/>
          <w:szCs w:val="23"/>
        </w:rPr>
        <w:t>6</w:t>
      </w:r>
      <w:r>
        <w:rPr>
          <w:rFonts w:ascii="Times New Roman" w:hAnsi="Times New Roman"/>
          <w:sz w:val="23"/>
          <w:szCs w:val="23"/>
        </w:rPr>
        <w:t xml:space="preserve"> года по 31 октября 202</w:t>
      </w:r>
      <w:r>
        <w:rPr>
          <w:rFonts w:ascii="Times New Roman" w:hAnsi="Times New Roman"/>
          <w:sz w:val="23"/>
          <w:szCs w:val="23"/>
        </w:rPr>
        <w:t>7</w:t>
      </w:r>
      <w:r>
        <w:rPr>
          <w:rFonts w:ascii="Times New Roman" w:hAnsi="Times New Roman"/>
          <w:sz w:val="23"/>
          <w:szCs w:val="23"/>
        </w:rPr>
        <w:t xml:space="preserve"> г., </w:t>
      </w:r>
      <w:r>
        <w:rPr>
          <w:rFonts w:eastAsia="Calibri" w:ascii="Times New Roman" w:hAnsi="Times New Roman"/>
          <w:sz w:val="23"/>
          <w:szCs w:val="23"/>
          <w:lang w:eastAsia="en-US"/>
        </w:rPr>
        <w:t>а в части расчетов до полного исполнения Сторонами своих обязательств.</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АНТИКОРРУПЦИОННАЯ ОГОВОРКА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основания предполагать, что произошло или может произойти нарушение каких-либо положений настоящего пункта Лицензиаром, его аффилированными лицами, работниками или посредниками,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действиях, нарушающих требования применимого законодательства Российской Федерации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ОБРАБОТКА ПЕРСОНАЛЬНЫХ ДАННЫХ</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Лицензиат соглашается с тем, что в соответствии с законодательством РФ по защите персональных данных (Федеральный закон от 27.07.2006 № 152-ФЗ «О персональных данных») оператором персональных данных является Лицензиат на основании того, что именно Лицензиат организует и/или осуществляет обработку персональных данных с помощью ПО и/или Системы, а также полностью и самостоятельно, без согласования с Лицензиаром, определяет цели обработки персональных данных, состав персональных данных, подлежащих обработке, действия (операции), совершаемые с персональными данными (п. 2 ст. 3 Федерального закона от 27.07.2006 № 152-ФЗ «О персональных данных»).</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Лицензиат (оператор персональных данных) обязан осуществлять обработку персональных данных в ПО и/или Системы с письменного согласия субъекта персональных данных на их обработку с помощью ПО и/или Системы с точным указанием цели обработки персональных данных, перечня персональных данных, ответственных за обработку лиц и/или организаций, перечня действий с персональными данными и срока их обработки, если иное не предусмотрено законодательством, на основании заключаемого с Лицензиаром Контракта (п. 3 ст. 6 и п. 4 ст. 9 Федерального закона от 27.07.2006 № 152-ФЗ «О персональных данных»).</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xml:space="preserve">В тех случаях, когда Лицензиар осуществляет обработку персональных данных по поручению Лицензиата (оператора персональных данных), Лицензиар не обязан получать согласие субъекта персональных данных на обработку его персональных данных (п.4 ст. 6 Федерального закона от 27.07.2006 № 152-ФЗ «О персональных данных»). </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При любой обработке персональных данных с помощью программных алгоритмов и средств автоматизации ПО и/или Системы Лицензиат (оператор персональных данных) несет полную ответственность перед субъектом персональных данных (п.5 ст. 6 Федерального закона от 27.07.2006 № 152-ФЗ «О персональных данных»).</w:t>
      </w:r>
    </w:p>
    <w:p>
      <w:pPr>
        <w:pStyle w:val="Normal"/>
        <w:spacing w:lineRule="auto" w:line="240" w:before="0" w:after="0"/>
        <w:jc w:val="both"/>
        <w:rPr>
          <w:rFonts w:ascii="Times New Roman" w:hAnsi="Times New Roman"/>
        </w:rPr>
      </w:pPr>
      <w:r>
        <w:rPr>
          <w:rFonts w:ascii="Times New Roman" w:hAnsi="Times New Roman"/>
        </w:rPr>
      </w:r>
    </w:p>
    <w:p>
      <w:pPr>
        <w:pStyle w:val="ListParagraph"/>
        <w:numPr>
          <w:ilvl w:val="0"/>
          <w:numId w:val="3"/>
        </w:numPr>
        <w:spacing w:lineRule="auto" w:line="240" w:before="0" w:after="0"/>
        <w:contextualSpacing/>
        <w:jc w:val="center"/>
        <w:rPr>
          <w:rFonts w:ascii="Times New Roman" w:hAnsi="Times New Roman"/>
          <w:b/>
        </w:rPr>
      </w:pPr>
      <w:r>
        <w:rPr>
          <w:rFonts w:ascii="Times New Roman" w:hAnsi="Times New Roman"/>
          <w:b/>
        </w:rPr>
        <w:t>ПРОЧИЕ УСЛОВИЯ</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Окончание срока действия Контракта не освобождает Стороны от ответственности за его нарушение.</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Контракте, или с использованием факсимильной связи, электронной почты с последующим предоставлением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7 (Семи) рабочих дней с даты такого изменения.</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Все указанные в Контракте приложения являются его неотъемлемой частью.</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14.5. Неотъемлемой частью настоящего Контракта являются:</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Приложение № 1 Спецификация</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Приложение № 2 Техническое задание</w:t>
      </w:r>
    </w:p>
    <w:p>
      <w:pPr>
        <w:pStyle w:val="ListParagraph"/>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 Приложение № 3 Расчет цены контракта</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Стороны обязаны письменно уведомить друг друга об изменении своих адреса и банковских реквизитов. При задержке уведомления по данному пункту любой из Сторон Контракт продолжает действовать, а документы, направленные до получения уведомления, считаются направленными надлежащим образом.</w:t>
      </w:r>
    </w:p>
    <w:p>
      <w:pPr>
        <w:pStyle w:val="ListParagraph"/>
        <w:numPr>
          <w:ilvl w:val="1"/>
          <w:numId w:val="3"/>
        </w:numPr>
        <w:tabs>
          <w:tab w:val="clear" w:pos="709"/>
          <w:tab w:val="left" w:pos="426" w:leader="none"/>
        </w:tabs>
        <w:spacing w:lineRule="auto" w:line="240" w:before="0" w:after="60"/>
        <w:ind w:left="0" w:hanging="0"/>
        <w:contextualSpacing/>
        <w:jc w:val="both"/>
        <w:rPr>
          <w:rFonts w:ascii="Times New Roman" w:hAnsi="Times New Roman"/>
        </w:rPr>
      </w:pPr>
      <w:r>
        <w:rPr>
          <w:rFonts w:ascii="Times New Roman" w:hAnsi="Times New Roman"/>
        </w:rPr>
        <w:t>Контракт составлен в двух экземплярах, имеющих одинаковую юридическую силу, по одному экземпляру для каждой из Сторон.</w:t>
      </w:r>
    </w:p>
    <w:p>
      <w:pPr>
        <w:pStyle w:val="Style27"/>
        <w:widowControl w:val="false"/>
        <w:spacing w:lineRule="auto" w:line="240" w:before="40" w:after="0"/>
        <w:ind w:left="283" w:firstLine="567"/>
        <w:jc w:val="both"/>
        <w:rPr>
          <w:rFonts w:ascii="Times New Roman" w:hAnsi="Times New Roman"/>
          <w:b/>
          <w:bCs/>
        </w:rPr>
      </w:pPr>
      <w:r>
        <w:rPr>
          <w:rFonts w:ascii="Times New Roman" w:hAnsi="Times New Roman"/>
          <w:b/>
          <w:bCs/>
        </w:rPr>
      </w:r>
    </w:p>
    <w:p>
      <w:pPr>
        <w:pStyle w:val="Style27"/>
        <w:widowControl w:val="false"/>
        <w:numPr>
          <w:ilvl w:val="0"/>
          <w:numId w:val="3"/>
        </w:numPr>
        <w:spacing w:lineRule="auto" w:line="240" w:before="40" w:after="0"/>
        <w:jc w:val="center"/>
        <w:rPr>
          <w:rFonts w:ascii="Times New Roman" w:hAnsi="Times New Roman"/>
          <w:b/>
          <w:bCs/>
        </w:rPr>
      </w:pPr>
      <w:r>
        <w:rPr>
          <w:rFonts w:ascii="Times New Roman" w:hAnsi="Times New Roman"/>
          <w:b/>
          <w:bCs/>
        </w:rPr>
        <w:t>ЮРИДИЧЕСКИЕ АДРЕСА И РЕКВИЗИТЫ СТОРОН</w:t>
      </w:r>
    </w:p>
    <w:p>
      <w:pPr>
        <w:pStyle w:val="Style27"/>
        <w:widowControl w:val="false"/>
        <w:spacing w:lineRule="auto" w:line="240" w:before="40" w:after="0"/>
        <w:ind w:left="360" w:hanging="0"/>
        <w:rPr>
          <w:rFonts w:ascii="Times New Roman" w:hAnsi="Times New Roman"/>
          <w:b/>
          <w:bCs/>
        </w:rPr>
      </w:pPr>
      <w:r>
        <w:rPr>
          <w:rFonts w:ascii="Times New Roman" w:hAnsi="Times New Roman"/>
          <w:b/>
          <w:bCs/>
        </w:rPr>
      </w:r>
    </w:p>
    <w:tbl>
      <w:tblPr>
        <w:tblStyle w:val="ab"/>
        <w:tblW w:w="10130" w:type="dxa"/>
        <w:jc w:val="left"/>
        <w:tblInd w:w="360" w:type="dxa"/>
        <w:tblLayout w:type="fixed"/>
        <w:tblCellMar>
          <w:top w:w="0" w:type="dxa"/>
          <w:left w:w="108" w:type="dxa"/>
          <w:bottom w:w="0" w:type="dxa"/>
          <w:right w:w="108" w:type="dxa"/>
        </w:tblCellMar>
        <w:tblLook w:firstRow="1" w:noVBand="1" w:lastRow="0" w:firstColumn="1" w:lastColumn="0" w:noHBand="0" w:val="04a0"/>
      </w:tblPr>
      <w:tblGrid>
        <w:gridCol w:w="4460"/>
        <w:gridCol w:w="5669"/>
      </w:tblGrid>
      <w:tr>
        <w:trPr/>
        <w:tc>
          <w:tcPr>
            <w:tcW w:w="4460" w:type="dxa"/>
            <w:tcBorders>
              <w:top w:val="nil"/>
              <w:left w:val="nil"/>
              <w:bottom w:val="nil"/>
              <w:right w:val="nil"/>
            </w:tcBorders>
          </w:tcPr>
          <w:p>
            <w:pPr>
              <w:pStyle w:val="Normal"/>
              <w:widowControl w:val="false"/>
              <w:snapToGrid w:val="false"/>
              <w:spacing w:lineRule="auto" w:line="240" w:before="0" w:after="0"/>
              <w:jc w:val="both"/>
              <w:rPr>
                <w:rFonts w:ascii="Times New Roman" w:hAnsi="Times New Roman"/>
                <w:b/>
                <w:bCs/>
              </w:rPr>
            </w:pPr>
            <w:r>
              <w:rPr>
                <w:rFonts w:eastAsia="Times New Roman" w:ascii="Times New Roman" w:hAnsi="Times New Roman"/>
                <w:b/>
                <w:bCs/>
                <w:kern w:val="0"/>
                <w:lang w:val="ru-RU" w:eastAsia="ru-RU" w:bidi="ar-SA"/>
              </w:rPr>
              <w:t>ЛИЦЕНЗИАР:</w:t>
            </w:r>
          </w:p>
          <w:p>
            <w:pPr>
              <w:pStyle w:val="Normal"/>
              <w:widowControl/>
              <w:spacing w:lineRule="auto" w:line="240" w:before="0" w:after="0"/>
              <w:contextualSpacing/>
              <w:jc w:val="both"/>
              <w:rPr>
                <w:rFonts w:ascii="Times New Roman" w:hAnsi="Times New Roman"/>
                <w:b/>
                <w:color w:val="000000"/>
              </w:rPr>
            </w:pPr>
            <w:r>
              <w:rPr>
                <w:rFonts w:eastAsia="Times New Roman" w:ascii="Times New Roman" w:hAnsi="Times New Roman"/>
                <w:b/>
                <w:color w:val="000000"/>
                <w:kern w:val="0"/>
                <w:lang w:val="ru-RU" w:eastAsia="ru-RU" w:bidi="ar-SA"/>
              </w:rPr>
            </w:r>
          </w:p>
          <w:p>
            <w:pPr>
              <w:pStyle w:val="Normal"/>
              <w:widowControl/>
              <w:spacing w:lineRule="auto" w:line="240" w:before="0" w:after="0"/>
              <w:contextualSpacing/>
              <w:jc w:val="both"/>
              <w:rPr>
                <w:rFonts w:ascii="Times New Roman" w:hAnsi="Times New Roman"/>
                <w:b/>
                <w:color w:val="000000"/>
              </w:rPr>
            </w:pPr>
            <w:r>
              <w:rPr>
                <w:rFonts w:eastAsia="Times New Roman"/>
                <w:kern w:val="0"/>
                <w:lang w:val="ru-RU" w:eastAsia="ru-RU" w:bidi="ar-SA"/>
              </w:rPr>
            </w:r>
          </w:p>
        </w:tc>
        <w:tc>
          <w:tcPr>
            <w:tcW w:w="5669" w:type="dxa"/>
            <w:tcBorders>
              <w:top w:val="nil"/>
              <w:left w:val="nil"/>
              <w:bottom w:val="nil"/>
              <w:right w:val="nil"/>
            </w:tcBorders>
          </w:tcPr>
          <w:p>
            <w:pPr>
              <w:pStyle w:val="Normal"/>
              <w:widowControl w:val="false"/>
              <w:snapToGrid w:val="false"/>
              <w:spacing w:lineRule="auto" w:line="240" w:before="0" w:after="0"/>
              <w:jc w:val="both"/>
              <w:rPr>
                <w:rFonts w:ascii="Times New Roman" w:hAnsi="Times New Roman"/>
              </w:rPr>
            </w:pPr>
            <w:r>
              <w:rPr>
                <w:rFonts w:eastAsia="Times New Roman" w:ascii="Times New Roman" w:hAnsi="Times New Roman"/>
                <w:b/>
                <w:bCs/>
                <w:kern w:val="0"/>
                <w:lang w:val="ru-RU" w:eastAsia="ru-RU" w:bidi="ar-SA"/>
              </w:rPr>
              <w:t>ЛИЦЕНЗИАТ</w:t>
            </w:r>
            <w:r>
              <w:rPr>
                <w:rFonts w:eastAsia="Times New Roman" w:ascii="Times New Roman" w:hAnsi="Times New Roman"/>
                <w:kern w:val="0"/>
                <w:lang w:val="ru-RU" w:eastAsia="ru-RU" w:bidi="ar-SA"/>
              </w:rPr>
              <w:t>:</w:t>
            </w:r>
          </w:p>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t>Федеральное бюджетное учреждение «Администрация Камского бассейна внутренних водных путей» (сокращенно ФБУ «Администрация «Камводпуть»)</w:t>
            </w:r>
          </w:p>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t>Юридический адрес: 614015 г. Пермь, ул. Советская,20-а</w:t>
            </w:r>
          </w:p>
          <w:p>
            <w:pPr>
              <w:pStyle w:val="Normal"/>
              <w:widowControl w:val="false"/>
              <w:spacing w:before="0" w:after="0"/>
              <w:rPr>
                <w:rFonts w:ascii="Times New Roman" w:hAnsi="Times New Roman" w:cs="Times New Roman"/>
                <w:sz w:val="20"/>
                <w:szCs w:val="20"/>
              </w:rPr>
            </w:pPr>
            <w:r>
              <w:rPr>
                <w:rFonts w:cs="Times New Roman" w:ascii="Times New Roman" w:hAnsi="Times New Roman"/>
                <w:b/>
                <w:sz w:val="20"/>
                <w:szCs w:val="20"/>
              </w:rPr>
              <w:t>Получатель и плательщик:</w:t>
            </w:r>
            <w:r>
              <w:rPr>
                <w:rFonts w:cs="Times New Roman" w:ascii="Times New Roman" w:hAnsi="Times New Roman"/>
                <w:sz w:val="20"/>
                <w:szCs w:val="20"/>
              </w:rPr>
              <w:t xml:space="preserve"> Нижне – Камский район водных путей и судоходства – филиал ФБУ «Администрация Камского бассейна внутренних водных путей (сокращенно НКРВПС)</w:t>
            </w:r>
          </w:p>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t>Фактический адрес и почтовый адрес: 427960, Удмуртская Республика, г. Сарапул, ул. Оползина, 8а</w:t>
            </w:r>
          </w:p>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t>ИНН/КПП 5902290191/182702001</w:t>
            </w:r>
          </w:p>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t>Тел./факс: (341-47) 4-18-93; 4-19-93</w:t>
            </w:r>
          </w:p>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t>Получатель: УФК по Нижегородской области (НКРВПС л/с 20136Х86880)</w:t>
            </w:r>
          </w:p>
          <w:p>
            <w:pPr>
              <w:pStyle w:val="Normal"/>
              <w:widowControl w:val="false"/>
              <w:spacing w:before="0" w:after="0"/>
              <w:rPr>
                <w:rFonts w:ascii="Times New Roman" w:hAnsi="Times New Roman" w:cs="Times New Roman"/>
                <w:sz w:val="20"/>
                <w:szCs w:val="20"/>
              </w:rPr>
            </w:pPr>
            <w:r>
              <w:rPr>
                <w:rFonts w:cs="Times New Roman" w:ascii="Times New Roman" w:hAnsi="Times New Roman"/>
                <w:sz w:val="20"/>
                <w:szCs w:val="20"/>
              </w:rPr>
              <w:t xml:space="preserve">Казначейский счет 03214643000000013239 в ОКЦ № 1 ВВГУ БАНКА РОССИИ//УФК по Нижегородской области, г. Нижний Новгород, БИК 012202102, </w:t>
            </w:r>
          </w:p>
          <w:p>
            <w:pPr>
              <w:pStyle w:val="Normal"/>
              <w:widowControl w:val="false"/>
              <w:spacing w:before="0" w:after="200"/>
              <w:rPr>
                <w:rFonts w:ascii="Times New Roman" w:hAnsi="Times New Roman" w:cs="Times New Roman"/>
                <w:sz w:val="20"/>
                <w:szCs w:val="20"/>
              </w:rPr>
            </w:pPr>
            <w:r>
              <w:rPr>
                <w:rFonts w:cs="Times New Roman"/>
                <w:sz w:val="20"/>
                <w:szCs w:val="20"/>
              </w:rPr>
              <w:t>к/с 40102810745370000024</w:t>
            </w:r>
          </w:p>
        </w:tc>
      </w:tr>
      <w:tr>
        <w:trPr/>
        <w:tc>
          <w:tcPr>
            <w:tcW w:w="4460" w:type="dxa"/>
            <w:tcBorders>
              <w:top w:val="nil"/>
              <w:left w:val="nil"/>
              <w:bottom w:val="nil"/>
              <w:right w:val="nil"/>
            </w:tcBorders>
          </w:tcPr>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t>От Лицензиара</w:t>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t xml:space="preserve">________________/ </w:t>
            </w:r>
          </w:p>
          <w:p>
            <w:pPr>
              <w:pStyle w:val="Normal"/>
              <w:widowControl/>
              <w:spacing w:lineRule="auto" w:line="240" w:before="0" w:after="0"/>
              <w:contextualSpacing/>
              <w:jc w:val="left"/>
              <w:rPr>
                <w:rFonts w:ascii="Times New Roman" w:hAnsi="Times New Roman"/>
              </w:rPr>
            </w:pPr>
            <w:r>
              <w:rPr>
                <w:rFonts w:eastAsia="Times New Roman" w:ascii="Times New Roman" w:hAnsi="Times New Roman"/>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kern w:val="0"/>
                <w:lang w:val="ru-RU" w:eastAsia="ru-RU" w:bidi="ar-SA"/>
              </w:rPr>
              <w:t>М.П.</w:t>
            </w:r>
          </w:p>
          <w:p>
            <w:pPr>
              <w:pStyle w:val="Style27"/>
              <w:widowControl w:val="false"/>
              <w:spacing w:lineRule="auto" w:line="240" w:before="0" w:after="0"/>
              <w:ind w:left="0" w:right="0" w:hanging="0"/>
              <w:jc w:val="left"/>
              <w:rPr>
                <w:rFonts w:ascii="Times New Roman" w:hAnsi="Times New Roman"/>
                <w:b/>
                <w:bCs/>
              </w:rPr>
            </w:pPr>
            <w:r>
              <w:rPr>
                <w:rFonts w:eastAsia="Times New Roman" w:ascii="Times New Roman" w:hAnsi="Times New Roman"/>
                <w:b/>
                <w:bCs/>
                <w:kern w:val="0"/>
                <w:lang w:val="ru-RU" w:eastAsia="ru-RU" w:bidi="ar-SA"/>
              </w:rPr>
            </w:r>
          </w:p>
        </w:tc>
        <w:tc>
          <w:tcPr>
            <w:tcW w:w="5669" w:type="dxa"/>
            <w:tcBorders>
              <w:top w:val="nil"/>
              <w:left w:val="nil"/>
              <w:bottom w:val="nil"/>
              <w:right w:val="nil"/>
            </w:tcBorders>
          </w:tcPr>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t>От Лицензиата</w:t>
            </w:r>
          </w:p>
          <w:p>
            <w:pPr>
              <w:pStyle w:val="Normal"/>
              <w:widowControl w:val="false"/>
              <w:spacing w:lineRule="auto" w:line="240" w:before="0" w:after="0"/>
              <w:jc w:val="both"/>
              <w:rPr>
                <w:rFonts w:ascii="Times New Roman" w:hAnsi="Times New Roman" w:eastAsia="Times New Roman"/>
                <w:kern w:val="0"/>
                <w:sz w:val="20"/>
                <w:szCs w:val="20"/>
                <w:lang w:val="ru-RU" w:eastAsia="ru-RU" w:bidi="ar-SA"/>
              </w:rPr>
            </w:pPr>
            <w:r>
              <w:rPr>
                <w:rFonts w:eastAsia="Times New Roman" w:ascii="Times New Roman" w:hAnsi="Times New Roman"/>
                <w:kern w:val="0"/>
                <w:sz w:val="20"/>
                <w:szCs w:val="20"/>
                <w:lang w:val="ru-RU" w:eastAsia="ru-RU" w:bidi="ar-SA"/>
              </w:rPr>
              <w:t xml:space="preserve">Начальник филиала </w:t>
            </w:r>
          </w:p>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val="false"/>
              <w:spacing w:lineRule="auto" w:line="240" w:before="0" w:after="0"/>
              <w:jc w:val="both"/>
              <w:rPr>
                <w:rFonts w:ascii="Times New Roman" w:hAnsi="Times New Roman"/>
                <w:color w:val="000000"/>
                <w:lang w:val="en-US"/>
              </w:rPr>
            </w:pPr>
            <w:r>
              <w:rPr>
                <w:rFonts w:eastAsia="Times New Roman" w:ascii="Times New Roman" w:hAnsi="Times New Roman"/>
                <w:color w:val="000000"/>
                <w:kern w:val="0"/>
                <w:lang w:val="ru-RU" w:eastAsia="ru-RU" w:bidi="ar-SA"/>
              </w:rPr>
              <w:t>____________________ /</w:t>
            </w:r>
            <w:r>
              <w:rPr>
                <w:rFonts w:eastAsia="Times New Roman" w:ascii="Times New Roman" w:hAnsi="Times New Roman"/>
                <w:color w:val="000000"/>
                <w:kern w:val="0"/>
                <w:lang w:val="ru-RU" w:eastAsia="ru-RU" w:bidi="ar-SA"/>
              </w:rPr>
              <w:t>А.Ю. Мосин</w:t>
            </w:r>
          </w:p>
          <w:p>
            <w:pPr>
              <w:pStyle w:val="Style27"/>
              <w:widowControl w:val="false"/>
              <w:spacing w:lineRule="auto" w:line="240" w:before="0" w:after="0"/>
              <w:ind w:left="0" w:right="0" w:hanging="0"/>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Style27"/>
              <w:widowControl w:val="false"/>
              <w:spacing w:lineRule="auto" w:line="240" w:before="0" w:after="0"/>
              <w:ind w:left="0" w:right="0" w:hanging="0"/>
              <w:jc w:val="left"/>
              <w:rPr>
                <w:rFonts w:ascii="Times New Roman" w:hAnsi="Times New Roman"/>
                <w:b/>
                <w:bCs/>
              </w:rPr>
            </w:pPr>
            <w:bookmarkStart w:id="36" w:name="_Toc257307994"/>
            <w:bookmarkStart w:id="37" w:name="_Toc257305091"/>
            <w:bookmarkStart w:id="38" w:name="_Toc257304963"/>
            <w:bookmarkStart w:id="39" w:name="_Toc252450614"/>
            <w:bookmarkStart w:id="40" w:name="_Toc252449658"/>
            <w:bookmarkStart w:id="41" w:name="_Toc252447766"/>
            <w:bookmarkStart w:id="42" w:name="_Toc252447590"/>
            <w:bookmarkStart w:id="43" w:name="_Toc252442802"/>
            <w:r>
              <w:rPr>
                <w:rFonts w:eastAsia="Times New Roman" w:ascii="Times New Roman" w:hAnsi="Times New Roman"/>
                <w:color w:val="000000"/>
                <w:kern w:val="0"/>
                <w:lang w:val="ru-RU" w:eastAsia="ru-RU" w:bidi="ar-SA"/>
              </w:rPr>
              <w:t>М.П.</w:t>
            </w:r>
            <w:bookmarkEnd w:id="36"/>
            <w:bookmarkEnd w:id="37"/>
            <w:bookmarkEnd w:id="38"/>
            <w:bookmarkEnd w:id="39"/>
            <w:bookmarkEnd w:id="40"/>
            <w:bookmarkEnd w:id="41"/>
            <w:bookmarkEnd w:id="42"/>
            <w:bookmarkEnd w:id="43"/>
          </w:p>
        </w:tc>
      </w:tr>
    </w:tbl>
    <w:p>
      <w:pPr>
        <w:pStyle w:val="Normal"/>
        <w:rPr>
          <w:rFonts w:ascii="Times New Roman" w:hAnsi="Times New Roman"/>
        </w:rPr>
      </w:pPr>
      <w:r>
        <w:rPr>
          <w:rFonts w:ascii="Times New Roman" w:hAnsi="Times New Roman"/>
        </w:rPr>
      </w:r>
      <w:r>
        <w:br w:type="page"/>
      </w:r>
    </w:p>
    <w:tbl>
      <w:tblPr>
        <w:tblW w:w="5000" w:type="pct"/>
        <w:jc w:val="left"/>
        <w:tblInd w:w="142" w:type="dxa"/>
        <w:tblLayout w:type="fixed"/>
        <w:tblCellMar>
          <w:top w:w="0" w:type="dxa"/>
          <w:left w:w="108" w:type="dxa"/>
          <w:bottom w:w="0" w:type="dxa"/>
          <w:right w:w="108" w:type="dxa"/>
        </w:tblCellMar>
        <w:tblLook w:firstRow="1" w:noVBand="1" w:lastRow="0" w:firstColumn="1" w:lastColumn="0" w:noHBand="0" w:val="04a0"/>
      </w:tblPr>
      <w:tblGrid>
        <w:gridCol w:w="517"/>
        <w:gridCol w:w="1436"/>
        <w:gridCol w:w="8526"/>
      </w:tblGrid>
      <w:tr>
        <w:trPr>
          <w:trHeight w:val="882" w:hRule="atLeast"/>
        </w:trPr>
        <w:tc>
          <w:tcPr>
            <w:tcW w:w="10479" w:type="dxa"/>
            <w:gridSpan w:val="3"/>
            <w:tcBorders/>
            <w:vAlign w:val="center"/>
          </w:tcPr>
          <w:p>
            <w:pPr>
              <w:pStyle w:val="Normal"/>
              <w:pageBreakBefore/>
              <w:widowControl w:val="false"/>
              <w:spacing w:lineRule="auto" w:line="240" w:before="0" w:after="0"/>
              <w:jc w:val="right"/>
              <w:rPr>
                <w:rFonts w:ascii="Times New Roman" w:hAnsi="Times New Roman"/>
                <w:color w:val="000000"/>
                <w:sz w:val="24"/>
                <w:szCs w:val="24"/>
              </w:rPr>
            </w:pPr>
            <w:r>
              <w:rPr>
                <w:rFonts w:ascii="Times New Roman" w:hAnsi="Times New Roman"/>
                <w:color w:val="000000"/>
                <w:sz w:val="24"/>
                <w:szCs w:val="24"/>
              </w:rPr>
              <w:t>ПРИЛОЖЕНИЕ № 1</w:t>
            </w:r>
          </w:p>
          <w:p>
            <w:pPr>
              <w:pStyle w:val="Normal"/>
              <w:widowControl w:val="false"/>
              <w:spacing w:lineRule="auto" w:line="240" w:before="0" w:after="0"/>
              <w:jc w:val="right"/>
              <w:rPr>
                <w:rFonts w:ascii="Times New Roman" w:hAnsi="Times New Roman"/>
                <w:color w:val="000000"/>
                <w:sz w:val="24"/>
                <w:szCs w:val="24"/>
              </w:rPr>
            </w:pPr>
            <w:r>
              <w:rPr>
                <w:rFonts w:ascii="Times New Roman" w:hAnsi="Times New Roman"/>
                <w:color w:val="000000"/>
                <w:sz w:val="24"/>
                <w:szCs w:val="24"/>
              </w:rPr>
              <w:t>к Контракту № ____________________________</w:t>
            </w:r>
          </w:p>
          <w:p>
            <w:pPr>
              <w:pStyle w:val="Normal"/>
              <w:widowControl w:val="false"/>
              <w:spacing w:lineRule="auto" w:line="240" w:before="0" w:after="0"/>
              <w:jc w:val="right"/>
              <w:rPr>
                <w:rFonts w:ascii="Times New Roman" w:hAnsi="Times New Roman"/>
                <w:color w:val="000000"/>
                <w:sz w:val="24"/>
                <w:szCs w:val="24"/>
              </w:rPr>
            </w:pPr>
            <w:r>
              <w:rPr>
                <w:rFonts w:ascii="Times New Roman" w:hAnsi="Times New Roman"/>
                <w:color w:val="000000"/>
                <w:sz w:val="24"/>
                <w:szCs w:val="24"/>
              </w:rPr>
              <w:t xml:space="preserve">от </w:t>
            </w:r>
            <w:r>
              <w:rPr>
                <w:rFonts w:ascii="Times New Roman" w:hAnsi="Times New Roman"/>
                <w:bCs/>
                <w:sz w:val="24"/>
                <w:szCs w:val="24"/>
              </w:rPr>
              <w:t>«____» __________ 2026 г.</w:t>
            </w:r>
          </w:p>
          <w:p>
            <w:pPr>
              <w:pStyle w:val="Normal"/>
              <w:widowControl w:val="false"/>
              <w:spacing w:lineRule="auto" w:line="240" w:before="0" w:after="0"/>
              <w:jc w:val="center"/>
              <w:rPr>
                <w:rFonts w:ascii="Times New Roman" w:hAnsi="Times New Roman"/>
                <w:bCs/>
                <w:sz w:val="24"/>
                <w:szCs w:val="24"/>
              </w:rPr>
            </w:pPr>
            <w:r>
              <w:rPr>
                <w:rFonts w:ascii="Times New Roman" w:hAnsi="Times New Roman"/>
                <w:bCs/>
                <w:sz w:val="24"/>
                <w:szCs w:val="24"/>
              </w:rPr>
            </w:r>
          </w:p>
          <w:p>
            <w:pPr>
              <w:pStyle w:val="Normal"/>
              <w:widowControl w:val="false"/>
              <w:spacing w:lineRule="auto" w:line="240" w:before="0" w:after="0"/>
              <w:jc w:val="center"/>
              <w:rPr>
                <w:rFonts w:ascii="Times New Roman" w:hAnsi="Times New Roman"/>
                <w:b/>
                <w:bCs/>
                <w:sz w:val="24"/>
                <w:szCs w:val="24"/>
              </w:rPr>
            </w:pPr>
            <w:r>
              <w:rPr>
                <w:rFonts w:ascii="Times New Roman" w:hAnsi="Times New Roman"/>
                <w:b/>
                <w:bCs/>
                <w:sz w:val="24"/>
                <w:szCs w:val="24"/>
              </w:rPr>
              <w:t>СПЕЦИФИКАЦИЯ</w:t>
            </w:r>
          </w:p>
          <w:p>
            <w:pPr>
              <w:pStyle w:val="Normal"/>
              <w:widowControl w:val="false"/>
              <w:spacing w:lineRule="auto" w:line="240" w:before="0" w:after="0"/>
              <w:jc w:val="center"/>
              <w:rPr>
                <w:rFonts w:ascii="Times New Roman" w:hAnsi="Times New Roman"/>
                <w:b/>
                <w:bCs/>
                <w:color w:val="000000"/>
                <w:sz w:val="24"/>
                <w:szCs w:val="24"/>
              </w:rPr>
            </w:pPr>
            <w:r>
              <w:rPr>
                <w:rFonts w:ascii="Times New Roman" w:hAnsi="Times New Roman"/>
                <w:b/>
                <w:bCs/>
                <w:color w:val="000000"/>
                <w:sz w:val="24"/>
                <w:szCs w:val="24"/>
              </w:rPr>
              <w:t>на продление права использования на условиях простой (неисключительной) лицензии ПО «ПФХД 2.0» в составе «Электронный сервис «РАМЗЭС 2.0»</w:t>
            </w:r>
          </w:p>
        </w:tc>
      </w:tr>
      <w:tr>
        <w:trPr/>
        <w:tc>
          <w:tcPr>
            <w:tcW w:w="517"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Times New Roman" w:hAnsi="Times New Roman"/>
                <w:b/>
                <w:bCs/>
              </w:rPr>
            </w:pPr>
            <w:r>
              <w:rPr>
                <w:rFonts w:ascii="Times New Roman" w:hAnsi="Times New Roman"/>
                <w:b/>
                <w:bCs/>
              </w:rPr>
              <w:t xml:space="preserve">№ </w:t>
            </w:r>
            <w:r>
              <w:rPr>
                <w:rFonts w:ascii="Times New Roman" w:hAnsi="Times New Roman"/>
                <w:b/>
                <w:bCs/>
              </w:rPr>
              <w:t>п/п</w:t>
            </w:r>
          </w:p>
        </w:tc>
        <w:tc>
          <w:tcPr>
            <w:tcW w:w="9962" w:type="dxa"/>
            <w:gridSpan w:val="2"/>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Times New Roman" w:hAnsi="Times New Roman"/>
                <w:b/>
                <w:bCs/>
              </w:rPr>
            </w:pPr>
            <w:r>
              <w:rPr>
                <w:rFonts w:ascii="Times New Roman" w:hAnsi="Times New Roman"/>
                <w:b/>
                <w:bCs/>
              </w:rPr>
              <w:t>Подсистема/модуль– выполняемые функции</w:t>
            </w:r>
          </w:p>
        </w:tc>
      </w:tr>
      <w:tr>
        <w:trPr/>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w:t>
            </w:r>
          </w:p>
        </w:tc>
        <w:tc>
          <w:tcPr>
            <w:tcW w:w="996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Функциональные подсистемы:</w:t>
            </w:r>
          </w:p>
        </w:tc>
      </w:tr>
      <w:tr>
        <w:trPr/>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1.1</w:t>
            </w:r>
          </w:p>
        </w:tc>
        <w:tc>
          <w:tcPr>
            <w:tcW w:w="14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Доходы</w:t>
            </w:r>
          </w:p>
        </w:tc>
        <w:tc>
          <w:tcPr>
            <w:tcW w:w="852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Лимиты финансирования с историей изменений.</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Планирование доходов (внебюджет).</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Формирование графика перечисления субсидий из бюджета.</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Реквизиты учреждения.</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Хранение данных об остатках на начало года и показателях финансового состояния учреждения.</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Статусная модель заполнения данных.</w:t>
            </w:r>
          </w:p>
        </w:tc>
      </w:tr>
      <w:tr>
        <w:trPr/>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1.2</w:t>
            </w:r>
          </w:p>
        </w:tc>
        <w:tc>
          <w:tcPr>
            <w:tcW w:w="14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Затраты</w:t>
            </w:r>
          </w:p>
        </w:tc>
        <w:tc>
          <w:tcPr>
            <w:tcW w:w="852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Планирование затрат по видам финансового обеспечения (бюджет, внебюджет).</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Распределение затрат по услугам/работам (госзадание).</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Сохранение истории изменений затрат («передвижек»).</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Статусная модель заполнения данных.</w:t>
            </w:r>
          </w:p>
        </w:tc>
      </w:tr>
      <w:tr>
        <w:trPr/>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1.3</w:t>
            </w:r>
          </w:p>
        </w:tc>
        <w:tc>
          <w:tcPr>
            <w:tcW w:w="14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Показатели</w:t>
            </w:r>
          </w:p>
        </w:tc>
        <w:tc>
          <w:tcPr>
            <w:tcW w:w="852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Статусная модель заполнения данных.</w:t>
            </w:r>
          </w:p>
        </w:tc>
      </w:tr>
      <w:tr>
        <w:trPr/>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1.4</w:t>
            </w:r>
          </w:p>
        </w:tc>
        <w:tc>
          <w:tcPr>
            <w:tcW w:w="14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ЭДО</w:t>
            </w:r>
          </w:p>
        </w:tc>
        <w:tc>
          <w:tcPr>
            <w:tcW w:w="852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Создание редакций электронных документов.</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Применение сертификатов усиленной квалифицированной электронной подписи.</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Статусы редакций ЭДО «Формирование», «На проверке», «Проверен», «На доработке», «Утвержден».</w:t>
            </w:r>
          </w:p>
        </w:tc>
      </w:tr>
      <w:tr>
        <w:trPr/>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1.5</w:t>
            </w:r>
          </w:p>
        </w:tc>
        <w:tc>
          <w:tcPr>
            <w:tcW w:w="14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Обоснования ПФХД</w:t>
            </w:r>
          </w:p>
        </w:tc>
        <w:tc>
          <w:tcPr>
            <w:tcW w:w="852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«Расчеты (обоснования) выплат персоналу (строка 210)».</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«Расчеты (обоснования) расходов на социальные и иные выплаты населению».</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 (обоснование) расходов на уплату налогов, сборов и иных платежей».</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 (обоснование) расходов на безвозмездные перечисления организациям».</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 (обоснование) прочих расходов».</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 (обоснование) расходов на закупку товаров, работ, услуг».</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Формы расчетов (обоснований) доходов к ПФХД</w:t>
            </w:r>
          </w:p>
        </w:tc>
      </w:tr>
      <w:tr>
        <w:trPr/>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2</w:t>
            </w:r>
          </w:p>
        </w:tc>
        <w:tc>
          <w:tcPr>
            <w:tcW w:w="996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293" w:hanging="255"/>
              <w:rPr>
                <w:rFonts w:ascii="Times New Roman" w:hAnsi="Times New Roman"/>
              </w:rPr>
            </w:pPr>
            <w:r>
              <w:rPr>
                <w:rFonts w:ascii="Times New Roman" w:hAnsi="Times New Roman"/>
              </w:rPr>
              <w:t>Общесистемные модули:</w:t>
            </w:r>
          </w:p>
        </w:tc>
      </w:tr>
      <w:tr>
        <w:trPr>
          <w:trHeight w:val="589" w:hRule="atLeast"/>
        </w:trPr>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2.1</w:t>
            </w:r>
          </w:p>
        </w:tc>
        <w:tc>
          <w:tcPr>
            <w:tcW w:w="14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Главная</w:t>
            </w:r>
          </w:p>
        </w:tc>
        <w:tc>
          <w:tcPr>
            <w:tcW w:w="852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8"/>
              </w:numPr>
              <w:spacing w:lineRule="auto" w:line="240" w:before="0" w:after="0"/>
              <w:ind w:left="293" w:hanging="255"/>
              <w:contextualSpacing/>
              <w:rPr>
                <w:rFonts w:ascii="Times New Roman" w:hAnsi="Times New Roman"/>
              </w:rPr>
            </w:pPr>
            <w:r>
              <w:rPr>
                <w:rFonts w:ascii="Times New Roman" w:hAnsi="Times New Roman"/>
              </w:rPr>
              <w:t>Новостная лента сообщений для пользователя (системные и организационные уведомления)</w:t>
            </w:r>
          </w:p>
        </w:tc>
      </w:tr>
      <w:tr>
        <w:trPr/>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2.2</w:t>
            </w:r>
          </w:p>
        </w:tc>
        <w:tc>
          <w:tcPr>
            <w:tcW w:w="14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 xml:space="preserve"> </w:t>
            </w:r>
            <w:r>
              <w:rPr>
                <w:rFonts w:ascii="Times New Roman" w:hAnsi="Times New Roman"/>
              </w:rPr>
              <w:t>Центр сообщений</w:t>
            </w:r>
          </w:p>
        </w:tc>
        <w:tc>
          <w:tcPr>
            <w:tcW w:w="852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8"/>
              </w:numPr>
              <w:spacing w:lineRule="auto" w:line="240" w:before="0" w:after="0"/>
              <w:ind w:left="293" w:hanging="255"/>
              <w:contextualSpacing/>
              <w:rPr>
                <w:rFonts w:ascii="Times New Roman" w:hAnsi="Times New Roman"/>
              </w:rPr>
            </w:pPr>
            <w:r>
              <w:rPr>
                <w:rFonts w:ascii="Times New Roman" w:hAnsi="Times New Roman"/>
              </w:rPr>
              <w:t>Обмен сообщениями со службой поддержки, пользователем с ролью «ГРБС».</w:t>
            </w:r>
          </w:p>
        </w:tc>
      </w:tr>
      <w:tr>
        <w:trPr/>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2.3</w:t>
            </w:r>
          </w:p>
        </w:tc>
        <w:tc>
          <w:tcPr>
            <w:tcW w:w="14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Документы</w:t>
            </w:r>
          </w:p>
        </w:tc>
        <w:tc>
          <w:tcPr>
            <w:tcW w:w="8526"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8"/>
              </w:numPr>
              <w:spacing w:lineRule="auto" w:line="240" w:before="0" w:after="0"/>
              <w:ind w:left="293" w:hanging="255"/>
              <w:contextualSpacing/>
              <w:rPr>
                <w:rFonts w:ascii="Times New Roman" w:hAnsi="Times New Roman"/>
              </w:rPr>
            </w:pPr>
            <w:r>
              <w:rPr>
                <w:rFonts w:ascii="Times New Roman" w:hAnsi="Times New Roman"/>
              </w:rPr>
              <w:t>Хранение, добавление и редактирование файлов пользователя.</w:t>
            </w:r>
          </w:p>
        </w:tc>
      </w:tr>
    </w:tbl>
    <w:p>
      <w:pPr>
        <w:pStyle w:val="Normal"/>
        <w:spacing w:lineRule="auto" w:line="240" w:before="0" w:after="0"/>
        <w:ind w:firstLine="142"/>
        <w:rPr>
          <w:rFonts w:ascii="Times New Roman" w:hAnsi="Times New Roman"/>
        </w:rPr>
      </w:pPr>
      <w:r>
        <w:rPr>
          <w:rFonts w:ascii="Times New Roman" w:hAnsi="Times New Roman"/>
        </w:rPr>
      </w:r>
    </w:p>
    <w:p>
      <w:pPr>
        <w:pStyle w:val="Normal"/>
        <w:spacing w:lineRule="auto" w:line="240" w:before="0" w:after="0"/>
        <w:ind w:firstLine="142"/>
        <w:rPr>
          <w:rFonts w:ascii="Times New Roman" w:hAnsi="Times New Roman"/>
        </w:rPr>
      </w:pPr>
      <w:r>
        <w:rPr>
          <w:rFonts w:ascii="Times New Roman" w:hAnsi="Times New Roman"/>
        </w:rPr>
        <w:t>Ролевая модель – «Филиал».</w:t>
      </w:r>
    </w:p>
    <w:p>
      <w:pPr>
        <w:pStyle w:val="Normal"/>
        <w:spacing w:lineRule="auto" w:line="240" w:before="0" w:after="0"/>
        <w:ind w:firstLine="142"/>
        <w:rPr>
          <w:rFonts w:ascii="Times New Roman" w:hAnsi="Times New Roman"/>
        </w:rPr>
      </w:pPr>
      <w:r>
        <w:rPr>
          <w:rFonts w:ascii="Times New Roman" w:hAnsi="Times New Roman"/>
        </w:rPr>
        <w:t>Срок действия Лицензии: с 01 ноября 2026 г. по 31 октября 2027 г.</w:t>
      </w:r>
    </w:p>
    <w:p>
      <w:pPr>
        <w:pStyle w:val="Normal"/>
        <w:spacing w:lineRule="auto" w:line="240" w:before="0" w:after="0"/>
        <w:ind w:hanging="0"/>
        <w:rPr>
          <w:rFonts w:ascii="Times New Roman" w:hAnsi="Times New Roman"/>
          <w:b/>
          <w:sz w:val="24"/>
          <w:szCs w:val="24"/>
          <w:lang w:bidi="ru-RU"/>
        </w:rPr>
      </w:pPr>
      <w:r>
        <w:rPr>
          <w:rFonts w:ascii="Times New Roman" w:hAnsi="Times New Roman"/>
          <w:b/>
          <w:sz w:val="24"/>
          <w:szCs w:val="24"/>
          <w:lang w:bidi="ru-RU"/>
        </w:rPr>
      </w:r>
    </w:p>
    <w:p>
      <w:pPr>
        <w:pStyle w:val="Normal"/>
        <w:spacing w:lineRule="auto" w:line="240" w:before="0" w:after="0"/>
        <w:ind w:firstLine="142"/>
        <w:jc w:val="center"/>
        <w:rPr>
          <w:rFonts w:ascii="Times New Roman" w:hAnsi="Times New Roman"/>
          <w:b/>
          <w:sz w:val="24"/>
          <w:szCs w:val="24"/>
          <w:lang w:bidi="ru-RU"/>
        </w:rPr>
      </w:pPr>
      <w:r>
        <w:rPr>
          <w:rFonts w:ascii="Times New Roman" w:hAnsi="Times New Roman"/>
          <w:b/>
          <w:sz w:val="24"/>
          <w:szCs w:val="24"/>
          <w:lang w:bidi="ru-RU"/>
        </w:rPr>
        <w:t>ПОДПИСИ СТОРОН</w:t>
      </w:r>
    </w:p>
    <w:tbl>
      <w:tblPr>
        <w:tblStyle w:val="ab"/>
        <w:tblW w:w="9988" w:type="dxa"/>
        <w:jc w:val="left"/>
        <w:tblInd w:w="360" w:type="dxa"/>
        <w:tblLayout w:type="fixed"/>
        <w:tblCellMar>
          <w:top w:w="0" w:type="dxa"/>
          <w:left w:w="108" w:type="dxa"/>
          <w:bottom w:w="0" w:type="dxa"/>
          <w:right w:w="108" w:type="dxa"/>
        </w:tblCellMar>
        <w:tblLook w:firstRow="1" w:noVBand="1" w:lastRow="0" w:firstColumn="1" w:lastColumn="0" w:noHBand="0" w:val="04a0"/>
      </w:tblPr>
      <w:tblGrid>
        <w:gridCol w:w="5168"/>
        <w:gridCol w:w="4819"/>
      </w:tblGrid>
      <w:tr>
        <w:trPr/>
        <w:tc>
          <w:tcPr>
            <w:tcW w:w="5168" w:type="dxa"/>
            <w:tcBorders>
              <w:top w:val="nil"/>
              <w:left w:val="nil"/>
              <w:bottom w:val="nil"/>
              <w:right w:val="nil"/>
            </w:tcBorders>
          </w:tcPr>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t>От Лицензиара</w:t>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t>________________/</w:t>
            </w:r>
          </w:p>
          <w:p>
            <w:pPr>
              <w:pStyle w:val="Normal"/>
              <w:widowControl/>
              <w:spacing w:lineRule="auto" w:line="240" w:before="0" w:after="0"/>
              <w:contextualSpacing/>
              <w:jc w:val="left"/>
              <w:rPr>
                <w:rFonts w:ascii="Times New Roman" w:hAnsi="Times New Roman"/>
              </w:rPr>
            </w:pPr>
            <w:r>
              <w:rPr>
                <w:rFonts w:eastAsia="Times New Roman" w:ascii="Times New Roman" w:hAnsi="Times New Roman"/>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kern w:val="0"/>
                <w:lang w:val="ru-RU" w:eastAsia="ru-RU" w:bidi="ar-SA"/>
              </w:rPr>
              <w:t>М.П.</w:t>
            </w:r>
          </w:p>
        </w:tc>
        <w:tc>
          <w:tcPr>
            <w:tcW w:w="4819" w:type="dxa"/>
            <w:tcBorders>
              <w:top w:val="nil"/>
              <w:left w:val="nil"/>
              <w:bottom w:val="nil"/>
              <w:right w:val="nil"/>
            </w:tcBorders>
          </w:tcPr>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t>От Лицензиата</w:t>
            </w:r>
          </w:p>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t xml:space="preserve">Начальник филиала </w:t>
            </w:r>
          </w:p>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val="false"/>
              <w:spacing w:lineRule="auto" w:line="240" w:before="0" w:after="0"/>
              <w:jc w:val="both"/>
              <w:rPr>
                <w:rFonts w:ascii="Times New Roman" w:hAnsi="Times New Roman"/>
                <w:color w:val="000000"/>
                <w:lang w:val="en-US"/>
              </w:rPr>
            </w:pPr>
            <w:r>
              <w:rPr>
                <w:rFonts w:eastAsia="Times New Roman" w:ascii="Times New Roman" w:hAnsi="Times New Roman"/>
                <w:color w:val="000000"/>
                <w:kern w:val="0"/>
                <w:lang w:val="ru-RU" w:eastAsia="ru-RU" w:bidi="ar-SA"/>
              </w:rPr>
              <w:t>____________________ /</w:t>
            </w:r>
            <w:r>
              <w:rPr>
                <w:rFonts w:eastAsia="Times New Roman" w:ascii="Times New Roman" w:hAnsi="Times New Roman"/>
                <w:color w:val="000000"/>
                <w:kern w:val="0"/>
                <w:lang w:val="ru-RU" w:eastAsia="ru-RU" w:bidi="ar-SA"/>
              </w:rPr>
              <w:t>А.Ю. Мосин</w:t>
            </w:r>
          </w:p>
          <w:p>
            <w:pPr>
              <w:pStyle w:val="Style27"/>
              <w:widowControl w:val="false"/>
              <w:spacing w:lineRule="auto" w:line="240" w:before="0" w:after="0"/>
              <w:ind w:left="0" w:right="0" w:hanging="0"/>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Style27"/>
              <w:widowControl w:val="false"/>
              <w:spacing w:lineRule="auto" w:line="240" w:before="0" w:after="0"/>
              <w:ind w:left="0" w:right="0" w:hanging="0"/>
              <w:jc w:val="left"/>
              <w:rPr>
                <w:rFonts w:ascii="Times New Roman" w:hAnsi="Times New Roman"/>
                <w:b/>
                <w:bCs/>
              </w:rPr>
            </w:pPr>
            <w:r>
              <w:rPr>
                <w:rFonts w:eastAsia="Times New Roman" w:ascii="Times New Roman" w:hAnsi="Times New Roman"/>
                <w:color w:val="000000"/>
                <w:kern w:val="0"/>
                <w:lang w:val="ru-RU" w:eastAsia="ru-RU" w:bidi="ar-SA"/>
              </w:rPr>
              <w:t>М.П.</w:t>
            </w:r>
          </w:p>
        </w:tc>
      </w:tr>
    </w:tbl>
    <w:p>
      <w:pPr>
        <w:pStyle w:val="Normal"/>
        <w:spacing w:lineRule="auto" w:line="240" w:before="0" w:after="0"/>
        <w:jc w:val="right"/>
        <w:rPr>
          <w:rFonts w:ascii="Times New Roman" w:hAnsi="Times New Roman"/>
          <w:color w:val="000000"/>
          <w:sz w:val="24"/>
          <w:szCs w:val="24"/>
        </w:rPr>
      </w:pPr>
      <w:r>
        <w:rPr>
          <w:rFonts w:ascii="Times New Roman" w:hAnsi="Times New Roman"/>
          <w:color w:val="000000"/>
          <w:sz w:val="24"/>
          <w:szCs w:val="24"/>
        </w:rPr>
        <w:t>ПРИЛОЖЕНИЕ № 2</w:t>
      </w:r>
    </w:p>
    <w:p>
      <w:pPr>
        <w:pStyle w:val="Normal"/>
        <w:spacing w:lineRule="auto" w:line="240" w:before="0" w:after="0"/>
        <w:jc w:val="right"/>
        <w:rPr>
          <w:rFonts w:ascii="Times New Roman" w:hAnsi="Times New Roman"/>
          <w:color w:val="000000"/>
          <w:sz w:val="24"/>
          <w:szCs w:val="24"/>
        </w:rPr>
      </w:pPr>
      <w:r>
        <w:rPr>
          <w:rFonts w:ascii="Times New Roman" w:hAnsi="Times New Roman"/>
          <w:color w:val="000000"/>
          <w:sz w:val="24"/>
          <w:szCs w:val="24"/>
        </w:rPr>
        <w:t>к Контракту № ____________________________</w:t>
      </w:r>
    </w:p>
    <w:p>
      <w:pPr>
        <w:pStyle w:val="Normal"/>
        <w:spacing w:lineRule="auto" w:line="240" w:before="0" w:after="0"/>
        <w:jc w:val="right"/>
        <w:rPr>
          <w:rFonts w:ascii="Times New Roman" w:hAnsi="Times New Roman"/>
          <w:color w:val="000000"/>
          <w:sz w:val="24"/>
          <w:szCs w:val="24"/>
        </w:rPr>
      </w:pPr>
      <w:r>
        <w:rPr>
          <w:rFonts w:ascii="Times New Roman" w:hAnsi="Times New Roman"/>
          <w:color w:val="000000"/>
          <w:sz w:val="24"/>
          <w:szCs w:val="24"/>
        </w:rPr>
        <w:t xml:space="preserve">от </w:t>
      </w:r>
      <w:r>
        <w:rPr>
          <w:rFonts w:ascii="Times New Roman" w:hAnsi="Times New Roman"/>
          <w:bCs/>
          <w:sz w:val="24"/>
          <w:szCs w:val="24"/>
        </w:rPr>
        <w:t>«____» __________ 2026 г.</w:t>
      </w:r>
    </w:p>
    <w:p>
      <w:pPr>
        <w:pStyle w:val="Normal"/>
        <w:spacing w:lineRule="auto" w:line="240" w:before="0" w:after="0"/>
        <w:ind w:firstLine="142"/>
        <w:jc w:val="center"/>
        <w:rPr>
          <w:rFonts w:ascii="Times New Roman" w:hAnsi="Times New Roman"/>
          <w:b/>
          <w:sz w:val="24"/>
          <w:szCs w:val="24"/>
          <w:lang w:bidi="ru-RU"/>
        </w:rPr>
      </w:pPr>
      <w:r>
        <w:rPr>
          <w:rFonts w:ascii="Times New Roman" w:hAnsi="Times New Roman"/>
          <w:b/>
          <w:sz w:val="24"/>
          <w:szCs w:val="24"/>
          <w:lang w:bidi="ru-RU"/>
        </w:rPr>
      </w:r>
    </w:p>
    <w:p>
      <w:pPr>
        <w:pStyle w:val="3"/>
        <w:ind w:right="-1" w:hanging="0"/>
        <w:jc w:val="center"/>
        <w:rPr>
          <w:rFonts w:ascii="Times New Roman" w:hAnsi="Times New Roman"/>
          <w:b/>
          <w:bCs/>
          <w:color w:val="auto"/>
          <w:sz w:val="28"/>
          <w:szCs w:val="28"/>
        </w:rPr>
      </w:pPr>
      <w:bookmarkStart w:id="44" w:name="_Hlk172563216"/>
      <w:r>
        <w:rPr>
          <w:rFonts w:ascii="Times New Roman" w:hAnsi="Times New Roman"/>
          <w:b/>
          <w:bCs/>
          <w:color w:val="auto"/>
          <w:sz w:val="28"/>
          <w:szCs w:val="28"/>
        </w:rPr>
        <w:t>ТЕХНИЧЕСКОЕ ЗАДАНИЕ</w:t>
      </w:r>
    </w:p>
    <w:p>
      <w:pPr>
        <w:pStyle w:val="ListParagraph"/>
        <w:spacing w:lineRule="auto" w:line="240" w:before="0" w:after="0"/>
        <w:ind w:left="502" w:hanging="0"/>
        <w:contextualSpacing/>
        <w:jc w:val="center"/>
        <w:rPr>
          <w:rFonts w:ascii="Times New Roman" w:hAnsi="Times New Roman"/>
          <w:b/>
          <w:sz w:val="24"/>
          <w:szCs w:val="24"/>
        </w:rPr>
      </w:pPr>
      <w:r>
        <w:rPr>
          <w:rFonts w:ascii="Times New Roman" w:hAnsi="Times New Roman"/>
          <w:b/>
          <w:sz w:val="24"/>
          <w:szCs w:val="24"/>
        </w:rPr>
        <w:t xml:space="preserve">на </w:t>
      </w:r>
      <w:r>
        <w:rPr>
          <w:rFonts w:ascii="Times New Roman" w:hAnsi="Times New Roman"/>
          <w:b/>
          <w:bCs/>
          <w:color w:val="000000"/>
          <w:sz w:val="24"/>
          <w:szCs w:val="24"/>
        </w:rPr>
        <w:t>продление права использования на условиях простой (неисключительной) лицензии ПО «ПФХД 2.0» в составе «Электронный сервис «РАМЗЭС 2.0»</w:t>
      </w:r>
    </w:p>
    <w:p>
      <w:pPr>
        <w:pStyle w:val="ListParagraph"/>
        <w:spacing w:lineRule="auto" w:line="240" w:before="0" w:after="0"/>
        <w:ind w:left="502" w:hanging="0"/>
        <w:contextualSpacing/>
        <w:jc w:val="both"/>
        <w:rPr>
          <w:rFonts w:ascii="Times New Roman" w:hAnsi="Times New Roman"/>
          <w:b/>
          <w:sz w:val="24"/>
          <w:szCs w:val="24"/>
        </w:rPr>
      </w:pPr>
      <w:r>
        <w:rPr>
          <w:rFonts w:ascii="Times New Roman" w:hAnsi="Times New Roman"/>
          <w:b/>
          <w:sz w:val="24"/>
          <w:szCs w:val="24"/>
        </w:rPr>
      </w:r>
    </w:p>
    <w:p>
      <w:pPr>
        <w:pStyle w:val="ListParagraph"/>
        <w:numPr>
          <w:ilvl w:val="0"/>
          <w:numId w:val="6"/>
        </w:numPr>
        <w:spacing w:lineRule="auto" w:line="240" w:before="0" w:after="0"/>
        <w:contextualSpacing/>
        <w:jc w:val="both"/>
        <w:rPr>
          <w:rFonts w:ascii="Times New Roman" w:hAnsi="Times New Roman"/>
          <w:sz w:val="24"/>
          <w:szCs w:val="24"/>
        </w:rPr>
      </w:pPr>
      <w:r>
        <w:rPr>
          <w:rFonts w:ascii="Times New Roman" w:hAnsi="Times New Roman"/>
          <w:b/>
          <w:sz w:val="24"/>
          <w:szCs w:val="24"/>
        </w:rPr>
        <w:t xml:space="preserve">Лицензиат (Заказчик): </w:t>
      </w:r>
      <w:r>
        <w:rPr>
          <w:rFonts w:ascii="Times New Roman" w:hAnsi="Times New Roman"/>
          <w:sz w:val="24"/>
          <w:szCs w:val="24"/>
          <w:lang w:val="en-US"/>
        </w:rPr>
        <w:t>________________</w:t>
      </w:r>
    </w:p>
    <w:p>
      <w:pPr>
        <w:pStyle w:val="ListParagraph"/>
        <w:numPr>
          <w:ilvl w:val="0"/>
          <w:numId w:val="6"/>
        </w:numPr>
        <w:spacing w:lineRule="auto" w:line="240" w:before="0" w:after="0"/>
        <w:contextualSpacing/>
        <w:jc w:val="both"/>
        <w:rPr>
          <w:rFonts w:ascii="Times New Roman" w:hAnsi="Times New Roman"/>
          <w:sz w:val="24"/>
          <w:szCs w:val="24"/>
        </w:rPr>
      </w:pPr>
      <w:r>
        <w:rPr>
          <w:rFonts w:ascii="Times New Roman" w:hAnsi="Times New Roman"/>
          <w:b/>
          <w:sz w:val="24"/>
          <w:szCs w:val="24"/>
        </w:rPr>
        <w:t>Юридический адрес Лицензиата (Заказчика):</w:t>
      </w:r>
      <w:r>
        <w:rPr>
          <w:rFonts w:ascii="Times New Roman" w:hAnsi="Times New Roman"/>
          <w:sz w:val="24"/>
          <w:szCs w:val="24"/>
        </w:rPr>
        <w:t xml:space="preserve"> </w:t>
      </w:r>
      <w:r>
        <w:rPr>
          <w:rFonts w:ascii="Times New Roman" w:hAnsi="Times New Roman"/>
          <w:sz w:val="24"/>
          <w:szCs w:val="24"/>
          <w:lang w:val="en-US"/>
        </w:rPr>
        <w:t>____________________</w:t>
      </w:r>
    </w:p>
    <w:p>
      <w:pPr>
        <w:pStyle w:val="ListParagraph"/>
        <w:numPr>
          <w:ilvl w:val="0"/>
          <w:numId w:val="6"/>
        </w:numPr>
        <w:spacing w:lineRule="auto" w:line="240" w:before="0" w:after="0"/>
        <w:contextualSpacing/>
        <w:jc w:val="both"/>
        <w:rPr>
          <w:rFonts w:ascii="Times New Roman" w:hAnsi="Times New Roman"/>
          <w:sz w:val="24"/>
          <w:szCs w:val="24"/>
        </w:rPr>
      </w:pPr>
      <w:r>
        <w:rPr>
          <w:rFonts w:ascii="Times New Roman" w:hAnsi="Times New Roman"/>
          <w:b/>
          <w:sz w:val="24"/>
          <w:szCs w:val="24"/>
        </w:rPr>
        <w:t>Способ определения Лицензиара (Исполнителя):</w:t>
      </w:r>
      <w:r>
        <w:rPr>
          <w:rFonts w:ascii="Times New Roman" w:hAnsi="Times New Roman"/>
          <w:sz w:val="24"/>
          <w:szCs w:val="24"/>
        </w:rPr>
        <w:t xml:space="preserve"> закупка у единственного поставщика по 44 -ФЗ</w:t>
      </w:r>
    </w:p>
    <w:p>
      <w:pPr>
        <w:pStyle w:val="ListParagraph"/>
        <w:numPr>
          <w:ilvl w:val="0"/>
          <w:numId w:val="6"/>
        </w:numPr>
        <w:spacing w:lineRule="auto" w:line="240" w:before="0" w:after="0"/>
        <w:contextualSpacing/>
        <w:jc w:val="both"/>
        <w:rPr>
          <w:rFonts w:ascii="Times New Roman" w:hAnsi="Times New Roman"/>
          <w:sz w:val="24"/>
          <w:szCs w:val="24"/>
        </w:rPr>
      </w:pPr>
      <w:r>
        <w:rPr>
          <w:rFonts w:ascii="Times New Roman" w:hAnsi="Times New Roman"/>
          <w:b/>
          <w:sz w:val="24"/>
          <w:szCs w:val="24"/>
        </w:rPr>
        <w:t xml:space="preserve">Предмет закупки: </w:t>
      </w:r>
      <w:r>
        <w:rPr>
          <w:rFonts w:ascii="Times New Roman" w:hAnsi="Times New Roman"/>
          <w:sz w:val="24"/>
          <w:szCs w:val="24"/>
        </w:rPr>
        <w:t>продление</w:t>
      </w:r>
      <w:r>
        <w:rPr>
          <w:rFonts w:ascii="Times New Roman" w:hAnsi="Times New Roman"/>
          <w:b/>
          <w:sz w:val="24"/>
          <w:szCs w:val="24"/>
        </w:rPr>
        <w:t xml:space="preserve"> </w:t>
      </w:r>
      <w:r>
        <w:rPr>
          <w:rFonts w:ascii="Times New Roman" w:hAnsi="Times New Roman"/>
          <w:sz w:val="24"/>
          <w:szCs w:val="24"/>
        </w:rPr>
        <w:t>права использования на условиях простой (неисключительной) лицензии ПО «ПФХД 2.0» в составе «Электронный сервис «РАМЗЭС 2.0»</w:t>
      </w:r>
    </w:p>
    <w:p>
      <w:pPr>
        <w:pStyle w:val="ListParagraph"/>
        <w:numPr>
          <w:ilvl w:val="0"/>
          <w:numId w:val="6"/>
        </w:numPr>
        <w:spacing w:lineRule="auto" w:line="240" w:before="0" w:after="0"/>
        <w:contextualSpacing/>
        <w:jc w:val="both"/>
        <w:rPr>
          <w:rFonts w:ascii="PT Astra Serif" w:hAnsi="PT Astra Serif"/>
          <w:sz w:val="24"/>
          <w:szCs w:val="24"/>
        </w:rPr>
      </w:pPr>
      <w:r>
        <w:rPr>
          <w:rFonts w:ascii="PT Astra Serif" w:hAnsi="PT Astra Serif"/>
          <w:b/>
          <w:sz w:val="24"/>
          <w:szCs w:val="24"/>
        </w:rPr>
        <w:t xml:space="preserve">Описание предмета закупки: </w:t>
      </w:r>
      <w:r>
        <w:rPr>
          <w:rFonts w:ascii="PT Astra Serif" w:hAnsi="PT Astra Serif"/>
          <w:sz w:val="24"/>
        </w:rPr>
        <w:t>предоставление неисключительного срочного имущественного права - простой (неисключительной) лицензии на использование программного обеспечения «ПФХД 2.0» в составе программного продукта «Электронный сервис «РАМЗЭС 2.0» (зарегистрирован в реестре отечественного ПО 18.05.2017 г., рег. номер ПО: 3566 (класс ПО: информационные системы для решения специфических отраслевых задач, системы управления процессами организации), Свидетельство о государственной регистрации программ для ЭВМ № 2016618923 от 10 августа 2016 г., обладающего следующими характеристиками:</w:t>
      </w:r>
    </w:p>
    <w:p>
      <w:pPr>
        <w:pStyle w:val="ListParagraph"/>
        <w:numPr>
          <w:ilvl w:val="0"/>
          <w:numId w:val="9"/>
        </w:numPr>
        <w:spacing w:lineRule="auto" w:line="240" w:before="0" w:after="0"/>
        <w:contextualSpacing/>
        <w:jc w:val="both"/>
        <w:rPr>
          <w:rFonts w:ascii="PT Astra Serif" w:hAnsi="PT Astra Serif"/>
          <w:sz w:val="24"/>
          <w:szCs w:val="24"/>
        </w:rPr>
      </w:pPr>
      <w:r>
        <w:rPr>
          <w:rFonts w:ascii="PT Astra Serif" w:hAnsi="PT Astra Serif"/>
          <w:sz w:val="24"/>
          <w:szCs w:val="24"/>
        </w:rPr>
        <w:t>Технические и программные решения в Системе позволяют использовать функциональные возможности круглосуточно. Доступ к Системе организован через веб-браузер с любого устройства (персональный компьютер, планшет, смартфон), имеющего выход в сеть Интернет.</w:t>
      </w:r>
    </w:p>
    <w:p>
      <w:pPr>
        <w:pStyle w:val="ListParagraph"/>
        <w:numPr>
          <w:ilvl w:val="0"/>
          <w:numId w:val="9"/>
        </w:numPr>
        <w:spacing w:lineRule="auto" w:line="240" w:before="0" w:after="0"/>
        <w:contextualSpacing/>
        <w:jc w:val="both"/>
        <w:rPr>
          <w:rFonts w:ascii="PT Astra Serif" w:hAnsi="PT Astra Serif"/>
          <w:sz w:val="24"/>
          <w:szCs w:val="24"/>
        </w:rPr>
      </w:pPr>
      <w:r>
        <w:rPr>
          <w:rFonts w:ascii="PT Astra Serif" w:hAnsi="PT Astra Serif"/>
          <w:sz w:val="24"/>
          <w:szCs w:val="24"/>
        </w:rPr>
        <w:t xml:space="preserve">В качестве базового программного обеспечения (ПО) используется ПО, включенное в Единый реестр российских программ для электронных вычислительных машин и баз данных </w:t>
      </w:r>
      <w:hyperlink r:id="rId6">
        <w:r>
          <w:rPr>
            <w:rStyle w:val="-"/>
            <w:rFonts w:ascii="PT Astra Serif" w:hAnsi="PT Astra Serif"/>
          </w:rPr>
          <w:t>https://reestr.digital.gov.ru/reestr/</w:t>
        </w:r>
      </w:hyperlink>
      <w:r>
        <w:rPr>
          <w:rFonts w:ascii="PT Astra Serif" w:hAnsi="PT Astra Serif"/>
          <w:sz w:val="24"/>
          <w:szCs w:val="24"/>
        </w:rPr>
        <w:t xml:space="preserve"> на основании статьи 12.1 Федерального закона от 27.07.2006 № 149-ФЗ «Об информации, информационных технологиях и о защите информации». </w:t>
      </w:r>
    </w:p>
    <w:p>
      <w:pPr>
        <w:pStyle w:val="ListParagraph"/>
        <w:numPr>
          <w:ilvl w:val="0"/>
          <w:numId w:val="9"/>
        </w:numPr>
        <w:spacing w:lineRule="auto" w:line="240" w:before="0" w:after="0"/>
        <w:contextualSpacing/>
        <w:jc w:val="both"/>
        <w:rPr>
          <w:rFonts w:ascii="PT Astra Serif" w:hAnsi="PT Astra Serif"/>
          <w:sz w:val="24"/>
          <w:szCs w:val="24"/>
        </w:rPr>
      </w:pPr>
      <w:r>
        <w:rPr>
          <w:rFonts w:ascii="PT Astra Serif" w:hAnsi="PT Astra Serif"/>
          <w:sz w:val="24"/>
          <w:szCs w:val="24"/>
        </w:rPr>
        <w:t>В Системе используется единая база данных по сети бюджетных и автономных учреждений, подведомственных Управлению образования администрации города Тулы, в которой предусмотрена возможность чтения и записи данных пользователями.</w:t>
      </w:r>
    </w:p>
    <w:p>
      <w:pPr>
        <w:pStyle w:val="ListParagraph"/>
        <w:numPr>
          <w:ilvl w:val="0"/>
          <w:numId w:val="9"/>
        </w:numPr>
        <w:spacing w:lineRule="auto" w:line="240" w:before="0" w:after="0"/>
        <w:contextualSpacing/>
        <w:jc w:val="both"/>
        <w:rPr>
          <w:rFonts w:ascii="Times New Roman" w:hAnsi="Times New Roman"/>
          <w:sz w:val="24"/>
          <w:szCs w:val="24"/>
        </w:rPr>
      </w:pPr>
      <w:r>
        <w:rPr>
          <w:rFonts w:ascii="PT Astra Serif" w:hAnsi="PT Astra Serif"/>
          <w:sz w:val="24"/>
          <w:szCs w:val="24"/>
        </w:rPr>
        <w:t>Хранение базы данных реализовано в виде версий, соответствующих текущему финансовому году, с возможностью копирования и выгрузки реестров учреждений, услуг и с</w:t>
      </w:r>
      <w:r>
        <w:rPr>
          <w:rFonts w:ascii="PT Astra Serif" w:hAnsi="PT Astra Serif"/>
          <w:sz w:val="24"/>
          <w:szCs w:val="24"/>
          <w:shd w:fill="FFFFFF" w:val="clear"/>
        </w:rPr>
        <w:t>правочников Системы. Первичное формирование реестров и справочников производится посредством ввода данных через веб-интерфейс.</w:t>
      </w:r>
    </w:p>
    <w:p>
      <w:pPr>
        <w:pStyle w:val="Normal"/>
        <w:numPr>
          <w:ilvl w:val="0"/>
          <w:numId w:val="6"/>
        </w:numPr>
        <w:spacing w:before="0" w:after="0"/>
        <w:jc w:val="both"/>
        <w:rPr>
          <w:highlight w:val="none"/>
          <w:shd w:fill="FFFFFF" w:val="clear"/>
        </w:rPr>
      </w:pPr>
      <w:r>
        <w:rPr>
          <w:rFonts w:ascii="Times New Roman" w:hAnsi="Times New Roman"/>
          <w:b/>
          <w:sz w:val="24"/>
          <w:szCs w:val="24"/>
          <w:shd w:fill="FFFFFF" w:val="clear"/>
        </w:rPr>
        <w:t>Цель:</w:t>
      </w:r>
      <w:r>
        <w:rPr>
          <w:rFonts w:ascii="Times New Roman" w:hAnsi="Times New Roman"/>
          <w:sz w:val="24"/>
          <w:szCs w:val="24"/>
          <w:shd w:fill="FFFFFF" w:val="clear"/>
        </w:rPr>
        <w:t xml:space="preserve"> Повышение эффективности планово-экономической деятельности Учреждения в соответствии со стандартами главного распорядителя бюджетных средств, оперативности предоставления информации в Росморречфлот.</w:t>
      </w:r>
    </w:p>
    <w:p>
      <w:pPr>
        <w:pStyle w:val="ListParagraph"/>
        <w:numPr>
          <w:ilvl w:val="0"/>
          <w:numId w:val="6"/>
        </w:numPr>
        <w:spacing w:lineRule="auto" w:line="240" w:before="0" w:after="0"/>
        <w:contextualSpacing/>
        <w:jc w:val="both"/>
        <w:rPr>
          <w:rFonts w:ascii="Times New Roman" w:hAnsi="Times New Roman"/>
          <w:sz w:val="24"/>
          <w:szCs w:val="24"/>
        </w:rPr>
      </w:pPr>
      <w:r>
        <w:rPr>
          <w:rFonts w:ascii="Times New Roman" w:hAnsi="Times New Roman"/>
          <w:b/>
          <w:sz w:val="24"/>
          <w:szCs w:val="24"/>
        </w:rPr>
        <w:t xml:space="preserve">Срок действия лицензии: </w:t>
      </w:r>
      <w:r>
        <w:rPr>
          <w:rFonts w:ascii="Times New Roman" w:hAnsi="Times New Roman"/>
          <w:sz w:val="24"/>
          <w:szCs w:val="24"/>
        </w:rPr>
        <w:t>с «01» ноября 2026 г. по «31» октября 2027 г.</w:t>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560"/>
        <w:gridCol w:w="9918"/>
      </w:tblGrid>
      <w:tr>
        <w:trPr>
          <w:trHeight w:val="309" w:hRule="atLeast"/>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rPr>
                <w:rFonts w:ascii="Times New Roman" w:hAnsi="Times New Roman"/>
                <w:b/>
                <w:sz w:val="24"/>
                <w:szCs w:val="24"/>
              </w:rPr>
            </w:pPr>
            <w:r>
              <w:rPr>
                <w:rFonts w:ascii="Times New Roman" w:hAnsi="Times New Roman"/>
                <w:b/>
                <w:sz w:val="24"/>
                <w:szCs w:val="24"/>
              </w:rPr>
              <w:t xml:space="preserve">№ </w:t>
            </w:r>
            <w:r>
              <w:rPr>
                <w:rFonts w:ascii="Times New Roman" w:hAnsi="Times New Roman"/>
                <w:b/>
                <w:sz w:val="24"/>
                <w:szCs w:val="24"/>
              </w:rPr>
              <w:t>п/п</w:t>
            </w:r>
          </w:p>
        </w:tc>
        <w:tc>
          <w:tcPr>
            <w:tcW w:w="9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rFonts w:ascii="Times New Roman" w:hAnsi="Times New Roman"/>
                <w:b/>
                <w:sz w:val="24"/>
                <w:szCs w:val="24"/>
              </w:rPr>
            </w:pPr>
            <w:r>
              <w:rPr>
                <w:rFonts w:ascii="Times New Roman" w:hAnsi="Times New Roman"/>
                <w:b/>
                <w:sz w:val="24"/>
                <w:szCs w:val="24"/>
              </w:rPr>
              <w:t>Состав передаваемых прав и услуг</w:t>
            </w:r>
          </w:p>
        </w:tc>
      </w:tr>
      <w:tr>
        <w:trPr>
          <w:trHeight w:val="1081" w:hRule="atLeast"/>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rFonts w:ascii="Times New Roman" w:hAnsi="Times New Roman"/>
                <w:sz w:val="24"/>
                <w:szCs w:val="24"/>
              </w:rPr>
            </w:pPr>
            <w:r>
              <w:rPr>
                <w:rFonts w:ascii="Times New Roman" w:hAnsi="Times New Roman"/>
                <w:sz w:val="24"/>
                <w:szCs w:val="24"/>
              </w:rPr>
              <w:t>1.</w:t>
            </w:r>
          </w:p>
        </w:tc>
        <w:tc>
          <w:tcPr>
            <w:tcW w:w="9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rPr>
                <w:rFonts w:ascii="Times New Roman" w:hAnsi="Times New Roman"/>
                <w:sz w:val="24"/>
                <w:szCs w:val="24"/>
              </w:rPr>
            </w:pPr>
            <w:r>
              <w:rPr>
                <w:rFonts w:ascii="Times New Roman" w:hAnsi="Times New Roman"/>
                <w:sz w:val="24"/>
                <w:szCs w:val="24"/>
              </w:rPr>
              <w:t xml:space="preserve">Продление </w:t>
            </w:r>
            <w:bookmarkStart w:id="45" w:name="_Hlk498609596"/>
            <w:r>
              <w:rPr>
                <w:rFonts w:ascii="Times New Roman" w:hAnsi="Times New Roman"/>
                <w:sz w:val="24"/>
                <w:szCs w:val="24"/>
              </w:rPr>
              <w:t>простой неисключительной лицензии на использование программного обеспечения «ПФХД 2.0» (роль «Филиал») в составе программного продукта «Электронный сервис «РАМЗЭС 2.0»:</w:t>
            </w:r>
            <w:bookmarkEnd w:id="45"/>
          </w:p>
        </w:tc>
      </w:tr>
      <w:tr>
        <w:trPr>
          <w:trHeight w:val="559" w:hRule="atLeast"/>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rFonts w:ascii="Times New Roman" w:hAnsi="Times New Roman"/>
                <w:sz w:val="24"/>
                <w:szCs w:val="24"/>
              </w:rPr>
            </w:pPr>
            <w:r>
              <w:rPr>
                <w:rFonts w:ascii="Times New Roman" w:hAnsi="Times New Roman"/>
                <w:sz w:val="24"/>
                <w:szCs w:val="24"/>
              </w:rPr>
              <w:t>2.</w:t>
            </w:r>
          </w:p>
        </w:tc>
        <w:tc>
          <w:tcPr>
            <w:tcW w:w="9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rPr>
                <w:rFonts w:ascii="Times New Roman" w:hAnsi="Times New Roman"/>
                <w:sz w:val="24"/>
                <w:szCs w:val="24"/>
              </w:rPr>
            </w:pPr>
            <w:r>
              <w:rPr>
                <w:rFonts w:ascii="Times New Roman" w:hAnsi="Times New Roman"/>
                <w:sz w:val="24"/>
                <w:szCs w:val="24"/>
              </w:rPr>
              <w:t>Консультационно-методическая поддержка по стандарту Соглашения об уровне предоставления услуги (Service Level Agreement, SLA), доступного по постоянному адресу публикации в сети Интернет:</w:t>
            </w:r>
            <w:r>
              <w:rPr>
                <w:rFonts w:ascii="Times New Roman" w:hAnsi="Times New Roman"/>
                <w:sz w:val="24"/>
                <w:szCs w:val="24"/>
                <w:shd w:fill="FFFF00" w:val="clear"/>
              </w:rPr>
              <w:t xml:space="preserve"> </w:t>
            </w:r>
            <w:hyperlink r:id="rId7">
              <w:r>
                <w:rPr>
                  <w:rStyle w:val="-"/>
                  <w:rFonts w:ascii="Times New Roman" w:hAnsi="Times New Roman"/>
                  <w:sz w:val="24"/>
                  <w:szCs w:val="24"/>
                  <w:shd w:fill="FFFF00" w:val="clear"/>
                </w:rPr>
                <w:t>___________</w:t>
              </w:r>
            </w:hyperlink>
            <w:r>
              <w:rPr>
                <w:rFonts w:ascii="Times New Roman" w:hAnsi="Times New Roman"/>
                <w:sz w:val="24"/>
                <w:szCs w:val="24"/>
                <w:shd w:fill="FFFF00" w:val="clear"/>
              </w:rPr>
              <w:t xml:space="preserve"> </w:t>
            </w:r>
          </w:p>
        </w:tc>
      </w:tr>
      <w:tr>
        <w:trPr>
          <w:trHeight w:val="559" w:hRule="atLeast"/>
        </w:trPr>
        <w:tc>
          <w:tcPr>
            <w:tcW w:w="5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jc w:val="center"/>
              <w:rPr>
                <w:rFonts w:ascii="Times New Roman" w:hAnsi="Times New Roman"/>
                <w:sz w:val="24"/>
                <w:szCs w:val="24"/>
              </w:rPr>
            </w:pPr>
            <w:r>
              <w:rPr>
                <w:rFonts w:ascii="Times New Roman" w:hAnsi="Times New Roman"/>
                <w:sz w:val="24"/>
                <w:szCs w:val="24"/>
              </w:rPr>
              <w:t>3.</w:t>
            </w:r>
          </w:p>
        </w:tc>
        <w:tc>
          <w:tcPr>
            <w:tcW w:w="991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contextualSpacing/>
              <w:rPr>
                <w:rFonts w:ascii="Times New Roman" w:hAnsi="Times New Roman"/>
                <w:sz w:val="24"/>
                <w:szCs w:val="24"/>
              </w:rPr>
            </w:pPr>
            <w:r>
              <w:rPr>
                <w:rFonts w:ascii="Times New Roman" w:hAnsi="Times New Roman"/>
                <w:sz w:val="24"/>
                <w:szCs w:val="24"/>
              </w:rPr>
              <w:t xml:space="preserve">Техническое сопровождение по стандарту Соглашения об уровне предоставления услуги (Service Level Agreement, SLA), доступного по постоянному адресу публикации в сети Интернет: </w:t>
            </w:r>
            <w:r>
              <w:rPr>
                <w:rStyle w:val="-"/>
                <w:rFonts w:ascii="Times New Roman" w:hAnsi="Times New Roman"/>
                <w:sz w:val="24"/>
                <w:szCs w:val="24"/>
                <w:shd w:fill="FFFF00" w:val="clear"/>
              </w:rPr>
              <w:t>______________</w:t>
            </w:r>
          </w:p>
        </w:tc>
      </w:tr>
    </w:tbl>
    <w:p>
      <w:pPr>
        <w:pStyle w:val="Normal"/>
        <w:numPr>
          <w:ilvl w:val="0"/>
          <w:numId w:val="6"/>
        </w:numPr>
        <w:spacing w:before="0" w:after="0"/>
        <w:jc w:val="both"/>
        <w:rPr>
          <w:rFonts w:ascii="Times New Roman" w:hAnsi="Times New Roman"/>
          <w:sz w:val="24"/>
          <w:szCs w:val="24"/>
        </w:rPr>
      </w:pPr>
      <w:r>
        <w:rPr>
          <w:rFonts w:ascii="Times New Roman" w:hAnsi="Times New Roman"/>
          <w:b/>
          <w:color w:val="000000"/>
          <w:sz w:val="24"/>
          <w:szCs w:val="24"/>
        </w:rPr>
        <w:t>Требования к Лицензиару (Исполнителю):</w:t>
      </w:r>
      <w:r>
        <w:rPr>
          <w:rFonts w:ascii="Times New Roman" w:hAnsi="Times New Roman"/>
          <w:color w:val="000000"/>
          <w:sz w:val="24"/>
          <w:szCs w:val="24"/>
        </w:rPr>
        <w:t xml:space="preserve"> при лицензионном сопровождении соблюдать стандарты Соглашения об уровне предоставления услуги (Service Level Agreement, SLA, </w:t>
      </w:r>
      <w:r>
        <w:rPr>
          <w:rStyle w:val="-"/>
          <w:rFonts w:ascii="Times New Roman" w:hAnsi="Times New Roman"/>
          <w:sz w:val="24"/>
          <w:szCs w:val="24"/>
          <w:shd w:fill="FFFF00" w:val="clear"/>
        </w:rPr>
        <w:t>______________</w:t>
      </w:r>
      <w:r>
        <w:rPr>
          <w:rFonts w:ascii="Times New Roman" w:hAnsi="Times New Roman"/>
          <w:color w:val="000000"/>
          <w:sz w:val="24"/>
          <w:szCs w:val="24"/>
          <w:shd w:fill="FFFF00" w:val="clear"/>
        </w:rPr>
        <w:t>)</w:t>
      </w:r>
      <w:r>
        <w:rPr>
          <w:rFonts w:ascii="Times New Roman" w:hAnsi="Times New Roman"/>
          <w:color w:val="000000"/>
          <w:sz w:val="24"/>
          <w:szCs w:val="24"/>
        </w:rPr>
        <w:t>, не передавать и не показывать третьим лицам находящуюся у Исполнителя документацию Заказчика, а также конфиденциальную информацию.</w:t>
      </w:r>
      <w:r>
        <w:rPr>
          <w:rFonts w:ascii="Times New Roman" w:hAnsi="Times New Roman"/>
          <w:sz w:val="24"/>
          <w:szCs w:val="24"/>
        </w:rPr>
        <w:t xml:space="preserve"> Привлечение соисполнителей при оказании услуг не допускается.</w:t>
      </w:r>
    </w:p>
    <w:p>
      <w:pPr>
        <w:pStyle w:val="ListParagraph"/>
        <w:numPr>
          <w:ilvl w:val="0"/>
          <w:numId w:val="6"/>
        </w:numPr>
        <w:spacing w:lineRule="auto" w:line="240" w:before="0" w:after="0"/>
        <w:contextualSpacing/>
        <w:jc w:val="both"/>
        <w:rPr>
          <w:rFonts w:ascii="Times New Roman" w:hAnsi="Times New Roman"/>
          <w:b/>
          <w:sz w:val="24"/>
          <w:szCs w:val="24"/>
        </w:rPr>
      </w:pPr>
      <w:r>
        <w:rPr>
          <w:rFonts w:ascii="Times New Roman" w:hAnsi="Times New Roman"/>
          <w:b/>
          <w:color w:val="000000"/>
          <w:sz w:val="24"/>
          <w:szCs w:val="24"/>
        </w:rPr>
        <w:t xml:space="preserve">Спецификация </w:t>
      </w:r>
    </w:p>
    <w:tbl>
      <w:tblPr>
        <w:tblW w:w="10580" w:type="dxa"/>
        <w:jc w:val="left"/>
        <w:tblInd w:w="137" w:type="dxa"/>
        <w:tblLayout w:type="fixed"/>
        <w:tblCellMar>
          <w:top w:w="0" w:type="dxa"/>
          <w:left w:w="103" w:type="dxa"/>
          <w:bottom w:w="0" w:type="dxa"/>
          <w:right w:w="108" w:type="dxa"/>
        </w:tblCellMar>
        <w:tblLook w:firstRow="1" w:noVBand="1" w:lastRow="0" w:firstColumn="1" w:lastColumn="0" w:noHBand="0" w:val="04a0"/>
      </w:tblPr>
      <w:tblGrid>
        <w:gridCol w:w="592"/>
        <w:gridCol w:w="1567"/>
        <w:gridCol w:w="8421"/>
      </w:tblGrid>
      <w:tr>
        <w:trPr>
          <w:tblHeader w:val="true"/>
        </w:trPr>
        <w:tc>
          <w:tcPr>
            <w:tcW w:w="592"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Times New Roman" w:hAnsi="Times New Roman"/>
                <w:b/>
                <w:bCs/>
              </w:rPr>
            </w:pPr>
            <w:r>
              <w:rPr>
                <w:rFonts w:ascii="Times New Roman" w:hAnsi="Times New Roman"/>
                <w:b/>
                <w:bCs/>
              </w:rPr>
              <w:t xml:space="preserve">№ </w:t>
            </w:r>
            <w:r>
              <w:rPr>
                <w:rFonts w:ascii="Times New Roman" w:hAnsi="Times New Roman"/>
                <w:b/>
                <w:bCs/>
              </w:rPr>
              <w:t>п/п</w:t>
            </w:r>
          </w:p>
        </w:tc>
        <w:tc>
          <w:tcPr>
            <w:tcW w:w="9988" w:type="dxa"/>
            <w:gridSpan w:val="2"/>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widowControl w:val="false"/>
              <w:spacing w:lineRule="auto" w:line="240" w:before="0" w:after="0"/>
              <w:jc w:val="center"/>
              <w:rPr>
                <w:rFonts w:ascii="Times New Roman" w:hAnsi="Times New Roman"/>
                <w:b/>
                <w:bCs/>
              </w:rPr>
            </w:pPr>
            <w:r>
              <w:rPr>
                <w:rFonts w:ascii="Times New Roman" w:hAnsi="Times New Roman"/>
                <w:b/>
                <w:bCs/>
              </w:rPr>
              <w:t>Подсистема/модуль – выполняемые функции</w:t>
            </w:r>
          </w:p>
        </w:tc>
      </w:tr>
      <w:tr>
        <w:trPr/>
        <w:tc>
          <w:tcPr>
            <w:tcW w:w="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w:t>
            </w:r>
          </w:p>
        </w:tc>
        <w:tc>
          <w:tcPr>
            <w:tcW w:w="998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Функциональные подсистемы:</w:t>
            </w:r>
          </w:p>
        </w:tc>
      </w:tr>
      <w:tr>
        <w:trPr/>
        <w:tc>
          <w:tcPr>
            <w:tcW w:w="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1.1</w:t>
            </w:r>
          </w:p>
        </w:tc>
        <w:tc>
          <w:tcPr>
            <w:tcW w:w="1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«Доходы»</w:t>
            </w:r>
          </w:p>
        </w:tc>
        <w:tc>
          <w:tcPr>
            <w:tcW w:w="8421"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Лимиты финансирования с историей изменений.</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Планирование доходов (внебюджет).</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Формирование графика перечисления субсидий из бюджета.</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Сохранение истории изменения доходов (соглашения/допсоглашения).</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Реквизиты учреждения.</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Хранение данных об остатках на начало года и показателях финансового состояния учреждения.</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Статусная модель заполнения данных.</w:t>
            </w:r>
          </w:p>
        </w:tc>
      </w:tr>
      <w:tr>
        <w:trPr/>
        <w:tc>
          <w:tcPr>
            <w:tcW w:w="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1.2</w:t>
            </w:r>
          </w:p>
        </w:tc>
        <w:tc>
          <w:tcPr>
            <w:tcW w:w="1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«Затраты»</w:t>
            </w:r>
          </w:p>
        </w:tc>
        <w:tc>
          <w:tcPr>
            <w:tcW w:w="8421"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Планирование затрат по видам финансового обеспечения (бюджет, внебюджет).</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Распределение затрат по услугам/работам (госзадание).</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Расчет нормативных затрат и поправочных коэффициентов.</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Реестр субсидий на иные цели.</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История изменений плановых затрат.</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Кассовые расходы по кварталам финансового года.</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Сохранение истории изменений затрат («передвижек»).</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Статусная модель заполнения данных.</w:t>
            </w:r>
          </w:p>
        </w:tc>
      </w:tr>
      <w:tr>
        <w:trPr/>
        <w:tc>
          <w:tcPr>
            <w:tcW w:w="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1.3</w:t>
            </w:r>
          </w:p>
        </w:tc>
        <w:tc>
          <w:tcPr>
            <w:tcW w:w="1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«Показатели»</w:t>
            </w:r>
          </w:p>
        </w:tc>
        <w:tc>
          <w:tcPr>
            <w:tcW w:w="8421"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Формирование государственного задания и контроль выполнения установленных показателей объема и качества.</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Поквартальное планирование объемов государственное задания.</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Фактическое исполнение объемов государственного задания.</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Статусная модель заполнения данных.</w:t>
            </w:r>
          </w:p>
        </w:tc>
      </w:tr>
      <w:tr>
        <w:trPr/>
        <w:tc>
          <w:tcPr>
            <w:tcW w:w="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1.4</w:t>
            </w:r>
          </w:p>
        </w:tc>
        <w:tc>
          <w:tcPr>
            <w:tcW w:w="1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«ЭДО»</w:t>
            </w:r>
          </w:p>
        </w:tc>
        <w:tc>
          <w:tcPr>
            <w:tcW w:w="8421"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Создание редакций электронных документов.</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Применение сертификатов усиленной квалифицированной электронной подписи.</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Статусы редакций ЭДО «Формирование», «На проверке», «Проверен», «На доработке», «Утвержден».</w:t>
            </w:r>
          </w:p>
        </w:tc>
      </w:tr>
      <w:tr>
        <w:trPr/>
        <w:tc>
          <w:tcPr>
            <w:tcW w:w="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1.5</w:t>
            </w:r>
          </w:p>
        </w:tc>
        <w:tc>
          <w:tcPr>
            <w:tcW w:w="1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«Обоснования ПФХД»</w:t>
            </w:r>
          </w:p>
        </w:tc>
        <w:tc>
          <w:tcPr>
            <w:tcW w:w="8421"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«Расчеты (обоснования) выплат персоналу (строка 210)».</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«Расчеты (обоснования) расходов на социальные и иные выплаты населению».</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 (обоснование) расходов на уплату налогов, сборов и иных платежей».</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 (обоснование) расходов на безвозмездные перечисления организациям».</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 (обоснование) прочих расходов».</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Форма «Расчет (обоснование) расходов на закупку товаров, работ, услуг».</w:t>
            </w:r>
          </w:p>
          <w:p>
            <w:pPr>
              <w:pStyle w:val="ListParagraph"/>
              <w:widowControl w:val="false"/>
              <w:numPr>
                <w:ilvl w:val="0"/>
                <w:numId w:val="7"/>
              </w:numPr>
              <w:spacing w:lineRule="auto" w:line="240" w:before="0" w:after="0"/>
              <w:ind w:left="293" w:hanging="255"/>
              <w:contextualSpacing/>
              <w:rPr>
                <w:rFonts w:ascii="Times New Roman" w:hAnsi="Times New Roman"/>
              </w:rPr>
            </w:pPr>
            <w:r>
              <w:rPr>
                <w:rFonts w:ascii="Times New Roman" w:hAnsi="Times New Roman"/>
              </w:rPr>
              <w:t>Формы расчетов (обоснований) доходов к ПФХД</w:t>
            </w:r>
          </w:p>
        </w:tc>
      </w:tr>
      <w:tr>
        <w:trPr/>
        <w:tc>
          <w:tcPr>
            <w:tcW w:w="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2</w:t>
            </w:r>
          </w:p>
        </w:tc>
        <w:tc>
          <w:tcPr>
            <w:tcW w:w="9988"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ind w:left="293" w:hanging="255"/>
              <w:rPr>
                <w:rFonts w:ascii="Times New Roman" w:hAnsi="Times New Roman"/>
              </w:rPr>
            </w:pPr>
            <w:r>
              <w:rPr>
                <w:rFonts w:ascii="Times New Roman" w:hAnsi="Times New Roman"/>
              </w:rPr>
              <w:t>Общесистемные модули:</w:t>
            </w:r>
          </w:p>
        </w:tc>
      </w:tr>
      <w:tr>
        <w:trPr>
          <w:trHeight w:val="589" w:hRule="atLeast"/>
        </w:trPr>
        <w:tc>
          <w:tcPr>
            <w:tcW w:w="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2.1</w:t>
            </w:r>
          </w:p>
        </w:tc>
        <w:tc>
          <w:tcPr>
            <w:tcW w:w="1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«Главная»</w:t>
            </w:r>
          </w:p>
        </w:tc>
        <w:tc>
          <w:tcPr>
            <w:tcW w:w="8421"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8"/>
              </w:numPr>
              <w:spacing w:lineRule="auto" w:line="240" w:before="0" w:after="0"/>
              <w:ind w:left="293" w:hanging="255"/>
              <w:contextualSpacing/>
              <w:rPr>
                <w:rFonts w:ascii="Times New Roman" w:hAnsi="Times New Roman"/>
              </w:rPr>
            </w:pPr>
            <w:r>
              <w:rPr>
                <w:rFonts w:ascii="Times New Roman" w:hAnsi="Times New Roman"/>
              </w:rPr>
              <w:t>Новостная лента сообщений для пользователя (системные и организационные уведомления)</w:t>
            </w:r>
          </w:p>
        </w:tc>
      </w:tr>
      <w:tr>
        <w:trPr/>
        <w:tc>
          <w:tcPr>
            <w:tcW w:w="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2.2</w:t>
            </w:r>
          </w:p>
        </w:tc>
        <w:tc>
          <w:tcPr>
            <w:tcW w:w="1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 xml:space="preserve"> </w:t>
            </w:r>
            <w:r>
              <w:rPr>
                <w:rFonts w:ascii="Times New Roman" w:hAnsi="Times New Roman"/>
              </w:rPr>
              <w:t>«Центр сообщений»</w:t>
            </w:r>
          </w:p>
        </w:tc>
        <w:tc>
          <w:tcPr>
            <w:tcW w:w="8421"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8"/>
              </w:numPr>
              <w:spacing w:lineRule="auto" w:line="240" w:before="0" w:after="0"/>
              <w:ind w:left="293" w:hanging="255"/>
              <w:contextualSpacing/>
              <w:rPr>
                <w:rFonts w:ascii="Times New Roman" w:hAnsi="Times New Roman"/>
              </w:rPr>
            </w:pPr>
            <w:r>
              <w:rPr>
                <w:rFonts w:ascii="Times New Roman" w:hAnsi="Times New Roman"/>
              </w:rPr>
              <w:t>Обмен сообщениями со службой поддержки, пользователем с ролью «ГРБС».</w:t>
            </w:r>
          </w:p>
        </w:tc>
      </w:tr>
      <w:tr>
        <w:trPr/>
        <w:tc>
          <w:tcPr>
            <w:tcW w:w="5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2.3</w:t>
            </w:r>
          </w:p>
        </w:tc>
        <w:tc>
          <w:tcPr>
            <w:tcW w:w="15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rPr>
            </w:pPr>
            <w:r>
              <w:rPr>
                <w:rFonts w:ascii="Times New Roman" w:hAnsi="Times New Roman"/>
              </w:rPr>
              <w:t>«Документы»</w:t>
            </w:r>
          </w:p>
        </w:tc>
        <w:tc>
          <w:tcPr>
            <w:tcW w:w="8421"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numPr>
                <w:ilvl w:val="0"/>
                <w:numId w:val="8"/>
              </w:numPr>
              <w:spacing w:lineRule="auto" w:line="240" w:before="0" w:after="0"/>
              <w:ind w:left="293" w:hanging="255"/>
              <w:contextualSpacing/>
              <w:rPr>
                <w:rFonts w:ascii="Times New Roman" w:hAnsi="Times New Roman"/>
              </w:rPr>
            </w:pPr>
            <w:r>
              <w:rPr>
                <w:rFonts w:ascii="Times New Roman" w:hAnsi="Times New Roman"/>
              </w:rPr>
              <w:t>Хранение, добавление и редактирование файлов пользователя.</w:t>
            </w:r>
          </w:p>
        </w:tc>
      </w:tr>
    </w:tbl>
    <w:p>
      <w:pPr>
        <w:pStyle w:val="ListParagraph"/>
        <w:suppressAutoHyphens w:val="true"/>
        <w:spacing w:lineRule="auto" w:line="240" w:before="0" w:after="0"/>
        <w:ind w:left="567" w:hanging="0"/>
        <w:contextualSpacing w:val="false"/>
        <w:jc w:val="both"/>
        <w:rPr>
          <w:rFonts w:ascii="Times New Roman" w:hAnsi="Times New Roman"/>
          <w:b/>
          <w:bCs/>
          <w:sz w:val="24"/>
          <w:szCs w:val="24"/>
        </w:rPr>
      </w:pPr>
      <w:r>
        <w:rPr>
          <w:rFonts w:ascii="Times New Roman" w:hAnsi="Times New Roman"/>
          <w:b/>
          <w:bCs/>
          <w:sz w:val="24"/>
          <w:szCs w:val="24"/>
        </w:rPr>
      </w:r>
    </w:p>
    <w:p>
      <w:pPr>
        <w:pStyle w:val="ListParagraph"/>
        <w:numPr>
          <w:ilvl w:val="0"/>
          <w:numId w:val="5"/>
        </w:numPr>
        <w:tabs>
          <w:tab w:val="clear" w:pos="709"/>
          <w:tab w:val="left" w:pos="993" w:leader="none"/>
        </w:tabs>
        <w:suppressAutoHyphens w:val="true"/>
        <w:spacing w:lineRule="auto" w:line="240" w:before="0" w:after="0"/>
        <w:ind w:left="0" w:firstLine="567"/>
        <w:contextualSpacing w:val="false"/>
        <w:jc w:val="both"/>
        <w:rPr>
          <w:rFonts w:ascii="Times New Roman" w:hAnsi="Times New Roman"/>
          <w:b/>
          <w:bCs/>
          <w:sz w:val="24"/>
          <w:szCs w:val="24"/>
        </w:rPr>
      </w:pPr>
      <w:r>
        <w:rPr>
          <w:rFonts w:ascii="Times New Roman" w:hAnsi="Times New Roman"/>
          <w:b/>
          <w:bCs/>
          <w:sz w:val="24"/>
          <w:szCs w:val="24"/>
        </w:rPr>
        <w:t>Количество учетных записей пользователей с ролью «филиал» - 1.</w:t>
      </w:r>
    </w:p>
    <w:p>
      <w:pPr>
        <w:pStyle w:val="ListParagraph"/>
        <w:numPr>
          <w:ilvl w:val="0"/>
          <w:numId w:val="5"/>
        </w:numPr>
        <w:tabs>
          <w:tab w:val="clear" w:pos="709"/>
          <w:tab w:val="left" w:pos="993" w:leader="none"/>
        </w:tabs>
        <w:suppressAutoHyphens w:val="true"/>
        <w:spacing w:lineRule="auto" w:line="240" w:before="0" w:after="0"/>
        <w:ind w:left="0" w:firstLine="567"/>
        <w:contextualSpacing w:val="false"/>
        <w:jc w:val="both"/>
        <w:rPr>
          <w:rFonts w:ascii="Times New Roman" w:hAnsi="Times New Roman"/>
          <w:b/>
          <w:bCs/>
          <w:sz w:val="24"/>
          <w:szCs w:val="24"/>
        </w:rPr>
      </w:pPr>
      <w:r>
        <w:rPr>
          <w:rFonts w:ascii="Times New Roman" w:hAnsi="Times New Roman"/>
          <w:b/>
          <w:sz w:val="24"/>
          <w:szCs w:val="24"/>
        </w:rPr>
        <w:t>Соответствие требованиям, установленным НПА Российской Федерации:</w:t>
      </w:r>
    </w:p>
    <w:p>
      <w:pPr>
        <w:pStyle w:val="Normal"/>
        <w:spacing w:lineRule="auto" w:line="240" w:before="0" w:after="0"/>
        <w:ind w:firstLine="567"/>
        <w:jc w:val="both"/>
        <w:rPr>
          <w:rFonts w:ascii="Times New Roman" w:hAnsi="Times New Roman"/>
          <w:spacing w:val="-8"/>
          <w:sz w:val="24"/>
          <w:szCs w:val="24"/>
        </w:rPr>
      </w:pPr>
      <w:r>
        <w:rPr>
          <w:rFonts w:ascii="Times New Roman" w:hAnsi="Times New Roman"/>
          <w:spacing w:val="-8"/>
          <w:sz w:val="24"/>
          <w:szCs w:val="24"/>
        </w:rPr>
        <w:t xml:space="preserve">В качестве базового программного обеспечения (ПО) используется ПО, включенное в Единый реестр российских программ для электронных вычислительных машин и баз данных </w:t>
      </w:r>
      <w:hyperlink r:id="rId8">
        <w:r>
          <w:rPr>
            <w:rStyle w:val="-"/>
            <w:rFonts w:ascii="Times New Roman" w:hAnsi="Times New Roman"/>
            <w:spacing w:val="-8"/>
            <w:sz w:val="24"/>
            <w:szCs w:val="24"/>
          </w:rPr>
          <w:t>https://reestr.digital.gov.ru/reestr/</w:t>
        </w:r>
      </w:hyperlink>
      <w:r>
        <w:rPr>
          <w:rFonts w:ascii="Times New Roman" w:hAnsi="Times New Roman"/>
          <w:spacing w:val="-8"/>
          <w:sz w:val="24"/>
          <w:szCs w:val="24"/>
        </w:rPr>
        <w:t xml:space="preserve">  на основании статьи 12.1 Федерального закона от 27.07.2006 № 149-ФЗ «Об информации, информационных технологиях и о защите информации».</w:t>
      </w:r>
    </w:p>
    <w:p>
      <w:pPr>
        <w:pStyle w:val="ListParagraph"/>
        <w:numPr>
          <w:ilvl w:val="0"/>
          <w:numId w:val="5"/>
        </w:numPr>
        <w:tabs>
          <w:tab w:val="clear" w:pos="709"/>
          <w:tab w:val="left" w:pos="993" w:leader="none"/>
        </w:tabs>
        <w:suppressAutoHyphens w:val="true"/>
        <w:spacing w:lineRule="auto" w:line="240" w:before="0" w:after="0"/>
        <w:ind w:left="0" w:firstLine="567"/>
        <w:contextualSpacing w:val="false"/>
        <w:jc w:val="both"/>
        <w:rPr>
          <w:rFonts w:ascii="Times New Roman" w:hAnsi="Times New Roman"/>
          <w:b/>
          <w:spacing w:val="-8"/>
          <w:sz w:val="24"/>
          <w:szCs w:val="24"/>
        </w:rPr>
      </w:pPr>
      <w:bookmarkStart w:id="46" w:name="_Toc400556303"/>
      <w:r>
        <w:rPr>
          <w:rFonts w:ascii="Times New Roman" w:hAnsi="Times New Roman"/>
          <w:b/>
          <w:spacing w:val="-8"/>
          <w:sz w:val="24"/>
          <w:szCs w:val="24"/>
        </w:rPr>
        <w:t>Прочие требования</w:t>
      </w:r>
      <w:bookmarkEnd w:id="46"/>
    </w:p>
    <w:p>
      <w:pPr>
        <w:pStyle w:val="Normal"/>
        <w:spacing w:lineRule="auto" w:line="240" w:before="0" w:after="0"/>
        <w:ind w:firstLine="567"/>
        <w:jc w:val="both"/>
        <w:rPr>
          <w:rFonts w:ascii="Times New Roman" w:hAnsi="Times New Roman"/>
          <w:spacing w:val="-8"/>
          <w:sz w:val="24"/>
          <w:szCs w:val="24"/>
        </w:rPr>
      </w:pPr>
      <w:r>
        <w:rPr>
          <w:rFonts w:ascii="Times New Roman" w:hAnsi="Times New Roman"/>
          <w:spacing w:val="-8"/>
          <w:sz w:val="24"/>
          <w:szCs w:val="24"/>
        </w:rPr>
        <w:t>Лицензионное сопровождение Лицензиату (Заказчику) должно оказываться персоналом Лицензиара (Исполнителя), прошедшим обучение и тестирование, по оказанию консультационно-методологических услуг по работе с программным обеспечением «ПФХД 2.0» в составе программного продукта «Электронный сервис «РАМЗЭС 2.0». Численность персонала Лицензиара (Исполнителя) должна быть достаточной для качественного исполнения обязательств для Лицензиата (Заказчика).</w:t>
      </w:r>
    </w:p>
    <w:p>
      <w:pPr>
        <w:pStyle w:val="Normal"/>
        <w:spacing w:lineRule="auto" w:line="240" w:before="0" w:after="0"/>
        <w:ind w:firstLine="567"/>
        <w:jc w:val="both"/>
        <w:rPr>
          <w:rFonts w:ascii="Times New Roman" w:hAnsi="Times New Roman"/>
          <w:spacing w:val="-8"/>
          <w:sz w:val="24"/>
          <w:szCs w:val="24"/>
        </w:rPr>
      </w:pPr>
      <w:r>
        <w:rPr>
          <w:rFonts w:ascii="Times New Roman" w:hAnsi="Times New Roman"/>
          <w:spacing w:val="-8"/>
          <w:sz w:val="24"/>
          <w:szCs w:val="24"/>
        </w:rPr>
        <w:t>Специалисты должны иметь высшее экономическое/финансовое образование, знать предметную область планирования и исполнения бюджета, быть уверенным пользователем ПК, знать офисные приложения, понимать технологии поэтапной обработки информации и распределение ролей пользователей в отраслевом ресурсе.</w:t>
      </w:r>
    </w:p>
    <w:p>
      <w:pPr>
        <w:pStyle w:val="Normal"/>
        <w:spacing w:lineRule="auto" w:line="240" w:before="0" w:after="0"/>
        <w:ind w:firstLine="567"/>
        <w:jc w:val="both"/>
        <w:rPr>
          <w:rFonts w:ascii="Times New Roman" w:hAnsi="Times New Roman"/>
          <w:spacing w:val="-8"/>
          <w:sz w:val="24"/>
          <w:szCs w:val="24"/>
        </w:rPr>
      </w:pPr>
      <w:r>
        <w:rPr>
          <w:rFonts w:ascii="Times New Roman" w:hAnsi="Times New Roman"/>
          <w:spacing w:val="-8"/>
          <w:sz w:val="24"/>
          <w:szCs w:val="24"/>
        </w:rPr>
        <w:t>Исполнитель (Лицензиар) обязан обеспечить стабильную и корректную работу каналов связи Лицензиата (Заказчика) с Лицензиаром (Исполнителем), вести учет заявок/обращений Лицензиата (Заказчика).</w:t>
      </w:r>
    </w:p>
    <w:p>
      <w:pPr>
        <w:pStyle w:val="Normal"/>
        <w:spacing w:lineRule="auto" w:line="240" w:before="0" w:after="0"/>
        <w:ind w:firstLine="142"/>
        <w:jc w:val="center"/>
        <w:rPr>
          <w:rFonts w:ascii="Times New Roman" w:hAnsi="Times New Roman"/>
          <w:b/>
          <w:sz w:val="24"/>
          <w:szCs w:val="24"/>
          <w:lang w:bidi="ru-RU"/>
        </w:rPr>
      </w:pPr>
      <w:r>
        <w:rPr>
          <w:rFonts w:ascii="Times New Roman" w:hAnsi="Times New Roman"/>
          <w:b/>
          <w:sz w:val="24"/>
          <w:szCs w:val="24"/>
          <w:lang w:bidi="ru-RU"/>
        </w:rPr>
      </w:r>
    </w:p>
    <w:p>
      <w:pPr>
        <w:pStyle w:val="Normal"/>
        <w:spacing w:lineRule="auto" w:line="240" w:before="0" w:after="0"/>
        <w:ind w:firstLine="142"/>
        <w:jc w:val="center"/>
        <w:rPr>
          <w:rFonts w:ascii="Times New Roman" w:hAnsi="Times New Roman"/>
          <w:b/>
          <w:sz w:val="24"/>
          <w:szCs w:val="24"/>
          <w:lang w:bidi="ru-RU"/>
        </w:rPr>
      </w:pPr>
      <w:r>
        <w:rPr>
          <w:rFonts w:ascii="Times New Roman" w:hAnsi="Times New Roman"/>
          <w:b/>
          <w:sz w:val="24"/>
          <w:szCs w:val="24"/>
          <w:lang w:bidi="ru-RU"/>
        </w:rPr>
        <w:t>ПОДПИСИ СТОРОН</w:t>
      </w:r>
    </w:p>
    <w:tbl>
      <w:tblPr>
        <w:tblStyle w:val="ab"/>
        <w:tblW w:w="9988" w:type="dxa"/>
        <w:jc w:val="left"/>
        <w:tblInd w:w="360" w:type="dxa"/>
        <w:tblLayout w:type="fixed"/>
        <w:tblCellMar>
          <w:top w:w="0" w:type="dxa"/>
          <w:left w:w="108" w:type="dxa"/>
          <w:bottom w:w="0" w:type="dxa"/>
          <w:right w:w="108" w:type="dxa"/>
        </w:tblCellMar>
        <w:tblLook w:firstRow="1" w:noVBand="1" w:lastRow="0" w:firstColumn="1" w:lastColumn="0" w:noHBand="0" w:val="04a0"/>
      </w:tblPr>
      <w:tblGrid>
        <w:gridCol w:w="5168"/>
        <w:gridCol w:w="4819"/>
      </w:tblGrid>
      <w:tr>
        <w:trPr/>
        <w:tc>
          <w:tcPr>
            <w:tcW w:w="5168" w:type="dxa"/>
            <w:tcBorders>
              <w:top w:val="nil"/>
              <w:left w:val="nil"/>
              <w:bottom w:val="nil"/>
              <w:right w:val="nil"/>
            </w:tcBorders>
          </w:tcPr>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t>От Лицензиара</w:t>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t xml:space="preserve">________________/ </w:t>
            </w:r>
          </w:p>
          <w:p>
            <w:pPr>
              <w:pStyle w:val="Normal"/>
              <w:widowControl/>
              <w:spacing w:lineRule="auto" w:line="240" w:before="0" w:after="0"/>
              <w:contextualSpacing/>
              <w:jc w:val="left"/>
              <w:rPr>
                <w:rFonts w:ascii="Times New Roman" w:hAnsi="Times New Roman"/>
              </w:rPr>
            </w:pPr>
            <w:r>
              <w:rPr>
                <w:rFonts w:eastAsia="Times New Roman" w:ascii="Times New Roman" w:hAnsi="Times New Roman"/>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kern w:val="0"/>
                <w:lang w:val="ru-RU" w:eastAsia="ru-RU" w:bidi="ar-SA"/>
              </w:rPr>
              <w:t>М.П.</w:t>
            </w:r>
          </w:p>
          <w:p>
            <w:pPr>
              <w:pStyle w:val="Style27"/>
              <w:widowControl w:val="false"/>
              <w:spacing w:lineRule="auto" w:line="240" w:before="0" w:after="0"/>
              <w:ind w:left="0" w:right="0" w:hanging="0"/>
              <w:jc w:val="left"/>
              <w:rPr>
                <w:rFonts w:ascii="Times New Roman" w:hAnsi="Times New Roman"/>
                <w:b/>
                <w:bCs/>
              </w:rPr>
            </w:pPr>
            <w:r>
              <w:rPr>
                <w:rFonts w:eastAsia="Times New Roman" w:ascii="Times New Roman" w:hAnsi="Times New Roman"/>
                <w:b/>
                <w:bCs/>
                <w:kern w:val="0"/>
                <w:lang w:val="ru-RU" w:eastAsia="ru-RU" w:bidi="ar-SA"/>
              </w:rPr>
            </w:r>
          </w:p>
        </w:tc>
        <w:tc>
          <w:tcPr>
            <w:tcW w:w="4819" w:type="dxa"/>
            <w:tcBorders>
              <w:top w:val="nil"/>
              <w:left w:val="nil"/>
              <w:bottom w:val="nil"/>
              <w:right w:val="nil"/>
            </w:tcBorders>
          </w:tcPr>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t>От Лицензиата</w:t>
            </w:r>
          </w:p>
          <w:p>
            <w:pPr>
              <w:pStyle w:val="Normal"/>
              <w:widowControl w:val="false"/>
              <w:spacing w:lineRule="auto" w:line="240" w:before="0" w:after="0"/>
              <w:jc w:val="both"/>
              <w:rPr>
                <w:rFonts w:ascii="Times New Roman" w:hAnsi="Times New Roman" w:eastAsia="Times New Roman"/>
                <w:kern w:val="0"/>
                <w:sz w:val="22"/>
                <w:szCs w:val="22"/>
                <w:lang w:val="ru-RU" w:eastAsia="ru-RU" w:bidi="ar-SA"/>
              </w:rPr>
            </w:pPr>
            <w:r>
              <w:rPr>
                <w:rFonts w:eastAsia="Times New Roman" w:ascii="Times New Roman" w:hAnsi="Times New Roman"/>
                <w:kern w:val="0"/>
                <w:sz w:val="22"/>
                <w:szCs w:val="22"/>
                <w:lang w:val="ru-RU" w:eastAsia="ru-RU" w:bidi="ar-SA"/>
              </w:rPr>
              <w:t xml:space="preserve">Начальник филиала </w:t>
            </w:r>
          </w:p>
          <w:p>
            <w:pPr>
              <w:pStyle w:val="Normal"/>
              <w:widowControl w:val="false"/>
              <w:spacing w:lineRule="auto" w:line="240" w:before="0" w:after="0"/>
              <w:jc w:val="both"/>
              <w:rPr>
                <w:rFonts w:ascii="Times New Roman" w:hAnsi="Times New Roman" w:eastAsia="Times New Roman"/>
                <w:kern w:val="0"/>
                <w:sz w:val="22"/>
                <w:szCs w:val="22"/>
                <w:lang w:val="ru-RU" w:eastAsia="ru-RU" w:bidi="ar-SA"/>
              </w:rPr>
            </w:pPr>
            <w:r>
              <w:rPr>
                <w:rFonts w:eastAsia="Times New Roman" w:ascii="Times New Roman" w:hAnsi="Times New Roman"/>
                <w:kern w:val="0"/>
                <w:sz w:val="22"/>
                <w:szCs w:val="22"/>
                <w:lang w:val="ru-RU" w:eastAsia="ru-RU" w:bidi="ar-SA"/>
              </w:rPr>
            </w:r>
          </w:p>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val="false"/>
              <w:spacing w:lineRule="auto" w:line="240" w:before="0" w:after="0"/>
              <w:jc w:val="both"/>
              <w:rPr>
                <w:rFonts w:ascii="Times New Roman" w:hAnsi="Times New Roman"/>
                <w:color w:val="000000"/>
                <w:lang w:val="en-US"/>
              </w:rPr>
            </w:pPr>
            <w:r>
              <w:rPr>
                <w:rFonts w:eastAsia="Times New Roman" w:ascii="Times New Roman" w:hAnsi="Times New Roman"/>
                <w:color w:val="000000"/>
                <w:kern w:val="0"/>
                <w:lang w:val="ru-RU" w:eastAsia="ru-RU" w:bidi="ar-SA"/>
              </w:rPr>
              <w:t>____________________ /</w:t>
            </w:r>
            <w:r>
              <w:rPr>
                <w:rFonts w:eastAsia="Times New Roman" w:ascii="Times New Roman" w:hAnsi="Times New Roman"/>
                <w:color w:val="000000"/>
                <w:kern w:val="0"/>
                <w:lang w:val="ru-RU" w:eastAsia="ru-RU" w:bidi="ar-SA"/>
              </w:rPr>
              <w:t>А.Ю. Мосин</w:t>
            </w:r>
          </w:p>
          <w:p>
            <w:pPr>
              <w:pStyle w:val="Style27"/>
              <w:widowControl w:val="false"/>
              <w:spacing w:lineRule="auto" w:line="240" w:before="0" w:after="0"/>
              <w:ind w:left="0" w:right="0" w:hanging="0"/>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Style27"/>
              <w:widowControl w:val="false"/>
              <w:spacing w:lineRule="auto" w:line="240" w:before="0" w:after="0"/>
              <w:ind w:left="0" w:right="0" w:hanging="0"/>
              <w:jc w:val="left"/>
              <w:rPr>
                <w:rFonts w:ascii="Times New Roman" w:hAnsi="Times New Roman"/>
                <w:b/>
                <w:bCs/>
              </w:rPr>
            </w:pPr>
            <w:r>
              <w:rPr>
                <w:rFonts w:eastAsia="Times New Roman" w:ascii="Times New Roman" w:hAnsi="Times New Roman"/>
                <w:color w:val="000000"/>
                <w:kern w:val="0"/>
                <w:lang w:val="ru-RU" w:eastAsia="ru-RU" w:bidi="ar-SA"/>
              </w:rPr>
              <w:t>М.П.</w:t>
            </w:r>
          </w:p>
        </w:tc>
      </w:tr>
    </w:tbl>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sz w:val="24"/>
          <w:szCs w:val="24"/>
        </w:rPr>
      </w:pPr>
      <w:r>
        <w:rPr>
          <w:rFonts w:ascii="Times New Roman" w:hAnsi="Times New Roman"/>
          <w:sz w:val="24"/>
          <w:szCs w:val="24"/>
        </w:rPr>
      </w:r>
      <w:r>
        <w:br w:type="page"/>
      </w:r>
    </w:p>
    <w:p>
      <w:pPr>
        <w:pStyle w:val="Normal"/>
        <w:spacing w:lineRule="auto" w:line="240" w:before="0" w:after="0"/>
        <w:jc w:val="right"/>
        <w:rPr>
          <w:rFonts w:ascii="Times New Roman" w:hAnsi="Times New Roman"/>
          <w:color w:val="000000"/>
          <w:sz w:val="24"/>
          <w:szCs w:val="24"/>
        </w:rPr>
      </w:pPr>
      <w:r>
        <w:rPr>
          <w:rFonts w:ascii="Times New Roman" w:hAnsi="Times New Roman"/>
          <w:color w:val="000000"/>
          <w:sz w:val="24"/>
          <w:szCs w:val="24"/>
        </w:rPr>
        <w:t>ПРИЛОЖЕНИЕ № 3</w:t>
      </w:r>
    </w:p>
    <w:p>
      <w:pPr>
        <w:pStyle w:val="Normal"/>
        <w:spacing w:lineRule="auto" w:line="240" w:before="0" w:after="0"/>
        <w:jc w:val="right"/>
        <w:rPr>
          <w:rFonts w:ascii="Times New Roman" w:hAnsi="Times New Roman"/>
          <w:color w:val="000000"/>
          <w:sz w:val="24"/>
          <w:szCs w:val="24"/>
        </w:rPr>
      </w:pPr>
      <w:r>
        <w:rPr>
          <w:rFonts w:ascii="Times New Roman" w:hAnsi="Times New Roman"/>
          <w:color w:val="000000"/>
          <w:sz w:val="24"/>
          <w:szCs w:val="24"/>
        </w:rPr>
        <w:t>к Контракту № ____________________________</w:t>
      </w:r>
    </w:p>
    <w:p>
      <w:pPr>
        <w:pStyle w:val="Normal"/>
        <w:spacing w:lineRule="auto" w:line="240" w:before="0" w:after="0"/>
        <w:jc w:val="right"/>
        <w:rPr>
          <w:rFonts w:ascii="Times New Roman" w:hAnsi="Times New Roman"/>
          <w:color w:val="000000"/>
          <w:sz w:val="24"/>
          <w:szCs w:val="24"/>
        </w:rPr>
      </w:pPr>
      <w:r>
        <w:rPr>
          <w:rFonts w:ascii="Times New Roman" w:hAnsi="Times New Roman"/>
          <w:color w:val="000000"/>
          <w:sz w:val="24"/>
          <w:szCs w:val="24"/>
        </w:rPr>
        <w:t xml:space="preserve">от </w:t>
      </w:r>
      <w:r>
        <w:rPr>
          <w:rFonts w:ascii="Times New Roman" w:hAnsi="Times New Roman"/>
          <w:bCs/>
          <w:sz w:val="24"/>
          <w:szCs w:val="24"/>
        </w:rPr>
        <w:t>«____» __________ 2026 г.</w:t>
      </w:r>
    </w:p>
    <w:p>
      <w:pPr>
        <w:pStyle w:val="Normal"/>
        <w:widowControl w:val="false"/>
        <w:numPr>
          <w:ilvl w:val="0"/>
          <w:numId w:val="0"/>
        </w:numPr>
        <w:spacing w:lineRule="auto" w:line="240" w:before="0" w:after="0"/>
        <w:contextualSpacing/>
        <w:jc w:val="center"/>
        <w:outlineLvl w:val="0"/>
        <w:rPr>
          <w:rFonts w:ascii="Times New Roman" w:hAnsi="Times New Roman"/>
          <w:b/>
          <w:sz w:val="24"/>
          <w:szCs w:val="24"/>
        </w:rPr>
      </w:pPr>
      <w:r>
        <w:rPr>
          <w:rFonts w:ascii="Times New Roman" w:hAnsi="Times New Roman"/>
          <w:b/>
          <w:sz w:val="24"/>
          <w:szCs w:val="24"/>
        </w:rPr>
      </w:r>
    </w:p>
    <w:p>
      <w:pPr>
        <w:pStyle w:val="Normal"/>
        <w:widowControl w:val="false"/>
        <w:numPr>
          <w:ilvl w:val="0"/>
          <w:numId w:val="0"/>
        </w:numPr>
        <w:spacing w:lineRule="auto" w:line="240" w:before="0" w:after="0"/>
        <w:contextualSpacing/>
        <w:jc w:val="center"/>
        <w:outlineLvl w:val="0"/>
        <w:rPr>
          <w:rFonts w:ascii="Times New Roman" w:hAnsi="Times New Roman"/>
          <w:b/>
          <w:sz w:val="24"/>
          <w:szCs w:val="24"/>
        </w:rPr>
      </w:pPr>
      <w:r>
        <w:rPr>
          <w:rFonts w:ascii="Times New Roman" w:hAnsi="Times New Roman"/>
          <w:b/>
          <w:sz w:val="24"/>
          <w:szCs w:val="24"/>
        </w:rPr>
        <w:t>РАСЧЕТ ЦЕНЫ КОНТРАКТА</w:t>
      </w:r>
    </w:p>
    <w:p>
      <w:pPr>
        <w:pStyle w:val="Normal"/>
        <w:spacing w:lineRule="auto" w:line="240" w:before="0" w:after="0"/>
        <w:rPr>
          <w:rFonts w:ascii="Times New Roman" w:hAnsi="Times New Roman"/>
          <w:sz w:val="24"/>
          <w:szCs w:val="24"/>
        </w:rPr>
      </w:pPr>
      <w:r>
        <w:rPr>
          <w:rFonts w:ascii="Times New Roman" w:hAnsi="Times New Roman"/>
          <w:sz w:val="24"/>
          <w:szCs w:val="24"/>
        </w:rPr>
      </w:r>
    </w:p>
    <w:tbl>
      <w:tblPr>
        <w:tblStyle w:val="100"/>
        <w:tblW w:w="10371"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4272"/>
        <w:gridCol w:w="1492"/>
        <w:gridCol w:w="1551"/>
        <w:gridCol w:w="1524"/>
        <w:gridCol w:w="1532"/>
      </w:tblGrid>
      <w:tr>
        <w:trPr>
          <w:trHeight w:val="1204" w:hRule="atLeast"/>
        </w:trPr>
        <w:tc>
          <w:tcPr>
            <w:tcW w:w="4272" w:type="dxa"/>
            <w:tcBorders/>
            <w:vAlign w:val="center"/>
          </w:tcPr>
          <w:p>
            <w:pPr>
              <w:pStyle w:val="Normal"/>
              <w:widowControl/>
              <w:spacing w:before="0" w:after="200"/>
              <w:jc w:val="center"/>
              <w:rPr>
                <w:rFonts w:ascii="Times New Roman" w:hAnsi="Times New Roman"/>
                <w:b/>
                <w:sz w:val="24"/>
                <w:szCs w:val="24"/>
              </w:rPr>
            </w:pPr>
            <w:r>
              <w:rPr>
                <w:rFonts w:eastAsia="Times New Roman" w:ascii="Times New Roman" w:hAnsi="Times New Roman"/>
                <w:b/>
                <w:color w:val="000000"/>
                <w:kern w:val="0"/>
                <w:sz w:val="24"/>
                <w:szCs w:val="24"/>
                <w:lang w:val="ru-RU" w:eastAsia="ru-RU" w:bidi="ar-SA"/>
              </w:rPr>
              <w:t>Наименование и состав лицензии</w:t>
            </w:r>
          </w:p>
        </w:tc>
        <w:tc>
          <w:tcPr>
            <w:tcW w:w="1492" w:type="dxa"/>
            <w:tcBorders/>
            <w:vAlign w:val="center"/>
          </w:tcPr>
          <w:p>
            <w:pPr>
              <w:pStyle w:val="Normal"/>
              <w:widowControl/>
              <w:spacing w:before="0" w:after="200"/>
              <w:jc w:val="center"/>
              <w:rPr>
                <w:rFonts w:ascii="Times New Roman" w:hAnsi="Times New Roman"/>
                <w:b/>
                <w:color w:val="000000"/>
                <w:sz w:val="24"/>
                <w:szCs w:val="24"/>
              </w:rPr>
            </w:pPr>
            <w:r>
              <w:rPr>
                <w:rFonts w:eastAsia="Times New Roman" w:ascii="Times New Roman" w:hAnsi="Times New Roman"/>
                <w:b/>
                <w:color w:val="000000"/>
                <w:kern w:val="0"/>
                <w:sz w:val="24"/>
                <w:szCs w:val="24"/>
                <w:lang w:val="ru-RU" w:eastAsia="ru-RU" w:bidi="ar-SA"/>
              </w:rPr>
              <w:t>Количество лицензий</w:t>
            </w:r>
          </w:p>
        </w:tc>
        <w:tc>
          <w:tcPr>
            <w:tcW w:w="1551" w:type="dxa"/>
            <w:tcBorders/>
            <w:vAlign w:val="center"/>
          </w:tcPr>
          <w:p>
            <w:pPr>
              <w:pStyle w:val="Normal"/>
              <w:widowControl/>
              <w:spacing w:before="0" w:after="200"/>
              <w:jc w:val="center"/>
              <w:rPr>
                <w:rFonts w:ascii="Times New Roman" w:hAnsi="Times New Roman"/>
                <w:b/>
                <w:color w:val="000000"/>
                <w:sz w:val="24"/>
                <w:szCs w:val="24"/>
              </w:rPr>
            </w:pPr>
            <w:r>
              <w:rPr>
                <w:rFonts w:eastAsia="Times New Roman" w:ascii="Times New Roman" w:hAnsi="Times New Roman"/>
                <w:b/>
                <w:color w:val="000000"/>
                <w:kern w:val="0"/>
                <w:sz w:val="24"/>
                <w:szCs w:val="24"/>
                <w:lang w:val="ru-RU" w:eastAsia="ru-RU" w:bidi="ar-SA"/>
              </w:rPr>
              <w:t>Срок действия Лицензии, мес.</w:t>
            </w:r>
          </w:p>
        </w:tc>
        <w:tc>
          <w:tcPr>
            <w:tcW w:w="1524" w:type="dxa"/>
            <w:tcBorders/>
          </w:tcPr>
          <w:p>
            <w:pPr>
              <w:pStyle w:val="Normal"/>
              <w:widowControl/>
              <w:spacing w:before="0" w:after="200"/>
              <w:jc w:val="center"/>
              <w:rPr>
                <w:rFonts w:ascii="Times New Roman" w:hAnsi="Times New Roman"/>
                <w:b/>
                <w:color w:val="000000"/>
                <w:sz w:val="24"/>
                <w:szCs w:val="24"/>
              </w:rPr>
            </w:pPr>
            <w:r>
              <w:rPr>
                <w:rFonts w:eastAsia="Times New Roman" w:ascii="Times New Roman" w:hAnsi="Times New Roman"/>
                <w:b/>
                <w:color w:val="000000"/>
                <w:kern w:val="0"/>
                <w:sz w:val="24"/>
                <w:szCs w:val="24"/>
                <w:lang w:val="ru-RU" w:eastAsia="ru-RU" w:bidi="ar-SA"/>
              </w:rPr>
              <w:t>Стоимость за ед., руб.</w:t>
            </w:r>
          </w:p>
        </w:tc>
        <w:tc>
          <w:tcPr>
            <w:tcW w:w="1532" w:type="dxa"/>
            <w:tcBorders/>
            <w:vAlign w:val="center"/>
          </w:tcPr>
          <w:p>
            <w:pPr>
              <w:pStyle w:val="Normal"/>
              <w:widowControl/>
              <w:spacing w:before="0" w:after="200"/>
              <w:jc w:val="center"/>
              <w:rPr>
                <w:rFonts w:ascii="Times New Roman" w:hAnsi="Times New Roman"/>
                <w:b/>
                <w:color w:val="000000"/>
                <w:sz w:val="24"/>
                <w:szCs w:val="24"/>
              </w:rPr>
            </w:pPr>
            <w:r>
              <w:rPr>
                <w:rFonts w:eastAsia="Times New Roman" w:ascii="Times New Roman" w:hAnsi="Times New Roman"/>
                <w:b/>
                <w:color w:val="000000"/>
                <w:kern w:val="0"/>
                <w:sz w:val="24"/>
                <w:szCs w:val="24"/>
                <w:lang w:val="ru-RU" w:eastAsia="ru-RU" w:bidi="ar-SA"/>
              </w:rPr>
              <w:t>Стоимость, руб.,  НДС не облагается</w:t>
            </w:r>
          </w:p>
        </w:tc>
      </w:tr>
      <w:tr>
        <w:trPr>
          <w:trHeight w:val="822" w:hRule="atLeast"/>
        </w:trPr>
        <w:tc>
          <w:tcPr>
            <w:tcW w:w="4272" w:type="dxa"/>
            <w:tcBorders/>
            <w:vAlign w:val="center"/>
          </w:tcPr>
          <w:p>
            <w:pPr>
              <w:pStyle w:val="Normal"/>
              <w:widowControl/>
              <w:spacing w:before="0" w:after="200"/>
              <w:ind w:left="34" w:right="0" w:hanging="0"/>
              <w:contextualSpacing/>
              <w:jc w:val="left"/>
              <w:rPr>
                <w:rFonts w:ascii="Times New Roman" w:hAnsi="Times New Roman"/>
                <w:sz w:val="24"/>
                <w:szCs w:val="24"/>
              </w:rPr>
            </w:pPr>
            <w:r>
              <w:rPr>
                <w:rFonts w:eastAsia="Times New Roman" w:ascii="Times New Roman" w:hAnsi="Times New Roman"/>
                <w:kern w:val="0"/>
                <w:sz w:val="24"/>
                <w:szCs w:val="24"/>
                <w:lang w:val="ru-RU" w:eastAsia="ru-RU" w:bidi="ar-SA"/>
              </w:rPr>
              <w:t>Продление неисключительных прав (простой неисключительной лицензии) на использование программного обеспечения «ПФХД 2.0» в составе программного продукта «Электронный сервис «РАМЗЭС 2.0», роль «Филиал»</w:t>
            </w:r>
          </w:p>
        </w:tc>
        <w:tc>
          <w:tcPr>
            <w:tcW w:w="1492" w:type="dxa"/>
            <w:tcBorders/>
            <w:vAlign w:val="center"/>
          </w:tcPr>
          <w:p>
            <w:pPr>
              <w:pStyle w:val="Normal"/>
              <w:widowControl/>
              <w:spacing w:before="0" w:after="200"/>
              <w:jc w:val="center"/>
              <w:rPr>
                <w:rFonts w:ascii="Times New Roman" w:hAnsi="Times New Roman"/>
                <w:sz w:val="24"/>
                <w:szCs w:val="24"/>
              </w:rPr>
            </w:pPr>
            <w:r>
              <w:rPr>
                <w:rFonts w:eastAsia="Times New Roman" w:ascii="Times New Roman" w:hAnsi="Times New Roman"/>
                <w:kern w:val="0"/>
                <w:sz w:val="24"/>
                <w:szCs w:val="24"/>
                <w:lang w:val="ru-RU" w:eastAsia="ru-RU" w:bidi="ar-SA"/>
              </w:rPr>
              <w:t>1</w:t>
            </w:r>
          </w:p>
        </w:tc>
        <w:tc>
          <w:tcPr>
            <w:tcW w:w="1551" w:type="dxa"/>
            <w:tcBorders/>
            <w:vAlign w:val="center"/>
          </w:tcPr>
          <w:p>
            <w:pPr>
              <w:pStyle w:val="Normal"/>
              <w:widowControl/>
              <w:spacing w:before="0" w:after="200"/>
              <w:jc w:val="center"/>
              <w:rPr>
                <w:rFonts w:ascii="Times New Roman" w:hAnsi="Times New Roman"/>
                <w:sz w:val="24"/>
                <w:szCs w:val="24"/>
              </w:rPr>
            </w:pPr>
            <w:r>
              <w:rPr>
                <w:rFonts w:eastAsia="Times New Roman" w:ascii="Times New Roman" w:hAnsi="Times New Roman"/>
                <w:kern w:val="0"/>
                <w:sz w:val="24"/>
                <w:szCs w:val="24"/>
                <w:lang w:val="ru-RU" w:eastAsia="ru-RU" w:bidi="ar-SA"/>
              </w:rPr>
              <w:t>до 31.10.2027 г.</w:t>
            </w:r>
          </w:p>
        </w:tc>
        <w:tc>
          <w:tcPr>
            <w:tcW w:w="1524" w:type="dxa"/>
            <w:tcBorders/>
            <w:vAlign w:val="center"/>
          </w:tcPr>
          <w:p>
            <w:pPr>
              <w:pStyle w:val="Normal"/>
              <w:widowControl/>
              <w:spacing w:before="0" w:after="200"/>
              <w:jc w:val="center"/>
              <w:rPr>
                <w:rFonts w:ascii="Times New Roman" w:hAnsi="Times New Roman"/>
                <w:sz w:val="24"/>
                <w:szCs w:val="24"/>
              </w:rPr>
            </w:pPr>
            <w:r>
              <w:rPr>
                <w:rFonts w:eastAsia="Times New Roman"/>
                <w:kern w:val="0"/>
                <w:lang w:val="ru-RU" w:eastAsia="ru-RU" w:bidi="ar-SA"/>
              </w:rPr>
            </w:r>
          </w:p>
        </w:tc>
        <w:tc>
          <w:tcPr>
            <w:tcW w:w="1532" w:type="dxa"/>
            <w:tcBorders/>
            <w:vAlign w:val="center"/>
          </w:tcPr>
          <w:p>
            <w:pPr>
              <w:pStyle w:val="Normal"/>
              <w:widowControl/>
              <w:spacing w:before="0" w:after="200"/>
              <w:jc w:val="center"/>
              <w:rPr>
                <w:rFonts w:ascii="Times New Roman" w:hAnsi="Times New Roman"/>
                <w:sz w:val="24"/>
                <w:szCs w:val="24"/>
              </w:rPr>
            </w:pPr>
            <w:r>
              <w:rPr>
                <w:rFonts w:eastAsia="Times New Roman"/>
                <w:kern w:val="0"/>
                <w:lang w:val="ru-RU" w:eastAsia="ru-RU" w:bidi="ar-SA"/>
              </w:rPr>
            </w:r>
          </w:p>
        </w:tc>
      </w:tr>
      <w:tr>
        <w:trPr>
          <w:trHeight w:val="822" w:hRule="atLeast"/>
        </w:trPr>
        <w:tc>
          <w:tcPr>
            <w:tcW w:w="4272" w:type="dxa"/>
            <w:tcBorders/>
          </w:tcPr>
          <w:p>
            <w:pPr>
              <w:pStyle w:val="Normal"/>
              <w:widowControl/>
              <w:spacing w:before="0" w:after="200"/>
              <w:ind w:left="34" w:right="0" w:hanging="0"/>
              <w:contextualSpacing/>
              <w:jc w:val="left"/>
              <w:rPr>
                <w:rFonts w:ascii="Times New Roman" w:hAnsi="Times New Roman"/>
                <w:sz w:val="24"/>
                <w:szCs w:val="24"/>
              </w:rPr>
            </w:pPr>
            <w:r>
              <w:rPr>
                <w:rFonts w:eastAsia="Times New Roman" w:ascii="Times New Roman" w:hAnsi="Times New Roman"/>
                <w:kern w:val="0"/>
                <w:sz w:val="24"/>
                <w:szCs w:val="24"/>
                <w:lang w:val="ru-RU" w:eastAsia="ru-RU" w:bidi="ar-SA"/>
              </w:rPr>
              <w:t>Техническая поддержка вэб-сервиса согласно публичному Соглашению об уровне услуг (</w:t>
            </w:r>
            <w:r>
              <w:rPr>
                <w:rFonts w:eastAsia="Times New Roman" w:ascii="Times New Roman" w:hAnsi="Times New Roman"/>
                <w:kern w:val="0"/>
                <w:sz w:val="24"/>
                <w:szCs w:val="24"/>
                <w:lang w:val="en-US" w:eastAsia="ru-RU" w:bidi="ar-SA"/>
              </w:rPr>
              <w:t>SLA</w:t>
            </w:r>
            <w:r>
              <w:rPr>
                <w:rFonts w:eastAsia="Times New Roman" w:ascii="Times New Roman" w:hAnsi="Times New Roman"/>
                <w:kern w:val="0"/>
                <w:sz w:val="24"/>
                <w:szCs w:val="24"/>
                <w:lang w:val="ru-RU" w:eastAsia="ru-RU" w:bidi="ar-SA"/>
              </w:rPr>
              <w:t xml:space="preserve">), </w:t>
            </w:r>
            <w:hyperlink r:id="rId9">
              <w:r>
                <w:rPr>
                  <w:rStyle w:val="-"/>
                  <w:rFonts w:eastAsia="Times New Roman" w:ascii="Times New Roman" w:hAnsi="Times New Roman"/>
                  <w:kern w:val="0"/>
                  <w:sz w:val="24"/>
                  <w:szCs w:val="24"/>
                  <w:lang w:val="en-US" w:eastAsia="ru-RU" w:bidi="ar-SA"/>
                </w:rPr>
                <w:t>https</w:t>
              </w:r>
              <w:r>
                <w:rPr>
                  <w:rStyle w:val="-"/>
                  <w:rFonts w:eastAsia="Times New Roman" w:ascii="Times New Roman" w:hAnsi="Times New Roman"/>
                  <w:kern w:val="0"/>
                  <w:sz w:val="24"/>
                  <w:szCs w:val="24"/>
                  <w:lang w:val="ru-RU" w:eastAsia="ru-RU" w:bidi="ar-SA"/>
                </w:rPr>
                <w:t>://</w:t>
              </w:r>
              <w:r>
                <w:rPr>
                  <w:rStyle w:val="-"/>
                  <w:rFonts w:eastAsia="Times New Roman" w:ascii="Times New Roman" w:hAnsi="Times New Roman"/>
                  <w:kern w:val="0"/>
                  <w:sz w:val="24"/>
                  <w:szCs w:val="24"/>
                  <w:lang w:val="en-US" w:eastAsia="ru-RU" w:bidi="ar-SA"/>
                </w:rPr>
                <w:t>efinatek</w:t>
              </w:r>
              <w:r>
                <w:rPr>
                  <w:rStyle w:val="-"/>
                  <w:rFonts w:eastAsia="Times New Roman" w:ascii="Times New Roman" w:hAnsi="Times New Roman"/>
                  <w:kern w:val="0"/>
                  <w:sz w:val="24"/>
                  <w:szCs w:val="24"/>
                  <w:lang w:val="ru-RU" w:eastAsia="ru-RU" w:bidi="ar-SA"/>
                </w:rPr>
                <w:t>.</w:t>
              </w:r>
              <w:r>
                <w:rPr>
                  <w:rStyle w:val="-"/>
                  <w:rFonts w:eastAsia="Times New Roman" w:ascii="Times New Roman" w:hAnsi="Times New Roman"/>
                  <w:kern w:val="0"/>
                  <w:sz w:val="24"/>
                  <w:szCs w:val="24"/>
                  <w:lang w:val="en-US" w:eastAsia="ru-RU" w:bidi="ar-SA"/>
                </w:rPr>
                <w:t>ru</w:t>
              </w:r>
              <w:r>
                <w:rPr>
                  <w:rStyle w:val="-"/>
                  <w:rFonts w:eastAsia="Times New Roman" w:ascii="Times New Roman" w:hAnsi="Times New Roman"/>
                  <w:kern w:val="0"/>
                  <w:sz w:val="24"/>
                  <w:szCs w:val="24"/>
                  <w:lang w:val="ru-RU" w:eastAsia="ru-RU" w:bidi="ar-SA"/>
                </w:rPr>
                <w:t>/</w:t>
              </w:r>
              <w:r>
                <w:rPr>
                  <w:rStyle w:val="-"/>
                  <w:rFonts w:eastAsia="Times New Roman" w:ascii="Times New Roman" w:hAnsi="Times New Roman"/>
                  <w:kern w:val="0"/>
                  <w:sz w:val="24"/>
                  <w:szCs w:val="24"/>
                  <w:lang w:val="en-US" w:eastAsia="ru-RU" w:bidi="ar-SA"/>
                </w:rPr>
                <w:t>doc</w:t>
              </w:r>
              <w:r>
                <w:rPr>
                  <w:rStyle w:val="-"/>
                  <w:rFonts w:eastAsia="Times New Roman" w:ascii="Times New Roman" w:hAnsi="Times New Roman"/>
                  <w:kern w:val="0"/>
                  <w:sz w:val="24"/>
                  <w:szCs w:val="24"/>
                  <w:lang w:val="ru-RU" w:eastAsia="ru-RU" w:bidi="ar-SA"/>
                </w:rPr>
                <w:t>/</w:t>
              </w:r>
            </w:hyperlink>
            <w:r>
              <w:rPr>
                <w:rFonts w:eastAsia="Times New Roman" w:ascii="Times New Roman" w:hAnsi="Times New Roman"/>
                <w:kern w:val="0"/>
                <w:sz w:val="24"/>
                <w:szCs w:val="24"/>
                <w:lang w:val="ru-RU" w:eastAsia="ru-RU" w:bidi="ar-SA"/>
              </w:rPr>
              <w:t xml:space="preserve">   </w:t>
            </w:r>
          </w:p>
        </w:tc>
        <w:tc>
          <w:tcPr>
            <w:tcW w:w="6099" w:type="dxa"/>
            <w:gridSpan w:val="4"/>
            <w:vMerge w:val="restart"/>
            <w:tcBorders/>
            <w:vAlign w:val="center"/>
          </w:tcPr>
          <w:p>
            <w:pPr>
              <w:pStyle w:val="Normal"/>
              <w:widowControl/>
              <w:spacing w:before="0" w:after="200"/>
              <w:jc w:val="center"/>
              <w:rPr>
                <w:rFonts w:ascii="Times New Roman" w:hAnsi="Times New Roman"/>
                <w:sz w:val="24"/>
                <w:szCs w:val="24"/>
              </w:rPr>
            </w:pPr>
            <w:r>
              <w:rPr>
                <w:rFonts w:eastAsia="Times New Roman" w:ascii="Times New Roman" w:hAnsi="Times New Roman"/>
                <w:kern w:val="0"/>
                <w:sz w:val="24"/>
                <w:szCs w:val="24"/>
                <w:lang w:val="ru-RU" w:eastAsia="ru-RU" w:bidi="ar-SA"/>
              </w:rPr>
              <w:t>Входят в стоимость в течение всего срока действия лицензии</w:t>
            </w:r>
          </w:p>
        </w:tc>
      </w:tr>
      <w:tr>
        <w:trPr>
          <w:trHeight w:val="822" w:hRule="atLeast"/>
        </w:trPr>
        <w:tc>
          <w:tcPr>
            <w:tcW w:w="4272" w:type="dxa"/>
            <w:tcBorders/>
          </w:tcPr>
          <w:p>
            <w:pPr>
              <w:pStyle w:val="Normal"/>
              <w:widowControl/>
              <w:spacing w:before="0" w:after="200"/>
              <w:ind w:left="34" w:right="0" w:hanging="0"/>
              <w:contextualSpacing/>
              <w:jc w:val="left"/>
              <w:rPr>
                <w:rFonts w:ascii="Times New Roman" w:hAnsi="Times New Roman"/>
                <w:sz w:val="24"/>
                <w:szCs w:val="24"/>
              </w:rPr>
            </w:pPr>
            <w:r>
              <w:rPr>
                <w:rFonts w:eastAsia="Times New Roman" w:ascii="Times New Roman" w:hAnsi="Times New Roman"/>
                <w:kern w:val="0"/>
                <w:sz w:val="24"/>
                <w:szCs w:val="24"/>
                <w:lang w:val="ru-RU" w:eastAsia="ru-RU" w:bidi="ar-SA"/>
              </w:rPr>
              <w:t>Консультационная поддержка Пользователя согласно публичному Соглашению об уровне оказания услуг (</w:t>
            </w:r>
            <w:r>
              <w:rPr>
                <w:rFonts w:eastAsia="Times New Roman" w:ascii="Times New Roman" w:hAnsi="Times New Roman"/>
                <w:kern w:val="0"/>
                <w:sz w:val="24"/>
                <w:szCs w:val="24"/>
                <w:lang w:val="en-US" w:eastAsia="ru-RU" w:bidi="ar-SA"/>
              </w:rPr>
              <w:t>SLA</w:t>
            </w:r>
            <w:r>
              <w:rPr>
                <w:rFonts w:eastAsia="Times New Roman" w:ascii="Times New Roman" w:hAnsi="Times New Roman"/>
                <w:kern w:val="0"/>
                <w:sz w:val="24"/>
                <w:szCs w:val="24"/>
                <w:lang w:val="ru-RU" w:eastAsia="ru-RU" w:bidi="ar-SA"/>
              </w:rPr>
              <w:t xml:space="preserve">), </w:t>
            </w:r>
            <w:hyperlink r:id="rId10">
              <w:r>
                <w:rPr>
                  <w:rStyle w:val="-"/>
                  <w:rFonts w:eastAsia="Times New Roman" w:ascii="Times New Roman" w:hAnsi="Times New Roman"/>
                  <w:kern w:val="0"/>
                  <w:sz w:val="24"/>
                  <w:szCs w:val="24"/>
                  <w:lang w:val="en-US" w:eastAsia="ru-RU" w:bidi="ar-SA"/>
                </w:rPr>
                <w:t>https</w:t>
              </w:r>
              <w:r>
                <w:rPr>
                  <w:rStyle w:val="-"/>
                  <w:rFonts w:eastAsia="Times New Roman" w:ascii="Times New Roman" w:hAnsi="Times New Roman"/>
                  <w:kern w:val="0"/>
                  <w:sz w:val="24"/>
                  <w:szCs w:val="24"/>
                  <w:lang w:val="ru-RU" w:eastAsia="ru-RU" w:bidi="ar-SA"/>
                </w:rPr>
                <w:t>://</w:t>
              </w:r>
              <w:r>
                <w:rPr>
                  <w:rStyle w:val="-"/>
                  <w:rFonts w:eastAsia="Times New Roman" w:ascii="Times New Roman" w:hAnsi="Times New Roman"/>
                  <w:kern w:val="0"/>
                  <w:sz w:val="24"/>
                  <w:szCs w:val="24"/>
                  <w:lang w:val="en-US" w:eastAsia="ru-RU" w:bidi="ar-SA"/>
                </w:rPr>
                <w:t>efinatek</w:t>
              </w:r>
              <w:r>
                <w:rPr>
                  <w:rStyle w:val="-"/>
                  <w:rFonts w:eastAsia="Times New Roman" w:ascii="Times New Roman" w:hAnsi="Times New Roman"/>
                  <w:kern w:val="0"/>
                  <w:sz w:val="24"/>
                  <w:szCs w:val="24"/>
                  <w:lang w:val="ru-RU" w:eastAsia="ru-RU" w:bidi="ar-SA"/>
                </w:rPr>
                <w:t>.</w:t>
              </w:r>
              <w:r>
                <w:rPr>
                  <w:rStyle w:val="-"/>
                  <w:rFonts w:eastAsia="Times New Roman" w:ascii="Times New Roman" w:hAnsi="Times New Roman"/>
                  <w:kern w:val="0"/>
                  <w:sz w:val="24"/>
                  <w:szCs w:val="24"/>
                  <w:lang w:val="en-US" w:eastAsia="ru-RU" w:bidi="ar-SA"/>
                </w:rPr>
                <w:t>ru</w:t>
              </w:r>
              <w:r>
                <w:rPr>
                  <w:rStyle w:val="-"/>
                  <w:rFonts w:eastAsia="Times New Roman" w:ascii="Times New Roman" w:hAnsi="Times New Roman"/>
                  <w:kern w:val="0"/>
                  <w:sz w:val="24"/>
                  <w:szCs w:val="24"/>
                  <w:lang w:val="ru-RU" w:eastAsia="ru-RU" w:bidi="ar-SA"/>
                </w:rPr>
                <w:t>/</w:t>
              </w:r>
              <w:r>
                <w:rPr>
                  <w:rStyle w:val="-"/>
                  <w:rFonts w:eastAsia="Times New Roman" w:ascii="Times New Roman" w:hAnsi="Times New Roman"/>
                  <w:kern w:val="0"/>
                  <w:sz w:val="24"/>
                  <w:szCs w:val="24"/>
                  <w:lang w:val="en-US" w:eastAsia="ru-RU" w:bidi="ar-SA"/>
                </w:rPr>
                <w:t>doc</w:t>
              </w:r>
              <w:r>
                <w:rPr>
                  <w:rStyle w:val="-"/>
                  <w:rFonts w:eastAsia="Times New Roman" w:ascii="Times New Roman" w:hAnsi="Times New Roman"/>
                  <w:kern w:val="0"/>
                  <w:sz w:val="24"/>
                  <w:szCs w:val="24"/>
                  <w:lang w:val="ru-RU" w:eastAsia="ru-RU" w:bidi="ar-SA"/>
                </w:rPr>
                <w:t>/</w:t>
              </w:r>
            </w:hyperlink>
            <w:r>
              <w:rPr>
                <w:rFonts w:eastAsia="Times New Roman" w:ascii="Times New Roman" w:hAnsi="Times New Roman"/>
                <w:kern w:val="0"/>
                <w:sz w:val="24"/>
                <w:szCs w:val="24"/>
                <w:lang w:val="ru-RU" w:eastAsia="ru-RU" w:bidi="ar-SA"/>
              </w:rPr>
              <w:t xml:space="preserve"> </w:t>
            </w:r>
          </w:p>
        </w:tc>
        <w:tc>
          <w:tcPr>
            <w:tcW w:w="6099" w:type="dxa"/>
            <w:gridSpan w:val="4"/>
            <w:vMerge w:val="continue"/>
            <w:tcBorders/>
            <w:vAlign w:val="center"/>
          </w:tcPr>
          <w:p>
            <w:pPr>
              <w:pStyle w:val="Normal"/>
              <w:widowControl/>
              <w:spacing w:before="0" w:after="200"/>
              <w:jc w:val="center"/>
              <w:rPr>
                <w:rFonts w:ascii="Times New Roman" w:hAnsi="Times New Roman"/>
                <w:b/>
                <w:sz w:val="24"/>
                <w:szCs w:val="24"/>
              </w:rPr>
            </w:pPr>
            <w:r>
              <w:rPr>
                <w:rFonts w:eastAsia="Times New Roman" w:ascii="Times New Roman" w:hAnsi="Times New Roman"/>
                <w:b/>
                <w:kern w:val="0"/>
                <w:sz w:val="24"/>
                <w:szCs w:val="24"/>
                <w:lang w:val="ru-RU" w:eastAsia="ru-RU" w:bidi="ar-SA"/>
              </w:rPr>
            </w:r>
          </w:p>
        </w:tc>
      </w:tr>
      <w:tr>
        <w:trPr>
          <w:trHeight w:val="763" w:hRule="atLeast"/>
        </w:trPr>
        <w:tc>
          <w:tcPr>
            <w:tcW w:w="10371" w:type="dxa"/>
            <w:gridSpan w:val="5"/>
            <w:tcBorders/>
            <w:vAlign w:val="center"/>
          </w:tcPr>
          <w:p>
            <w:pPr>
              <w:pStyle w:val="Normal"/>
              <w:widowControl/>
              <w:spacing w:before="0" w:after="200"/>
              <w:jc w:val="center"/>
              <w:rPr>
                <w:rFonts w:ascii="Times New Roman" w:hAnsi="Times New Roman"/>
                <w:b/>
                <w:sz w:val="24"/>
                <w:szCs w:val="24"/>
              </w:rPr>
            </w:pPr>
            <w:r>
              <w:rPr>
                <w:rFonts w:eastAsia="Times New Roman" w:ascii="Times New Roman" w:hAnsi="Times New Roman"/>
                <w:b/>
                <w:kern w:val="0"/>
                <w:sz w:val="24"/>
                <w:szCs w:val="24"/>
                <w:lang w:val="ru-RU" w:eastAsia="ru-RU" w:bidi="ar-SA"/>
              </w:rPr>
              <w:t>ИТОГО: 60 000,00 (Шестьдесят тысяч) рублей, 00 копеек</w:t>
            </w:r>
          </w:p>
        </w:tc>
      </w:tr>
    </w:tbl>
    <w:p>
      <w:pPr>
        <w:pStyle w:val="Normal"/>
        <w:spacing w:lineRule="auto" w:line="240" w:before="0" w:after="0"/>
        <w:rPr>
          <w:rFonts w:ascii="Times New Roman" w:hAnsi="Times New Roman"/>
          <w:b/>
          <w:sz w:val="24"/>
          <w:szCs w:val="24"/>
          <w:lang w:bidi="ru-RU"/>
        </w:rPr>
      </w:pPr>
      <w:r>
        <w:rPr>
          <w:rFonts w:ascii="Times New Roman" w:hAnsi="Times New Roman"/>
          <w:b/>
          <w:sz w:val="24"/>
          <w:szCs w:val="24"/>
          <w:lang w:bidi="ru-RU"/>
        </w:rPr>
      </w:r>
    </w:p>
    <w:p>
      <w:pPr>
        <w:pStyle w:val="Normal"/>
        <w:spacing w:lineRule="auto" w:line="240" w:before="0" w:after="0"/>
        <w:ind w:firstLine="142"/>
        <w:jc w:val="center"/>
        <w:rPr>
          <w:rFonts w:ascii="Times New Roman" w:hAnsi="Times New Roman"/>
          <w:b/>
          <w:sz w:val="24"/>
          <w:szCs w:val="24"/>
          <w:lang w:bidi="ru-RU"/>
        </w:rPr>
      </w:pPr>
      <w:r>
        <w:rPr>
          <w:rFonts w:ascii="Times New Roman" w:hAnsi="Times New Roman"/>
          <w:b/>
          <w:sz w:val="24"/>
          <w:szCs w:val="24"/>
          <w:lang w:bidi="ru-RU"/>
        </w:rPr>
        <w:t>ПОДПИСИ СТОРОН</w:t>
      </w:r>
    </w:p>
    <w:tbl>
      <w:tblPr>
        <w:tblStyle w:val="ab"/>
        <w:tblW w:w="9988" w:type="dxa"/>
        <w:jc w:val="left"/>
        <w:tblInd w:w="360" w:type="dxa"/>
        <w:tblLayout w:type="fixed"/>
        <w:tblCellMar>
          <w:top w:w="0" w:type="dxa"/>
          <w:left w:w="108" w:type="dxa"/>
          <w:bottom w:w="0" w:type="dxa"/>
          <w:right w:w="108" w:type="dxa"/>
        </w:tblCellMar>
        <w:tblLook w:firstRow="1" w:noVBand="1" w:lastRow="0" w:firstColumn="1" w:lastColumn="0" w:noHBand="0" w:val="04a0"/>
      </w:tblPr>
      <w:tblGrid>
        <w:gridCol w:w="5168"/>
        <w:gridCol w:w="4819"/>
      </w:tblGrid>
      <w:tr>
        <w:trPr/>
        <w:tc>
          <w:tcPr>
            <w:tcW w:w="5168" w:type="dxa"/>
            <w:tcBorders>
              <w:top w:val="nil"/>
              <w:left w:val="nil"/>
              <w:bottom w:val="nil"/>
              <w:right w:val="nil"/>
            </w:tcBorders>
          </w:tcPr>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t>От Лицензиара</w:t>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color w:val="000000"/>
                <w:kern w:val="0"/>
                <w:lang w:val="ru-RU" w:eastAsia="ru-RU" w:bidi="ar-SA"/>
              </w:rPr>
              <w:t>________________/</w:t>
            </w:r>
          </w:p>
          <w:p>
            <w:pPr>
              <w:pStyle w:val="Normal"/>
              <w:widowControl/>
              <w:spacing w:lineRule="auto" w:line="240" w:before="0" w:after="0"/>
              <w:contextualSpacing/>
              <w:jc w:val="left"/>
              <w:rPr>
                <w:rFonts w:ascii="Times New Roman" w:hAnsi="Times New Roman"/>
              </w:rPr>
            </w:pPr>
            <w:r>
              <w:rPr>
                <w:rFonts w:eastAsia="Times New Roman" w:ascii="Times New Roman" w:hAnsi="Times New Roman"/>
                <w:kern w:val="0"/>
                <w:lang w:val="ru-RU" w:eastAsia="ru-RU" w:bidi="ar-SA"/>
              </w:rPr>
            </w:r>
          </w:p>
          <w:p>
            <w:pPr>
              <w:pStyle w:val="Normal"/>
              <w:widowControl/>
              <w:spacing w:lineRule="auto" w:line="240" w:before="0" w:after="0"/>
              <w:contextualSpacing/>
              <w:jc w:val="left"/>
              <w:rPr>
                <w:rFonts w:ascii="Times New Roman" w:hAnsi="Times New Roman"/>
                <w:color w:val="000000"/>
              </w:rPr>
            </w:pPr>
            <w:r>
              <w:rPr>
                <w:rFonts w:eastAsia="Times New Roman" w:ascii="Times New Roman" w:hAnsi="Times New Roman"/>
                <w:kern w:val="0"/>
                <w:lang w:val="ru-RU" w:eastAsia="ru-RU" w:bidi="ar-SA"/>
              </w:rPr>
              <w:t>М.П.</w:t>
            </w:r>
          </w:p>
          <w:p>
            <w:pPr>
              <w:pStyle w:val="Style27"/>
              <w:widowControl w:val="false"/>
              <w:spacing w:lineRule="auto" w:line="240" w:before="0" w:after="0"/>
              <w:ind w:left="0" w:right="0" w:hanging="0"/>
              <w:jc w:val="left"/>
              <w:rPr>
                <w:rFonts w:ascii="Times New Roman" w:hAnsi="Times New Roman"/>
                <w:b/>
                <w:bCs/>
              </w:rPr>
            </w:pPr>
            <w:r>
              <w:rPr>
                <w:rFonts w:eastAsia="Times New Roman" w:ascii="Times New Roman" w:hAnsi="Times New Roman"/>
                <w:b/>
                <w:bCs/>
                <w:kern w:val="0"/>
                <w:lang w:val="ru-RU" w:eastAsia="ru-RU" w:bidi="ar-SA"/>
              </w:rPr>
            </w:r>
          </w:p>
        </w:tc>
        <w:tc>
          <w:tcPr>
            <w:tcW w:w="4819" w:type="dxa"/>
            <w:tcBorders>
              <w:top w:val="nil"/>
              <w:left w:val="nil"/>
              <w:bottom w:val="nil"/>
              <w:right w:val="nil"/>
            </w:tcBorders>
          </w:tcPr>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t>От Лицензиата</w:t>
            </w:r>
          </w:p>
          <w:p>
            <w:pPr>
              <w:pStyle w:val="Normal"/>
              <w:widowControl w:val="false"/>
              <w:spacing w:lineRule="auto" w:line="240" w:before="0" w:after="0"/>
              <w:jc w:val="both"/>
              <w:rPr>
                <w:rFonts w:ascii="Calibri" w:hAnsi="Calibri" w:eastAsia="Times New Roman"/>
                <w:kern w:val="0"/>
                <w:lang w:val="ru-RU" w:eastAsia="ru-RU" w:bidi="ar-SA"/>
              </w:rPr>
            </w:pPr>
            <w:r>
              <w:rPr>
                <w:rFonts w:eastAsia="Times New Roman" w:ascii="Times New Roman" w:hAnsi="Times New Roman"/>
                <w:color w:val="000000"/>
                <w:kern w:val="0"/>
                <w:lang w:val="ru-RU" w:eastAsia="ru-RU" w:bidi="ar-SA"/>
              </w:rPr>
              <w:t xml:space="preserve">Начальник филиала </w:t>
            </w:r>
          </w:p>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val="false"/>
              <w:spacing w:lineRule="auto" w:line="240" w:before="0" w:after="0"/>
              <w:jc w:val="both"/>
              <w:rPr>
                <w:rFonts w:ascii="Times New Roman" w:hAnsi="Times New Roman"/>
                <w:color w:val="000000"/>
              </w:rPr>
            </w:pPr>
            <w:r>
              <w:rPr>
                <w:rFonts w:eastAsia="Times New Roman" w:ascii="Times New Roman" w:hAnsi="Times New Roman"/>
                <w:color w:val="000000"/>
                <w:kern w:val="0"/>
                <w:lang w:val="ru-RU" w:eastAsia="ru-RU" w:bidi="ar-SA"/>
              </w:rPr>
            </w:r>
          </w:p>
          <w:p>
            <w:pPr>
              <w:pStyle w:val="Normal"/>
              <w:widowControl w:val="false"/>
              <w:spacing w:lineRule="auto" w:line="240" w:before="0" w:after="0"/>
              <w:jc w:val="both"/>
              <w:rPr>
                <w:rFonts w:ascii="Times New Roman" w:hAnsi="Times New Roman"/>
                <w:color w:val="000000"/>
                <w:lang w:val="en-US"/>
              </w:rPr>
            </w:pPr>
            <w:r>
              <w:rPr>
                <w:rFonts w:eastAsia="Times New Roman" w:ascii="Times New Roman" w:hAnsi="Times New Roman"/>
                <w:color w:val="000000"/>
                <w:kern w:val="0"/>
                <w:lang w:val="ru-RU" w:eastAsia="ru-RU" w:bidi="ar-SA"/>
              </w:rPr>
              <w:t xml:space="preserve">____________________ / </w:t>
            </w:r>
            <w:r>
              <w:rPr>
                <w:rFonts w:eastAsia="Times New Roman" w:ascii="Times New Roman" w:hAnsi="Times New Roman"/>
                <w:color w:val="000000"/>
                <w:kern w:val="0"/>
                <w:lang w:val="ru-RU" w:eastAsia="ru-RU" w:bidi="ar-SA"/>
              </w:rPr>
              <w:t>А.Ю. Мосин</w:t>
            </w:r>
          </w:p>
          <w:p>
            <w:pPr>
              <w:pStyle w:val="Style27"/>
              <w:widowControl w:val="false"/>
              <w:spacing w:lineRule="auto" w:line="240" w:before="0" w:after="0"/>
              <w:ind w:left="0" w:right="0" w:hanging="0"/>
              <w:jc w:val="left"/>
              <w:rPr>
                <w:rFonts w:ascii="Times New Roman" w:hAnsi="Times New Roman"/>
                <w:color w:val="000000"/>
              </w:rPr>
            </w:pPr>
            <w:r>
              <w:rPr>
                <w:rFonts w:eastAsia="Times New Roman" w:ascii="Times New Roman" w:hAnsi="Times New Roman"/>
                <w:color w:val="000000"/>
                <w:kern w:val="0"/>
                <w:lang w:val="ru-RU" w:eastAsia="ru-RU" w:bidi="ar-SA"/>
              </w:rPr>
            </w:r>
          </w:p>
          <w:p>
            <w:pPr>
              <w:pStyle w:val="Style27"/>
              <w:widowControl w:val="false"/>
              <w:spacing w:lineRule="auto" w:line="240" w:before="0" w:after="0"/>
              <w:ind w:left="0" w:right="0" w:hanging="0"/>
              <w:jc w:val="left"/>
              <w:rPr>
                <w:rFonts w:ascii="Times New Roman" w:hAnsi="Times New Roman"/>
                <w:b/>
                <w:bCs/>
              </w:rPr>
            </w:pPr>
            <w:bookmarkStart w:id="47" w:name="_Hlk172563216"/>
            <w:r>
              <w:rPr>
                <w:rFonts w:eastAsia="Times New Roman" w:ascii="Times New Roman" w:hAnsi="Times New Roman"/>
                <w:color w:val="000000"/>
                <w:kern w:val="0"/>
                <w:lang w:val="ru-RU" w:eastAsia="ru-RU" w:bidi="ar-SA"/>
              </w:rPr>
              <w:t>М.П.</w:t>
            </w:r>
            <w:bookmarkEnd w:id="47"/>
          </w:p>
        </w:tc>
      </w:tr>
    </w:tbl>
    <w:p>
      <w:pPr>
        <w:pStyle w:val="Normal"/>
        <w:spacing w:lineRule="auto" w:line="240" w:before="0" w:after="0"/>
        <w:rPr>
          <w:rFonts w:ascii="Times New Roman" w:hAnsi="Times New Roman"/>
          <w:sz w:val="24"/>
          <w:szCs w:val="24"/>
        </w:rPr>
      </w:pPr>
      <w:r>
        <w:rPr>
          <w:rFonts w:ascii="Times New Roman" w:hAnsi="Times New Roman"/>
          <w:sz w:val="24"/>
          <w:szCs w:val="24"/>
        </w:rPr>
      </w:r>
    </w:p>
    <w:sectPr>
      <w:headerReference w:type="even" r:id="rId11"/>
      <w:headerReference w:type="default" r:id="rId12"/>
      <w:headerReference w:type="first" r:id="rId13"/>
      <w:type w:val="nextPage"/>
      <w:pgSz w:w="11906" w:h="16838"/>
      <w:pgMar w:left="720" w:right="707" w:gutter="0" w:header="397"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Cambria">
    <w:charset w:val="cc"/>
    <w:family w:val="roman"/>
    <w:pitch w:val="variable"/>
  </w:font>
  <w:font w:name="Arial">
    <w:charset w:val="cc"/>
    <w:family w:val="roman"/>
    <w:pitch w:val="variable"/>
  </w:font>
  <w:font w:name="Tahoma">
    <w:charset w:val="cc"/>
    <w:family w:val="roman"/>
    <w:pitch w:val="variable"/>
  </w:font>
  <w:font w:name="Courier New">
    <w:charset w:val="cc"/>
    <w:family w:val="roman"/>
    <w:pitch w:val="variable"/>
  </w:font>
  <w:font w:name="Trebuchet MS">
    <w:charset w:val="cc"/>
    <w:family w:val="roman"/>
    <w:pitch w:val="variable"/>
  </w:font>
  <w:font w:name="Liberation Sans">
    <w:altName w:val="Arial"/>
    <w:charset w:val="cc"/>
    <w:family w:val="swiss"/>
    <w:pitch w:val="variable"/>
  </w:font>
  <w:font w:name="Times New Roman">
    <w:charset w:val="01"/>
    <w:family w:val="roman"/>
    <w:pitch w:val="variable"/>
  </w:font>
  <w:font w:name="PT Astra Serif">
    <w:charset w:val="cc"/>
    <w:family w:val="roman"/>
    <w:pitch w:val="variable"/>
  </w:font>
  <w:font w:name="Courier New">
    <w:charset w:val="01"/>
    <w:family w:val="modern"/>
    <w:pitch w:val="fixed"/>
  </w:font>
  <w:font w:name="Wingdings">
    <w:charset w:val="02"/>
    <w:family w:val="auto"/>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Style30"/>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Style30"/>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rPr/>
    </w:pPr>
    <w:r>
      <w:rPr/>
    </w:r>
    <w:r>
      <mc:AlternateContent>
        <mc:Choice Requires="wps">
          <w:drawing>
            <wp:anchor behindDoc="0" distT="0" distB="0" distL="0" distR="0" simplePos="0" locked="0" layoutInCell="0" allowOverlap="1" relativeHeight="15">
              <wp:simplePos x="0" y="0"/>
              <wp:positionH relativeFrom="margin">
                <wp:align>center</wp:align>
              </wp:positionH>
              <wp:positionV relativeFrom="paragraph">
                <wp:posOffset>635</wp:posOffset>
              </wp:positionV>
              <wp:extent cx="603250" cy="175260"/>
              <wp:effectExtent l="0" t="0" r="0" b="0"/>
              <wp:wrapSquare wrapText="bothSides"/>
              <wp:docPr id="2" name="Врезка2"/>
              <a:graphic xmlns:a="http://schemas.openxmlformats.org/drawingml/2006/main">
                <a:graphicData uri="http://schemas.microsoft.com/office/word/2010/wordprocessingShape">
                  <wps:wsp>
                    <wps:cNvSpPr txBox="1"/>
                    <wps:spPr>
                      <a:xfrm>
                        <a:off x="0" y="0"/>
                        <a:ext cx="603250" cy="175260"/>
                      </a:xfrm>
                      <a:prstGeom prst="rect"/>
                      <a:solidFill>
                        <a:srgbClr val="FFFFFF">
                          <a:alpha val="0"/>
                        </a:srgbClr>
                      </a:solidFill>
                    </wps:spPr>
                    <wps:txbx>
                      <w:txbxContent>
                        <w:p>
                          <w:pPr>
                            <w:pStyle w:val="Style30"/>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47.5pt;height:13.8pt;mso-wrap-distance-left:0pt;mso-wrap-distance-right:0pt;mso-wrap-distance-top:0pt;mso-wrap-distance-bottom:0pt;margin-top:0.05pt;mso-position-vertical-relative:text;margin-left:238.2pt;mso-position-horizontal:center;mso-position-horizontal-relative:margin">
              <v:fill opacity="0f"/>
              <v:textbox inset="0in,0in,0in,0in">
                <w:txbxContent>
                  <w:p>
                    <w:pPr>
                      <w:pStyle w:val="Style30"/>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30"/>
      <w:rPr/>
    </w:pPr>
    <w:r>
      <w:rPr/>
    </w:r>
    <w:r>
      <mc:AlternateContent>
        <mc:Choice Requires="wps">
          <w:drawing>
            <wp:anchor behindDoc="0" distT="0" distB="0" distL="0" distR="0" simplePos="0" locked="0" layoutInCell="0" allowOverlap="1" relativeHeight="15">
              <wp:simplePos x="0" y="0"/>
              <wp:positionH relativeFrom="margin">
                <wp:align>center</wp:align>
              </wp:positionH>
              <wp:positionV relativeFrom="paragraph">
                <wp:posOffset>635</wp:posOffset>
              </wp:positionV>
              <wp:extent cx="603250" cy="175260"/>
              <wp:effectExtent l="0" t="0" r="0" b="0"/>
              <wp:wrapSquare wrapText="bothSides"/>
              <wp:docPr id="3" name="Врезка2"/>
              <a:graphic xmlns:a="http://schemas.openxmlformats.org/drawingml/2006/main">
                <a:graphicData uri="http://schemas.microsoft.com/office/word/2010/wordprocessingShape">
                  <wps:wsp>
                    <wps:cNvSpPr txBox="1"/>
                    <wps:spPr>
                      <a:xfrm>
                        <a:off x="0" y="0"/>
                        <a:ext cx="603250" cy="175260"/>
                      </a:xfrm>
                      <a:prstGeom prst="rect"/>
                      <a:solidFill>
                        <a:srgbClr val="FFFFFF">
                          <a:alpha val="0"/>
                        </a:srgbClr>
                      </a:solidFill>
                    </wps:spPr>
                    <wps:txbx>
                      <w:txbxContent>
                        <w:p>
                          <w:pPr>
                            <w:pStyle w:val="Style30"/>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47.5pt;height:13.8pt;mso-wrap-distance-left:0pt;mso-wrap-distance-right:0pt;mso-wrap-distance-top:0pt;mso-wrap-distance-bottom:0pt;margin-top:0.05pt;mso-position-vertical-relative:text;margin-left:238.2pt;mso-position-horizontal:center;mso-position-horizontal-relative:margin">
              <v:fill opacity="0f"/>
              <v:textbox inset="0in,0in,0in,0in">
                <w:txbxContent>
                  <w:p>
                    <w:pPr>
                      <w:pStyle w:val="Style30"/>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txbxContent>
              </v:textbox>
              <w10:wrap type="squar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2"/>
      <w:numFmt w:val="decimal"/>
      <w:lvlText w:val="%1."/>
      <w:lvlJc w:val="left"/>
      <w:pPr>
        <w:tabs>
          <w:tab w:val="num" w:pos="720"/>
        </w:tabs>
        <w:ind w:left="720" w:hanging="360"/>
      </w:pPr>
      <w:rPr>
        <w:b w:val="false"/>
        <w:bCs w:val="false"/>
        <w:rFonts w:cs="Times New Roman"/>
      </w:rPr>
    </w:lvl>
    <w:lvl w:ilvl="1">
      <w:start w:val="2"/>
      <w:numFmt w:val="decimal"/>
      <w:lvlText w:val="%1.%2."/>
      <w:lvlJc w:val="left"/>
      <w:pPr>
        <w:tabs>
          <w:tab w:val="num" w:pos="1080"/>
        </w:tabs>
        <w:ind w:left="1080" w:hanging="360"/>
      </w:pPr>
      <w:rPr>
        <w:b w:val="false"/>
        <w:bCs w:val="false"/>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2">
    <w:lvl w:ilvl="0">
      <w:start w:val="1"/>
      <w:numFmt w:val="bullet"/>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29" w:hanging="420"/>
      </w:pPr>
      <w:rPr>
        <w:b w:val="false"/>
      </w:rPr>
    </w:lvl>
    <w:lvl w:ilvl="2">
      <w:start w:val="1"/>
      <w:numFmt w:val="decimal"/>
      <w:lvlText w:val="%1.%2.%3."/>
      <w:lvlJc w:val="left"/>
      <w:pPr>
        <w:tabs>
          <w:tab w:val="num" w:pos="0"/>
        </w:tabs>
        <w:ind w:left="1778" w:hanging="720"/>
      </w:pPr>
      <w:rPr>
        <w:b w:val="false"/>
      </w:rPr>
    </w:lvl>
    <w:lvl w:ilvl="3">
      <w:start w:val="1"/>
      <w:numFmt w:val="decimal"/>
      <w:lvlText w:val="%1.%2.%3.%4."/>
      <w:lvlJc w:val="left"/>
      <w:pPr>
        <w:tabs>
          <w:tab w:val="num" w:pos="0"/>
        </w:tabs>
        <w:ind w:left="2127" w:hanging="720"/>
      </w:pPr>
      <w:rPr>
        <w:b w:val="false"/>
      </w:rPr>
    </w:lvl>
    <w:lvl w:ilvl="4">
      <w:start w:val="1"/>
      <w:numFmt w:val="decimal"/>
      <w:lvlText w:val="%1.%2.%3.%4.%5."/>
      <w:lvlJc w:val="left"/>
      <w:pPr>
        <w:tabs>
          <w:tab w:val="num" w:pos="0"/>
        </w:tabs>
        <w:ind w:left="2836" w:hanging="1080"/>
      </w:pPr>
      <w:rPr>
        <w:b w:val="false"/>
      </w:rPr>
    </w:lvl>
    <w:lvl w:ilvl="5">
      <w:start w:val="1"/>
      <w:numFmt w:val="decimal"/>
      <w:lvlText w:val="%1.%2.%3.%4.%5.%6."/>
      <w:lvlJc w:val="left"/>
      <w:pPr>
        <w:tabs>
          <w:tab w:val="num" w:pos="0"/>
        </w:tabs>
        <w:ind w:left="3185" w:hanging="1080"/>
      </w:pPr>
      <w:rPr>
        <w:b w:val="false"/>
      </w:rPr>
    </w:lvl>
    <w:lvl w:ilvl="6">
      <w:start w:val="1"/>
      <w:numFmt w:val="decimal"/>
      <w:lvlText w:val="%1.%2.%3.%4.%5.%6.%7."/>
      <w:lvlJc w:val="left"/>
      <w:pPr>
        <w:tabs>
          <w:tab w:val="num" w:pos="0"/>
        </w:tabs>
        <w:ind w:left="3894" w:hanging="1440"/>
      </w:pPr>
      <w:rPr>
        <w:b w:val="false"/>
      </w:rPr>
    </w:lvl>
    <w:lvl w:ilvl="7">
      <w:start w:val="1"/>
      <w:numFmt w:val="decimal"/>
      <w:lvlText w:val="%1.%2.%3.%4.%5.%6.%7.%8."/>
      <w:lvlJc w:val="left"/>
      <w:pPr>
        <w:tabs>
          <w:tab w:val="num" w:pos="0"/>
        </w:tabs>
        <w:ind w:left="4243" w:hanging="1440"/>
      </w:pPr>
      <w:rPr>
        <w:b w:val="false"/>
      </w:rPr>
    </w:lvl>
    <w:lvl w:ilvl="8">
      <w:start w:val="1"/>
      <w:numFmt w:val="decimal"/>
      <w:lvlText w:val="%1.%2.%3.%4.%5.%6.%7.%8.%9."/>
      <w:lvlJc w:val="left"/>
      <w:pPr>
        <w:tabs>
          <w:tab w:val="num" w:pos="0"/>
        </w:tabs>
        <w:ind w:left="4952" w:hanging="1800"/>
      </w:pPr>
      <w:rPr>
        <w:b w:val="false"/>
      </w:rPr>
    </w:lvl>
  </w:abstractNum>
  <w:abstractNum w:abstractNumId="4">
    <w:lvl w:ilvl="0">
      <w:start w:val="1"/>
      <w:numFmt w:val="bullet"/>
      <w:lvlText w:val=""/>
      <w:lvlJc w:val="left"/>
      <w:pPr>
        <w:tabs>
          <w:tab w:val="num" w:pos="0"/>
        </w:tabs>
        <w:ind w:left="1494" w:hanging="360"/>
      </w:pPr>
      <w:rPr>
        <w:rFonts w:ascii="Symbol" w:hAnsi="Symbol" w:cs="Symbol" w:hint="default"/>
      </w:rPr>
    </w:lvl>
    <w:lvl w:ilvl="1">
      <w:start w:val="1"/>
      <w:numFmt w:val="bullet"/>
      <w:lvlText w:val="o"/>
      <w:lvlJc w:val="left"/>
      <w:pPr>
        <w:tabs>
          <w:tab w:val="num" w:pos="0"/>
        </w:tabs>
        <w:ind w:left="2214" w:hanging="360"/>
      </w:pPr>
      <w:rPr>
        <w:rFonts w:ascii="Courier New" w:hAnsi="Courier New" w:cs="Courier New" w:hint="default"/>
      </w:rPr>
    </w:lvl>
    <w:lvl w:ilvl="2">
      <w:start w:val="1"/>
      <w:numFmt w:val="bullet"/>
      <w:lvlText w:val=""/>
      <w:lvlJc w:val="left"/>
      <w:pPr>
        <w:tabs>
          <w:tab w:val="num" w:pos="0"/>
        </w:tabs>
        <w:ind w:left="2934" w:hanging="360"/>
      </w:pPr>
      <w:rPr>
        <w:rFonts w:ascii="Wingdings" w:hAnsi="Wingdings" w:cs="Wingdings" w:hint="default"/>
      </w:rPr>
    </w:lvl>
    <w:lvl w:ilvl="3">
      <w:start w:val="1"/>
      <w:numFmt w:val="bullet"/>
      <w:lvlText w:val=""/>
      <w:lvlJc w:val="left"/>
      <w:pPr>
        <w:tabs>
          <w:tab w:val="num" w:pos="0"/>
        </w:tabs>
        <w:ind w:left="3654" w:hanging="360"/>
      </w:pPr>
      <w:rPr>
        <w:rFonts w:ascii="Symbol" w:hAnsi="Symbol" w:cs="Symbol" w:hint="default"/>
      </w:rPr>
    </w:lvl>
    <w:lvl w:ilvl="4">
      <w:start w:val="1"/>
      <w:numFmt w:val="bullet"/>
      <w:lvlText w:val="o"/>
      <w:lvlJc w:val="left"/>
      <w:pPr>
        <w:tabs>
          <w:tab w:val="num" w:pos="0"/>
        </w:tabs>
        <w:ind w:left="4374" w:hanging="360"/>
      </w:pPr>
      <w:rPr>
        <w:rFonts w:ascii="Courier New" w:hAnsi="Courier New" w:cs="Courier New" w:hint="default"/>
      </w:rPr>
    </w:lvl>
    <w:lvl w:ilvl="5">
      <w:start w:val="1"/>
      <w:numFmt w:val="bullet"/>
      <w:lvlText w:val=""/>
      <w:lvlJc w:val="left"/>
      <w:pPr>
        <w:tabs>
          <w:tab w:val="num" w:pos="0"/>
        </w:tabs>
        <w:ind w:left="5094" w:hanging="360"/>
      </w:pPr>
      <w:rPr>
        <w:rFonts w:ascii="Wingdings" w:hAnsi="Wingdings" w:cs="Wingdings" w:hint="default"/>
      </w:rPr>
    </w:lvl>
    <w:lvl w:ilvl="6">
      <w:start w:val="1"/>
      <w:numFmt w:val="bullet"/>
      <w:lvlText w:val=""/>
      <w:lvlJc w:val="left"/>
      <w:pPr>
        <w:tabs>
          <w:tab w:val="num" w:pos="0"/>
        </w:tabs>
        <w:ind w:left="5814" w:hanging="360"/>
      </w:pPr>
      <w:rPr>
        <w:rFonts w:ascii="Symbol" w:hAnsi="Symbol" w:cs="Symbol" w:hint="default"/>
      </w:rPr>
    </w:lvl>
    <w:lvl w:ilvl="7">
      <w:start w:val="1"/>
      <w:numFmt w:val="bullet"/>
      <w:lvlText w:val="o"/>
      <w:lvlJc w:val="left"/>
      <w:pPr>
        <w:tabs>
          <w:tab w:val="num" w:pos="0"/>
        </w:tabs>
        <w:ind w:left="6534" w:hanging="360"/>
      </w:pPr>
      <w:rPr>
        <w:rFonts w:ascii="Courier New" w:hAnsi="Courier New" w:cs="Courier New" w:hint="default"/>
      </w:rPr>
    </w:lvl>
    <w:lvl w:ilvl="8">
      <w:start w:val="1"/>
      <w:numFmt w:val="bullet"/>
      <w:lvlText w:val=""/>
      <w:lvlJc w:val="left"/>
      <w:pPr>
        <w:tabs>
          <w:tab w:val="num" w:pos="0"/>
        </w:tabs>
        <w:ind w:left="7254" w:hanging="360"/>
      </w:pPr>
      <w:rPr>
        <w:rFonts w:ascii="Wingdings" w:hAnsi="Wingdings" w:cs="Wingdings" w:hint="default"/>
      </w:rPr>
    </w:lvl>
  </w:abstractNum>
  <w:abstractNum w:abstractNumId="5">
    <w:lvl w:ilvl="0">
      <w:start w:val="9"/>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decimal"/>
      <w:lvlText w:val="%1."/>
      <w:lvlJc w:val="left"/>
      <w:pPr>
        <w:tabs>
          <w:tab w:val="num" w:pos="0"/>
        </w:tabs>
        <w:ind w:left="502" w:hanging="360"/>
      </w:pPr>
      <w:rPr>
        <w:b/>
        <w:rFonts w:ascii="Times New Roman" w:hAnsi="Times New Roman" w:eastAsia="Times New Roman" w:cs="Times New Roman"/>
      </w:rPr>
    </w:lvl>
    <w:lvl w:ilvl="1">
      <w:start w:val="1"/>
      <w:numFmt w:val="decimal"/>
      <w:lvlText w:val="%1.%2."/>
      <w:lvlJc w:val="left"/>
      <w:pPr>
        <w:tabs>
          <w:tab w:val="num" w:pos="0"/>
        </w:tabs>
        <w:ind w:left="1200" w:hanging="480"/>
      </w:pPr>
      <w:rPr>
        <w:b/>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222" w:hanging="360"/>
      </w:pPr>
      <w:rPr>
        <w:rFonts w:ascii="Symbol" w:hAnsi="Symbol" w:cs="Symbol" w:hint="default"/>
      </w:rPr>
    </w:lvl>
    <w:lvl w:ilvl="1">
      <w:start w:val="1"/>
      <w:numFmt w:val="bullet"/>
      <w:lvlText w:val="o"/>
      <w:lvlJc w:val="left"/>
      <w:pPr>
        <w:tabs>
          <w:tab w:val="num" w:pos="0"/>
        </w:tabs>
        <w:ind w:left="1942" w:hanging="360"/>
      </w:pPr>
      <w:rPr>
        <w:rFonts w:ascii="Courier New" w:hAnsi="Courier New" w:cs="Courier New" w:hint="default"/>
      </w:rPr>
    </w:lvl>
    <w:lvl w:ilvl="2">
      <w:start w:val="1"/>
      <w:numFmt w:val="bullet"/>
      <w:lvlText w:val=""/>
      <w:lvlJc w:val="left"/>
      <w:pPr>
        <w:tabs>
          <w:tab w:val="num" w:pos="0"/>
        </w:tabs>
        <w:ind w:left="2662" w:hanging="360"/>
      </w:pPr>
      <w:rPr>
        <w:rFonts w:ascii="Wingdings" w:hAnsi="Wingdings" w:cs="Wingdings" w:hint="default"/>
      </w:rPr>
    </w:lvl>
    <w:lvl w:ilvl="3">
      <w:start w:val="1"/>
      <w:numFmt w:val="bullet"/>
      <w:lvlText w:val=""/>
      <w:lvlJc w:val="left"/>
      <w:pPr>
        <w:tabs>
          <w:tab w:val="num" w:pos="0"/>
        </w:tabs>
        <w:ind w:left="3382" w:hanging="360"/>
      </w:pPr>
      <w:rPr>
        <w:rFonts w:ascii="Symbol" w:hAnsi="Symbol" w:cs="Symbol" w:hint="default"/>
      </w:rPr>
    </w:lvl>
    <w:lvl w:ilvl="4">
      <w:start w:val="1"/>
      <w:numFmt w:val="bullet"/>
      <w:lvlText w:val="o"/>
      <w:lvlJc w:val="left"/>
      <w:pPr>
        <w:tabs>
          <w:tab w:val="num" w:pos="0"/>
        </w:tabs>
        <w:ind w:left="4102" w:hanging="360"/>
      </w:pPr>
      <w:rPr>
        <w:rFonts w:ascii="Courier New" w:hAnsi="Courier New" w:cs="Courier New" w:hint="default"/>
      </w:rPr>
    </w:lvl>
    <w:lvl w:ilvl="5">
      <w:start w:val="1"/>
      <w:numFmt w:val="bullet"/>
      <w:lvlText w:val=""/>
      <w:lvlJc w:val="left"/>
      <w:pPr>
        <w:tabs>
          <w:tab w:val="num" w:pos="0"/>
        </w:tabs>
        <w:ind w:left="4822" w:hanging="360"/>
      </w:pPr>
      <w:rPr>
        <w:rFonts w:ascii="Wingdings" w:hAnsi="Wingdings" w:cs="Wingdings" w:hint="default"/>
      </w:rPr>
    </w:lvl>
    <w:lvl w:ilvl="6">
      <w:start w:val="1"/>
      <w:numFmt w:val="bullet"/>
      <w:lvlText w:val=""/>
      <w:lvlJc w:val="left"/>
      <w:pPr>
        <w:tabs>
          <w:tab w:val="num" w:pos="0"/>
        </w:tabs>
        <w:ind w:left="5542" w:hanging="360"/>
      </w:pPr>
      <w:rPr>
        <w:rFonts w:ascii="Symbol" w:hAnsi="Symbol" w:cs="Symbol" w:hint="default"/>
      </w:rPr>
    </w:lvl>
    <w:lvl w:ilvl="7">
      <w:start w:val="1"/>
      <w:numFmt w:val="bullet"/>
      <w:lvlText w:val="o"/>
      <w:lvlJc w:val="left"/>
      <w:pPr>
        <w:tabs>
          <w:tab w:val="num" w:pos="0"/>
        </w:tabs>
        <w:ind w:left="6262" w:hanging="360"/>
      </w:pPr>
      <w:rPr>
        <w:rFonts w:ascii="Courier New" w:hAnsi="Courier New" w:cs="Courier New" w:hint="default"/>
      </w:rPr>
    </w:lvl>
    <w:lvl w:ilvl="8">
      <w:start w:val="1"/>
      <w:numFmt w:val="bullet"/>
      <w:lvlText w:val=""/>
      <w:lvlJc w:val="left"/>
      <w:pPr>
        <w:tabs>
          <w:tab w:val="num" w:pos="0"/>
        </w:tabs>
        <w:ind w:left="6982" w:hanging="360"/>
      </w:pPr>
      <w:rPr>
        <w:rFonts w:ascii="Wingdings" w:hAnsi="Wingdings" w:cs="Wingdings"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Calibri"/>
        <w:lang w:val="ru-RU" w:eastAsia="ru-RU" w:bidi="ar-SA"/>
      </w:rPr>
    </w:rPrDefault>
    <w:pPrDefault>
      <w:pPr>
        <w:suppressAutoHyphens w:val="true"/>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uiPriority="0"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86662"/>
    <w:pPr>
      <w:widowControl/>
      <w:bidi w:val="0"/>
      <w:spacing w:lineRule="auto" w:line="276" w:before="0" w:after="200"/>
      <w:jc w:val="left"/>
    </w:pPr>
    <w:rPr>
      <w:rFonts w:cs="Times New Roman" w:ascii="Calibri" w:hAnsi="Calibri" w:eastAsia="Times New Roman"/>
      <w:color w:val="auto"/>
      <w:kern w:val="0"/>
      <w:sz w:val="22"/>
      <w:szCs w:val="22"/>
      <w:lang w:val="ru-RU" w:eastAsia="ru-RU" w:bidi="ar-SA"/>
    </w:rPr>
  </w:style>
  <w:style w:type="paragraph" w:styleId="1">
    <w:name w:val="Heading 1"/>
    <w:basedOn w:val="Normal"/>
    <w:link w:val="11"/>
    <w:uiPriority w:val="99"/>
    <w:qFormat/>
    <w:rsid w:val="00237d8a"/>
    <w:pPr>
      <w:keepNext w:val="true"/>
      <w:suppressAutoHyphens w:val="true"/>
      <w:spacing w:lineRule="auto" w:line="240" w:before="0" w:after="0"/>
      <w:ind w:firstLine="720"/>
      <w:outlineLvl w:val="0"/>
    </w:pPr>
    <w:rPr>
      <w:rFonts w:ascii="Times New Roman" w:hAnsi="Times New Roman"/>
      <w:b/>
      <w:bCs/>
      <w:kern w:val="2"/>
      <w:sz w:val="28"/>
      <w:szCs w:val="28"/>
    </w:rPr>
  </w:style>
  <w:style w:type="paragraph" w:styleId="2">
    <w:name w:val="Heading 2"/>
    <w:basedOn w:val="Normal"/>
    <w:link w:val="21"/>
    <w:uiPriority w:val="99"/>
    <w:qFormat/>
    <w:rsid w:val="00237d8a"/>
    <w:pPr>
      <w:keepNext w:val="true"/>
      <w:suppressAutoHyphens w:val="true"/>
      <w:spacing w:lineRule="auto" w:line="240" w:before="240" w:after="60"/>
      <w:outlineLvl w:val="1"/>
    </w:pPr>
    <w:rPr>
      <w:rFonts w:ascii="Cambria" w:hAnsi="Cambria"/>
      <w:b/>
      <w:bCs/>
      <w:i/>
      <w:iCs/>
      <w:kern w:val="2"/>
      <w:sz w:val="28"/>
      <w:szCs w:val="28"/>
    </w:rPr>
  </w:style>
  <w:style w:type="paragraph" w:styleId="3">
    <w:name w:val="Heading 3"/>
    <w:basedOn w:val="Normal"/>
    <w:next w:val="Normal"/>
    <w:link w:val="32"/>
    <w:semiHidden/>
    <w:unhideWhenUsed/>
    <w:qFormat/>
    <w:locked/>
    <w:rsid w:val="0007646e"/>
    <w:pPr>
      <w:keepNext w:val="true"/>
      <w:keepLines/>
      <w:spacing w:before="40" w:after="0"/>
      <w:outlineLvl w:val="2"/>
    </w:pPr>
    <w:rPr>
      <w:rFonts w:ascii="Cambria" w:hAnsi="Cambria" w:eastAsia="" w:cs="" w:asciiTheme="majorHAnsi" w:cstheme="majorBidi" w:eastAsiaTheme="majorEastAsia" w:hAnsiTheme="majorHAnsi"/>
      <w:color w:val="243F60" w:themeColor="accent1" w:themeShade="7f"/>
      <w:sz w:val="24"/>
      <w:szCs w:val="24"/>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uiPriority w:val="99"/>
    <w:qFormat/>
    <w:locked/>
    <w:rsid w:val="00237d8a"/>
    <w:rPr>
      <w:rFonts w:ascii="Times New Roman" w:hAnsi="Times New Roman" w:cs="Times New Roman"/>
      <w:b/>
      <w:bCs/>
      <w:kern w:val="2"/>
      <w:sz w:val="28"/>
      <w:szCs w:val="28"/>
    </w:rPr>
  </w:style>
  <w:style w:type="character" w:styleId="21" w:customStyle="1">
    <w:name w:val="Заголовок 2 Знак"/>
    <w:basedOn w:val="DefaultParagraphFont"/>
    <w:uiPriority w:val="99"/>
    <w:semiHidden/>
    <w:qFormat/>
    <w:locked/>
    <w:rsid w:val="00237d8a"/>
    <w:rPr>
      <w:rFonts w:ascii="Cambria" w:hAnsi="Cambria" w:cs="Times New Roman"/>
      <w:b/>
      <w:bCs/>
      <w:i/>
      <w:iCs/>
      <w:kern w:val="2"/>
      <w:sz w:val="28"/>
      <w:szCs w:val="28"/>
    </w:rPr>
  </w:style>
  <w:style w:type="character" w:styleId="Style11" w:customStyle="1">
    <w:name w:val="Заголовок Знак"/>
    <w:basedOn w:val="DefaultParagraphFont"/>
    <w:uiPriority w:val="99"/>
    <w:qFormat/>
    <w:locked/>
    <w:rsid w:val="00237d8a"/>
    <w:rPr>
      <w:rFonts w:ascii="Arial" w:hAnsi="Arial" w:cs="Arial"/>
      <w:b/>
      <w:bCs/>
      <w:kern w:val="2"/>
      <w:sz w:val="32"/>
      <w:szCs w:val="32"/>
    </w:rPr>
  </w:style>
  <w:style w:type="character" w:styleId="Style12" w:customStyle="1">
    <w:name w:val="Основной текст Знак"/>
    <w:basedOn w:val="DefaultParagraphFont"/>
    <w:uiPriority w:val="99"/>
    <w:semiHidden/>
    <w:qFormat/>
    <w:locked/>
    <w:rsid w:val="00237d8a"/>
    <w:rPr>
      <w:rFonts w:ascii="Times New Roman" w:hAnsi="Times New Roman" w:cs="Times New Roman"/>
      <w:b/>
      <w:bCs/>
      <w:kern w:val="2"/>
      <w:sz w:val="36"/>
      <w:szCs w:val="36"/>
    </w:rPr>
  </w:style>
  <w:style w:type="character" w:styleId="Style13" w:customStyle="1">
    <w:name w:val="Текст выноски Знак"/>
    <w:basedOn w:val="DefaultParagraphFont"/>
    <w:link w:val="BalloonText"/>
    <w:uiPriority w:val="99"/>
    <w:semiHidden/>
    <w:qFormat/>
    <w:locked/>
    <w:rsid w:val="00237d8a"/>
    <w:rPr>
      <w:rFonts w:ascii="Tahoma" w:hAnsi="Tahoma" w:cs="Tahoma"/>
      <w:sz w:val="16"/>
      <w:szCs w:val="16"/>
    </w:rPr>
  </w:style>
  <w:style w:type="character" w:styleId="-">
    <w:name w:val="Hyperlink"/>
    <w:basedOn w:val="DefaultParagraphFont"/>
    <w:uiPriority w:val="99"/>
    <w:rsid w:val="00c050f2"/>
    <w:rPr>
      <w:rFonts w:cs="Times New Roman"/>
      <w:color w:val="0000FF"/>
      <w:u w:val="single"/>
    </w:rPr>
  </w:style>
  <w:style w:type="character" w:styleId="31" w:customStyle="1">
    <w:name w:val="заголовок 3 Знак"/>
    <w:link w:val="34"/>
    <w:uiPriority w:val="99"/>
    <w:qFormat/>
    <w:locked/>
    <w:rsid w:val="00c050f2"/>
    <w:rPr>
      <w:b/>
      <w:i/>
    </w:rPr>
  </w:style>
  <w:style w:type="character" w:styleId="PlaceholderText">
    <w:name w:val="Placeholder Text"/>
    <w:basedOn w:val="DefaultParagraphFont"/>
    <w:uiPriority w:val="99"/>
    <w:semiHidden/>
    <w:qFormat/>
    <w:rsid w:val="00840c32"/>
    <w:rPr>
      <w:rFonts w:cs="Times New Roman"/>
      <w:color w:val="808080"/>
    </w:rPr>
  </w:style>
  <w:style w:type="character" w:styleId="Strong">
    <w:name w:val="Strong"/>
    <w:basedOn w:val="DefaultParagraphFont"/>
    <w:uiPriority w:val="22"/>
    <w:qFormat/>
    <w:locked/>
    <w:rsid w:val="00927fdd"/>
    <w:rPr>
      <w:rFonts w:cs="Times New Roman"/>
      <w:b/>
      <w:bCs/>
    </w:rPr>
  </w:style>
  <w:style w:type="character" w:styleId="Item-big-words" w:customStyle="1">
    <w:name w:val="item-big-words"/>
    <w:basedOn w:val="DefaultParagraphFont"/>
    <w:uiPriority w:val="99"/>
    <w:qFormat/>
    <w:rsid w:val="002f14ea"/>
    <w:rPr>
      <w:rFonts w:cs="Times New Roman"/>
    </w:rPr>
  </w:style>
  <w:style w:type="character" w:styleId="Style14" w:customStyle="1">
    <w:name w:val="Основной текст с отступом Знак"/>
    <w:basedOn w:val="DefaultParagraphFont"/>
    <w:uiPriority w:val="99"/>
    <w:qFormat/>
    <w:locked/>
    <w:rsid w:val="00b76abe"/>
    <w:rPr>
      <w:rFonts w:cs="Times New Roman"/>
    </w:rPr>
  </w:style>
  <w:style w:type="character" w:styleId="Tztxt" w:customStyle="1">
    <w:name w:val="tz_txt Знак"/>
    <w:link w:val="Tztxt1"/>
    <w:qFormat/>
    <w:locked/>
    <w:rsid w:val="00c33c10"/>
    <w:rPr>
      <w:rFonts w:ascii="Times New Roman" w:hAnsi="Times New Roman"/>
      <w:sz w:val="24"/>
    </w:rPr>
  </w:style>
  <w:style w:type="character" w:styleId="HTML" w:customStyle="1">
    <w:name w:val="Стандартный HTML Знак"/>
    <w:basedOn w:val="DefaultParagraphFont"/>
    <w:link w:val="HTMLPreformatted"/>
    <w:uiPriority w:val="99"/>
    <w:qFormat/>
    <w:locked/>
    <w:rsid w:val="00ac5384"/>
    <w:rPr>
      <w:rFonts w:ascii="Courier New" w:hAnsi="Courier New" w:cs="Courier New"/>
      <w:sz w:val="20"/>
      <w:szCs w:val="20"/>
      <w:lang w:eastAsia="ar-SA" w:bidi="ar-SA"/>
    </w:rPr>
  </w:style>
  <w:style w:type="character" w:styleId="22" w:customStyle="1">
    <w:name w:val="Основной текст с отступом 2 Знак"/>
    <w:basedOn w:val="DefaultParagraphFont"/>
    <w:link w:val="BodyTextIndent2"/>
    <w:uiPriority w:val="99"/>
    <w:semiHidden/>
    <w:qFormat/>
    <w:locked/>
    <w:rsid w:val="00ac5384"/>
    <w:rPr>
      <w:rFonts w:cs="Times New Roman"/>
    </w:rPr>
  </w:style>
  <w:style w:type="character" w:styleId="Descr" w:customStyle="1">
    <w:name w:val="descr"/>
    <w:qFormat/>
    <w:rsid w:val="00e90645"/>
    <w:rPr>
      <w:color w:val="000000"/>
      <w:sz w:val="20"/>
    </w:rPr>
  </w:style>
  <w:style w:type="character" w:styleId="Style15" w:customStyle="1">
    <w:name w:val="Верхний колонтитул Знак"/>
    <w:basedOn w:val="DefaultParagraphFont"/>
    <w:uiPriority w:val="99"/>
    <w:qFormat/>
    <w:locked/>
    <w:rsid w:val="00fa78c4"/>
    <w:rPr>
      <w:rFonts w:ascii="Times New Roman" w:hAnsi="Times New Roman" w:cs="Times New Roman"/>
      <w:sz w:val="24"/>
      <w:szCs w:val="24"/>
    </w:rPr>
  </w:style>
  <w:style w:type="character" w:styleId="Pagenumber">
    <w:name w:val="page number"/>
    <w:basedOn w:val="DefaultParagraphFont"/>
    <w:uiPriority w:val="99"/>
    <w:qFormat/>
    <w:rsid w:val="00fa78c4"/>
    <w:rPr>
      <w:rFonts w:cs="Times New Roman"/>
    </w:rPr>
  </w:style>
  <w:style w:type="character" w:styleId="Style16" w:customStyle="1">
    <w:name w:val="Основной текст с красной строки Знак"/>
    <w:link w:val="Style32"/>
    <w:qFormat/>
    <w:locked/>
    <w:rsid w:val="00e02a1c"/>
    <w:rPr>
      <w:rFonts w:ascii="Times New Roman" w:hAnsi="Times New Roman" w:cs="Times New Roman"/>
      <w:sz w:val="24"/>
      <w:szCs w:val="24"/>
    </w:rPr>
  </w:style>
  <w:style w:type="character" w:styleId="Style17" w:customStyle="1">
    <w:name w:val="Нижний колонтитул Знак"/>
    <w:basedOn w:val="DefaultParagraphFont"/>
    <w:uiPriority w:val="99"/>
    <w:qFormat/>
    <w:rsid w:val="004f14e4"/>
    <w:rPr>
      <w:rFonts w:cs="Times New Roman"/>
      <w:sz w:val="22"/>
      <w:szCs w:val="22"/>
    </w:rPr>
  </w:style>
  <w:style w:type="character" w:styleId="Iceouttxt6" w:customStyle="1">
    <w:name w:val="iceouttxt6"/>
    <w:basedOn w:val="DefaultParagraphFont"/>
    <w:qFormat/>
    <w:rsid w:val="00e34649"/>
    <w:rPr>
      <w:rFonts w:ascii="Arial" w:hAnsi="Arial" w:cs="Arial"/>
      <w:color w:val="666666"/>
      <w:sz w:val="15"/>
      <w:szCs w:val="15"/>
    </w:rPr>
  </w:style>
  <w:style w:type="character" w:styleId="Bodytext" w:customStyle="1">
    <w:name w:val="Body text_"/>
    <w:link w:val="15"/>
    <w:qFormat/>
    <w:rsid w:val="00f33e7d"/>
    <w:rPr>
      <w:rFonts w:ascii="Trebuchet MS" w:hAnsi="Trebuchet MS" w:eastAsia="Trebuchet MS" w:cs="Trebuchet MS"/>
      <w:spacing w:val="-10"/>
      <w:shd w:fill="FFFFFF" w:val="clear"/>
    </w:rPr>
  </w:style>
  <w:style w:type="character" w:styleId="BodytextTahomaBold" w:customStyle="1">
    <w:name w:val="Body text + Tahoma;Bold"/>
    <w:qFormat/>
    <w:rsid w:val="00f33e7d"/>
    <w:rPr>
      <w:rFonts w:ascii="Tahoma" w:hAnsi="Tahoma" w:eastAsia="Tahoma" w:cs="Tahoma"/>
      <w:b/>
      <w:bCs/>
      <w:i w:val="false"/>
      <w:iCs w:val="false"/>
      <w:caps w:val="false"/>
      <w:smallCaps w:val="false"/>
      <w:strike w:val="false"/>
      <w:dstrike w:val="false"/>
      <w:color w:val="000000"/>
      <w:spacing w:val="-10"/>
      <w:w w:val="100"/>
      <w:sz w:val="22"/>
      <w:szCs w:val="22"/>
      <w:u w:val="none"/>
      <w:lang w:val="ru-RU" w:eastAsia="ru-RU" w:bidi="ru-RU"/>
    </w:rPr>
  </w:style>
  <w:style w:type="character" w:styleId="Style18" w:customStyle="1">
    <w:name w:val="Абзац списка Знак"/>
    <w:link w:val="ListParagraph"/>
    <w:uiPriority w:val="34"/>
    <w:qFormat/>
    <w:locked/>
    <w:rsid w:val="0027735d"/>
    <w:rPr>
      <w:rFonts w:cs="Times New Roman"/>
      <w:sz w:val="22"/>
      <w:szCs w:val="22"/>
    </w:rPr>
  </w:style>
  <w:style w:type="character" w:styleId="12" w:customStyle="1">
    <w:name w:val="Неразрешенное упоминание1"/>
    <w:basedOn w:val="DefaultParagraphFont"/>
    <w:uiPriority w:val="99"/>
    <w:semiHidden/>
    <w:unhideWhenUsed/>
    <w:qFormat/>
    <w:rsid w:val="00e35a02"/>
    <w:rPr>
      <w:color w:val="605E5C"/>
      <w:shd w:fill="E1DFDD" w:val="clear"/>
    </w:rPr>
  </w:style>
  <w:style w:type="character" w:styleId="Annotationreference">
    <w:name w:val="annotation reference"/>
    <w:basedOn w:val="DefaultParagraphFont"/>
    <w:uiPriority w:val="99"/>
    <w:semiHidden/>
    <w:unhideWhenUsed/>
    <w:qFormat/>
    <w:rsid w:val="008d6fa5"/>
    <w:rPr>
      <w:sz w:val="16"/>
      <w:szCs w:val="16"/>
    </w:rPr>
  </w:style>
  <w:style w:type="character" w:styleId="Style19" w:customStyle="1">
    <w:name w:val="Текст примечания Знак"/>
    <w:basedOn w:val="DefaultParagraphFont"/>
    <w:link w:val="Annotationtext"/>
    <w:uiPriority w:val="99"/>
    <w:semiHidden/>
    <w:qFormat/>
    <w:rsid w:val="008d6fa5"/>
    <w:rPr>
      <w:rFonts w:cs="Times New Roman"/>
    </w:rPr>
  </w:style>
  <w:style w:type="character" w:styleId="Style20" w:customStyle="1">
    <w:name w:val="Тема примечания Знак"/>
    <w:basedOn w:val="Style19"/>
    <w:link w:val="Annotationsubject"/>
    <w:uiPriority w:val="99"/>
    <w:semiHidden/>
    <w:qFormat/>
    <w:rsid w:val="008d6fa5"/>
    <w:rPr>
      <w:rFonts w:cs="Times New Roman"/>
      <w:b/>
      <w:bCs/>
    </w:rPr>
  </w:style>
  <w:style w:type="character" w:styleId="UnresolvedMention">
    <w:name w:val="Unresolved Mention"/>
    <w:basedOn w:val="DefaultParagraphFont"/>
    <w:uiPriority w:val="99"/>
    <w:semiHidden/>
    <w:unhideWhenUsed/>
    <w:qFormat/>
    <w:rsid w:val="00865429"/>
    <w:rPr>
      <w:color w:val="605E5C"/>
      <w:shd w:fill="E1DFDD" w:val="clear"/>
    </w:rPr>
  </w:style>
  <w:style w:type="character" w:styleId="32" w:customStyle="1">
    <w:name w:val="Заголовок 3 Знак"/>
    <w:basedOn w:val="DefaultParagraphFont"/>
    <w:semiHidden/>
    <w:qFormat/>
    <w:rsid w:val="0007646e"/>
    <w:rPr>
      <w:rFonts w:ascii="Cambria" w:hAnsi="Cambria" w:eastAsia="" w:cs="" w:asciiTheme="majorHAnsi" w:cstheme="majorBidi" w:eastAsiaTheme="majorEastAsia" w:hAnsiTheme="majorHAnsi"/>
      <w:color w:val="243F60" w:themeColor="accent1" w:themeShade="7f"/>
      <w:sz w:val="24"/>
      <w:szCs w:val="24"/>
    </w:rPr>
  </w:style>
  <w:style w:type="paragraph" w:styleId="Style21">
    <w:name w:val="Заголовок"/>
    <w:basedOn w:val="Normal"/>
    <w:next w:val="Style22"/>
    <w:qFormat/>
    <w:pPr>
      <w:keepNext w:val="true"/>
      <w:spacing w:before="240" w:after="120"/>
    </w:pPr>
    <w:rPr>
      <w:rFonts w:ascii="Liberation Sans" w:hAnsi="Liberation Sans" w:eastAsia="Microsoft YaHei" w:cs="Arial"/>
      <w:sz w:val="28"/>
      <w:szCs w:val="28"/>
    </w:rPr>
  </w:style>
  <w:style w:type="paragraph" w:styleId="Style22">
    <w:name w:val="Body Text"/>
    <w:basedOn w:val="Normal"/>
    <w:link w:val="Style12"/>
    <w:uiPriority w:val="99"/>
    <w:semiHidden/>
    <w:rsid w:val="00237d8a"/>
    <w:pPr>
      <w:widowControl w:val="false"/>
      <w:suppressAutoHyphens w:val="true"/>
      <w:spacing w:lineRule="auto" w:line="240" w:before="0" w:after="0"/>
      <w:jc w:val="center"/>
    </w:pPr>
    <w:rPr>
      <w:rFonts w:ascii="Times New Roman" w:hAnsi="Times New Roman"/>
      <w:b/>
      <w:bCs/>
      <w:kern w:val="2"/>
      <w:sz w:val="36"/>
      <w:szCs w:val="36"/>
    </w:rPr>
  </w:style>
  <w:style w:type="paragraph" w:styleId="Style23">
    <w:name w:val="List"/>
    <w:basedOn w:val="Style22"/>
    <w:pPr/>
    <w:rPr>
      <w:rFonts w:cs="Arial"/>
    </w:rPr>
  </w:style>
  <w:style w:type="paragraph" w:styleId="Style24">
    <w:name w:val="Caption"/>
    <w:basedOn w:val="Normal"/>
    <w:qFormat/>
    <w:pPr>
      <w:suppressLineNumbers/>
      <w:spacing w:before="120" w:after="120"/>
    </w:pPr>
    <w:rPr>
      <w:rFonts w:cs="Arial"/>
      <w:i/>
      <w:iCs/>
      <w:sz w:val="24"/>
      <w:szCs w:val="24"/>
    </w:rPr>
  </w:style>
  <w:style w:type="paragraph" w:styleId="Style25">
    <w:name w:val="Указатель"/>
    <w:basedOn w:val="Normal"/>
    <w:qFormat/>
    <w:pPr>
      <w:suppressLineNumbers/>
    </w:pPr>
    <w:rPr>
      <w:rFonts w:cs="Arial"/>
    </w:rPr>
  </w:style>
  <w:style w:type="paragraph" w:styleId="NormalWeb">
    <w:name w:val="Normal (Web)"/>
    <w:basedOn w:val="Normal"/>
    <w:uiPriority w:val="99"/>
    <w:semiHidden/>
    <w:qFormat/>
    <w:rsid w:val="00237d8a"/>
    <w:pPr>
      <w:spacing w:lineRule="auto" w:line="240" w:before="0" w:after="0"/>
    </w:pPr>
    <w:rPr>
      <w:rFonts w:ascii="Times New Roman" w:hAnsi="Times New Roman"/>
      <w:sz w:val="24"/>
      <w:szCs w:val="24"/>
    </w:rPr>
  </w:style>
  <w:style w:type="paragraph" w:styleId="Style26">
    <w:name w:val="Title"/>
    <w:basedOn w:val="Normal"/>
    <w:link w:val="Style11"/>
    <w:uiPriority w:val="99"/>
    <w:qFormat/>
    <w:rsid w:val="00237d8a"/>
    <w:pPr>
      <w:suppressAutoHyphens w:val="true"/>
      <w:spacing w:lineRule="auto" w:line="240" w:before="240" w:after="60"/>
      <w:jc w:val="center"/>
    </w:pPr>
    <w:rPr>
      <w:rFonts w:ascii="Arial" w:hAnsi="Arial" w:cs="Arial"/>
      <w:b/>
      <w:bCs/>
      <w:kern w:val="2"/>
      <w:sz w:val="32"/>
      <w:szCs w:val="32"/>
    </w:rPr>
  </w:style>
  <w:style w:type="paragraph" w:styleId="33" w:customStyle="1">
    <w:name w:val="Стиль3 Знак"/>
    <w:basedOn w:val="Normal"/>
    <w:uiPriority w:val="99"/>
    <w:semiHidden/>
    <w:qFormat/>
    <w:rsid w:val="00237d8a"/>
    <w:pPr>
      <w:widowControl w:val="false"/>
      <w:tabs>
        <w:tab w:val="clear" w:pos="709"/>
        <w:tab w:val="left" w:pos="1307" w:leader="none"/>
      </w:tabs>
      <w:suppressAutoHyphens w:val="true"/>
      <w:spacing w:lineRule="atLeast" w:line="100" w:before="0" w:after="0"/>
      <w:ind w:left="1080" w:hanging="0"/>
    </w:pPr>
    <w:rPr>
      <w:rFonts w:ascii="Arial" w:hAnsi="Arial"/>
      <w:kern w:val="2"/>
      <w:sz w:val="20"/>
      <w:szCs w:val="20"/>
    </w:rPr>
  </w:style>
  <w:style w:type="paragraph" w:styleId="BalloonText">
    <w:name w:val="Balloon Text"/>
    <w:basedOn w:val="Normal"/>
    <w:link w:val="Style13"/>
    <w:uiPriority w:val="99"/>
    <w:semiHidden/>
    <w:qFormat/>
    <w:rsid w:val="00237d8a"/>
    <w:pPr>
      <w:spacing w:lineRule="auto" w:line="240" w:before="0" w:after="0"/>
    </w:pPr>
    <w:rPr>
      <w:rFonts w:ascii="Tahoma" w:hAnsi="Tahoma" w:cs="Tahoma"/>
      <w:sz w:val="16"/>
      <w:szCs w:val="16"/>
    </w:rPr>
  </w:style>
  <w:style w:type="paragraph" w:styleId="34" w:customStyle="1">
    <w:name w:val="заголовок 3"/>
    <w:basedOn w:val="Normal"/>
    <w:next w:val="Normal"/>
    <w:link w:val="31"/>
    <w:uiPriority w:val="99"/>
    <w:qFormat/>
    <w:rsid w:val="00c050f2"/>
    <w:pPr>
      <w:keepNext w:val="true"/>
      <w:spacing w:lineRule="auto" w:line="240" w:before="0" w:after="0"/>
      <w:outlineLvl w:val="2"/>
    </w:pPr>
    <w:rPr>
      <w:b/>
      <w:i/>
      <w:sz w:val="20"/>
      <w:szCs w:val="20"/>
    </w:rPr>
  </w:style>
  <w:style w:type="paragraph" w:styleId="ConsPlusNormal" w:customStyle="1">
    <w:name w:val="ConsPlusNormal"/>
    <w:qFormat/>
    <w:rsid w:val="00b4188b"/>
    <w:pPr>
      <w:keepNext w:val="true"/>
      <w:keepLines/>
      <w:widowControl w:val="false"/>
      <w:suppressAutoHyphens w:val="true"/>
      <w:bidi w:val="0"/>
      <w:spacing w:before="0" w:after="0"/>
      <w:ind w:firstLine="720"/>
      <w:jc w:val="left"/>
    </w:pPr>
    <w:rPr>
      <w:rFonts w:ascii="Arial" w:hAnsi="Arial" w:cs="Arial" w:eastAsia="Times New Roman"/>
      <w:color w:val="auto"/>
      <w:kern w:val="2"/>
      <w:sz w:val="20"/>
      <w:szCs w:val="20"/>
      <w:lang w:eastAsia="zh-CN" w:val="ru-RU" w:bidi="ar-SA"/>
    </w:rPr>
  </w:style>
  <w:style w:type="paragraph" w:styleId="Style27">
    <w:name w:val="Body Text Indent"/>
    <w:basedOn w:val="Normal"/>
    <w:link w:val="Style14"/>
    <w:uiPriority w:val="99"/>
    <w:rsid w:val="00b76abe"/>
    <w:pPr>
      <w:spacing w:before="0" w:after="120"/>
      <w:ind w:left="283" w:hanging="0"/>
    </w:pPr>
    <w:rPr/>
  </w:style>
  <w:style w:type="paragraph" w:styleId="35" w:customStyle="1">
    <w:name w:val="Обычный3"/>
    <w:uiPriority w:val="99"/>
    <w:qFormat/>
    <w:rsid w:val="00145558"/>
    <w:pPr>
      <w:widowControl w:val="false"/>
      <w:bidi w:val="0"/>
      <w:snapToGrid w:val="false"/>
      <w:spacing w:before="0" w:after="0"/>
      <w:jc w:val="left"/>
    </w:pPr>
    <w:rPr>
      <w:rFonts w:ascii="Calibri" w:hAnsi="Calibri" w:eastAsia="Times New Roman" w:cs="Calibri"/>
      <w:color w:val="auto"/>
      <w:kern w:val="0"/>
      <w:sz w:val="20"/>
      <w:szCs w:val="20"/>
      <w:lang w:val="ru-RU" w:eastAsia="ru-RU" w:bidi="ar-SA"/>
    </w:rPr>
  </w:style>
  <w:style w:type="paragraph" w:styleId="ListParagraph">
    <w:name w:val="List Paragraph"/>
    <w:basedOn w:val="Normal"/>
    <w:link w:val="Style18"/>
    <w:uiPriority w:val="34"/>
    <w:qFormat/>
    <w:rsid w:val="00ae1752"/>
    <w:pPr>
      <w:spacing w:before="0" w:after="200"/>
      <w:ind w:left="720" w:hanging="0"/>
      <w:contextualSpacing/>
    </w:pPr>
    <w:rPr/>
  </w:style>
  <w:style w:type="paragraph" w:styleId="Tztxt1" w:customStyle="1">
    <w:name w:val="tz_txt"/>
    <w:basedOn w:val="Normal"/>
    <w:link w:val="Tztxt"/>
    <w:qFormat/>
    <w:rsid w:val="00c33c10"/>
    <w:pPr>
      <w:spacing w:lineRule="auto" w:line="240" w:before="0" w:after="120"/>
      <w:ind w:firstLine="709"/>
      <w:jc w:val="both"/>
    </w:pPr>
    <w:rPr>
      <w:rFonts w:ascii="Times New Roman" w:hAnsi="Times New Roman"/>
      <w:sz w:val="24"/>
      <w:szCs w:val="20"/>
    </w:rPr>
  </w:style>
  <w:style w:type="paragraph" w:styleId="36" w:customStyle="1">
    <w:name w:val="Стиль3"/>
    <w:basedOn w:val="BodyTextIndent2"/>
    <w:qFormat/>
    <w:rsid w:val="00ac5384"/>
    <w:pPr>
      <w:widowControl w:val="false"/>
      <w:tabs>
        <w:tab w:val="clear" w:pos="709"/>
        <w:tab w:val="left" w:pos="227" w:leader="none"/>
      </w:tabs>
      <w:spacing w:lineRule="auto" w:line="240" w:before="0" w:after="0"/>
      <w:ind w:left="0" w:hanging="0"/>
      <w:jc w:val="both"/>
      <w:textAlignment w:val="baseline"/>
    </w:pPr>
    <w:rPr>
      <w:rFonts w:ascii="Times New Roman" w:hAnsi="Times New Roman"/>
      <w:sz w:val="24"/>
      <w:szCs w:val="20"/>
    </w:rPr>
  </w:style>
  <w:style w:type="paragraph" w:styleId="Style110" w:customStyle="1">
    <w:name w:val="Style1"/>
    <w:basedOn w:val="Normal"/>
    <w:qFormat/>
    <w:rsid w:val="00ac5384"/>
    <w:pPr>
      <w:tabs>
        <w:tab w:val="clear" w:pos="709"/>
        <w:tab w:val="left" w:pos="720" w:leader="none"/>
      </w:tabs>
      <w:snapToGrid w:val="false"/>
      <w:spacing w:lineRule="auto" w:line="240" w:before="480" w:after="240"/>
      <w:ind w:left="720" w:hanging="360"/>
      <w:jc w:val="center"/>
    </w:pPr>
    <w:rPr>
      <w:rFonts w:ascii="Arial" w:hAnsi="Arial"/>
      <w:b/>
      <w:sz w:val="24"/>
      <w:szCs w:val="20"/>
    </w:rPr>
  </w:style>
  <w:style w:type="paragraph" w:styleId="Style28" w:customStyle="1">
    <w:name w:val="Style2"/>
    <w:basedOn w:val="Normal"/>
    <w:qFormat/>
    <w:rsid w:val="00ac5384"/>
    <w:pPr>
      <w:numPr>
        <w:ilvl w:val="1"/>
        <w:numId w:val="1"/>
      </w:numPr>
      <w:snapToGrid w:val="false"/>
      <w:spacing w:lineRule="auto" w:line="240" w:before="60" w:after="60"/>
      <w:jc w:val="both"/>
    </w:pPr>
    <w:rPr>
      <w:rFonts w:ascii="Arial" w:hAnsi="Arial"/>
      <w:sz w:val="20"/>
      <w:szCs w:val="20"/>
    </w:rPr>
  </w:style>
  <w:style w:type="paragraph" w:styleId="HTMLPreformatted">
    <w:name w:val="HTML Preformatted"/>
    <w:basedOn w:val="Normal"/>
    <w:link w:val="HTML"/>
    <w:uiPriority w:val="99"/>
    <w:qFormat/>
    <w:rsid w:val="00ac5384"/>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uppressAutoHyphens w:val="true"/>
      <w:spacing w:lineRule="auto" w:line="240" w:before="0" w:after="60"/>
      <w:jc w:val="both"/>
    </w:pPr>
    <w:rPr>
      <w:rFonts w:ascii="Courier New" w:hAnsi="Courier New" w:cs="Courier New"/>
      <w:sz w:val="20"/>
      <w:szCs w:val="20"/>
      <w:lang w:eastAsia="ar-SA"/>
    </w:rPr>
  </w:style>
  <w:style w:type="paragraph" w:styleId="FR1" w:customStyle="1">
    <w:name w:val="FR1"/>
    <w:qFormat/>
    <w:rsid w:val="00ac5384"/>
    <w:pPr>
      <w:widowControl w:val="false"/>
      <w:bidi w:val="0"/>
      <w:spacing w:before="0" w:after="0"/>
      <w:ind w:firstLine="420"/>
      <w:jc w:val="left"/>
    </w:pPr>
    <w:rPr>
      <w:rFonts w:ascii="Arial" w:hAnsi="Arial" w:cs="Arial" w:eastAsia="Times New Roman"/>
      <w:color w:val="auto"/>
      <w:kern w:val="0"/>
      <w:sz w:val="20"/>
      <w:szCs w:val="20"/>
      <w:lang w:val="ru-RU" w:eastAsia="ru-RU" w:bidi="ar-SA"/>
    </w:rPr>
  </w:style>
  <w:style w:type="paragraph" w:styleId="BodyTextIndent2">
    <w:name w:val="Body Text Indent 2"/>
    <w:basedOn w:val="Normal"/>
    <w:link w:val="22"/>
    <w:uiPriority w:val="99"/>
    <w:semiHidden/>
    <w:unhideWhenUsed/>
    <w:qFormat/>
    <w:rsid w:val="00ac5384"/>
    <w:pPr>
      <w:spacing w:lineRule="auto" w:line="480" w:before="0" w:after="120"/>
      <w:ind w:left="283" w:hanging="0"/>
    </w:pPr>
    <w:rPr/>
  </w:style>
  <w:style w:type="paragraph" w:styleId="211" w:customStyle="1">
    <w:name w:val="Основной текст с отступом 21"/>
    <w:qFormat/>
    <w:rsid w:val="00e90645"/>
    <w:pPr>
      <w:widowControl/>
      <w:bidi w:val="0"/>
      <w:spacing w:lineRule="auto" w:line="480" w:before="0" w:after="120"/>
      <w:ind w:left="283" w:hanging="0"/>
      <w:jc w:val="left"/>
    </w:pPr>
    <w:rPr>
      <w:rFonts w:ascii="Times New Roman" w:hAnsi="Times New Roman" w:eastAsia="ヒラギノ角ゴ Pro W3" w:cs="Times New Roman"/>
      <w:color w:val="000000"/>
      <w:kern w:val="0"/>
      <w:sz w:val="24"/>
      <w:szCs w:val="20"/>
      <w:lang w:val="ru-RU" w:eastAsia="ru-RU" w:bidi="ar-SA"/>
    </w:rPr>
  </w:style>
  <w:style w:type="paragraph" w:styleId="13" w:customStyle="1">
    <w:name w:val="Обычный1"/>
    <w:qFormat/>
    <w:rsid w:val="00e90645"/>
    <w:pPr>
      <w:widowControl w:val="false"/>
      <w:bidi w:val="0"/>
      <w:spacing w:before="100" w:after="100"/>
      <w:jc w:val="left"/>
    </w:pPr>
    <w:rPr>
      <w:rFonts w:ascii="Times New Roman" w:hAnsi="Times New Roman" w:eastAsia="ヒラギノ角ゴ Pro W3" w:cs="Times New Roman"/>
      <w:color w:val="000000"/>
      <w:kern w:val="0"/>
      <w:sz w:val="24"/>
      <w:szCs w:val="20"/>
      <w:lang w:val="ru-RU" w:eastAsia="ru-RU" w:bidi="ar-SA"/>
    </w:rPr>
  </w:style>
  <w:style w:type="paragraph" w:styleId="14" w:customStyle="1">
    <w:name w:val="Абзац списка1"/>
    <w:qFormat/>
    <w:rsid w:val="00e90645"/>
    <w:pPr>
      <w:widowControl/>
      <w:bidi w:val="0"/>
      <w:spacing w:lineRule="auto" w:line="276" w:before="120" w:after="100"/>
      <w:ind w:left="720" w:hanging="0"/>
      <w:jc w:val="left"/>
    </w:pPr>
    <w:rPr>
      <w:rFonts w:eastAsia="ヒラギノ角ゴ Pro W3" w:cs="Times New Roman" w:ascii="Calibri" w:hAnsi="Calibri"/>
      <w:color w:val="000000"/>
      <w:kern w:val="0"/>
      <w:sz w:val="22"/>
      <w:szCs w:val="20"/>
      <w:lang w:val="ru-RU" w:eastAsia="ru-RU" w:bidi="ar-SA"/>
    </w:rPr>
  </w:style>
  <w:style w:type="paragraph" w:styleId="Style29">
    <w:name w:val="Колонтитул"/>
    <w:basedOn w:val="Normal"/>
    <w:qFormat/>
    <w:pPr/>
    <w:rPr/>
  </w:style>
  <w:style w:type="paragraph" w:styleId="Style30">
    <w:name w:val="Header"/>
    <w:basedOn w:val="Normal"/>
    <w:link w:val="Style15"/>
    <w:uiPriority w:val="99"/>
    <w:rsid w:val="00fa78c4"/>
    <w:pPr>
      <w:tabs>
        <w:tab w:val="clear" w:pos="709"/>
        <w:tab w:val="center" w:pos="4677" w:leader="none"/>
        <w:tab w:val="right" w:pos="9355" w:leader="none"/>
      </w:tabs>
      <w:spacing w:lineRule="auto" w:line="240" w:before="0" w:after="0"/>
      <w:ind w:firstLine="709"/>
      <w:jc w:val="both"/>
    </w:pPr>
    <w:rPr>
      <w:rFonts w:ascii="Times New Roman" w:hAnsi="Times New Roman"/>
      <w:sz w:val="24"/>
      <w:szCs w:val="24"/>
    </w:rPr>
  </w:style>
  <w:style w:type="paragraph" w:styleId="Caption">
    <w:name w:val="caption"/>
    <w:basedOn w:val="Normal"/>
    <w:next w:val="Normal"/>
    <w:uiPriority w:val="99"/>
    <w:qFormat/>
    <w:locked/>
    <w:rsid w:val="00fa78c4"/>
    <w:pPr>
      <w:spacing w:lineRule="auto" w:line="240" w:before="0" w:after="0"/>
      <w:ind w:left="360" w:firstLine="5220"/>
      <w:jc w:val="both"/>
    </w:pPr>
    <w:rPr>
      <w:rFonts w:ascii="Times New Roman" w:hAnsi="Times New Roman"/>
      <w:sz w:val="28"/>
      <w:szCs w:val="28"/>
    </w:rPr>
  </w:style>
  <w:style w:type="paragraph" w:styleId="Style31" w:customStyle="1">
    <w:name w:val="Стиль"/>
    <w:uiPriority w:val="99"/>
    <w:qFormat/>
    <w:rsid w:val="00fa78c4"/>
    <w:pPr>
      <w:widowControl w:val="false"/>
      <w:bidi w:val="0"/>
      <w:spacing w:before="0" w:after="0"/>
      <w:jc w:val="left"/>
    </w:pPr>
    <w:rPr>
      <w:rFonts w:ascii="Times New Roman" w:hAnsi="Times New Roman" w:cs="Times New Roman" w:eastAsia="Times New Roman"/>
      <w:color w:val="auto"/>
      <w:spacing w:val="-1"/>
      <w:kern w:val="2"/>
      <w:sz w:val="24"/>
      <w:szCs w:val="24"/>
      <w:vertAlign w:val="superscript"/>
      <w:lang w:val="en-US" w:eastAsia="ru-RU" w:bidi="ar-SA"/>
    </w:rPr>
  </w:style>
  <w:style w:type="paragraph" w:styleId="Default" w:customStyle="1">
    <w:name w:val="Default"/>
    <w:qFormat/>
    <w:rsid w:val="00e036e1"/>
    <w:pPr>
      <w:widowControl/>
      <w:bidi w:val="0"/>
      <w:spacing w:before="0" w:after="0"/>
      <w:jc w:val="left"/>
    </w:pPr>
    <w:rPr>
      <w:rFonts w:ascii="Times New Roman" w:hAnsi="Times New Roman" w:cs="Times New Roman" w:eastAsia="Times New Roman"/>
      <w:color w:val="000000"/>
      <w:kern w:val="0"/>
      <w:sz w:val="24"/>
      <w:szCs w:val="24"/>
      <w:lang w:val="ru-RU" w:eastAsia="ru-RU" w:bidi="ar-SA"/>
    </w:rPr>
  </w:style>
  <w:style w:type="paragraph" w:styleId="Style32" w:customStyle="1">
    <w:name w:val="Основной текст с красной строки"/>
    <w:basedOn w:val="Normal"/>
    <w:link w:val="Style16"/>
    <w:qFormat/>
    <w:rsid w:val="00e02a1c"/>
    <w:pPr>
      <w:spacing w:lineRule="auto" w:line="360" w:before="60" w:after="0"/>
      <w:ind w:firstLine="851"/>
      <w:jc w:val="both"/>
    </w:pPr>
    <w:rPr>
      <w:rFonts w:ascii="Times New Roman" w:hAnsi="Times New Roman"/>
      <w:sz w:val="24"/>
      <w:szCs w:val="24"/>
    </w:rPr>
  </w:style>
  <w:style w:type="paragraph" w:styleId="Style33">
    <w:name w:val="Footer"/>
    <w:basedOn w:val="Normal"/>
    <w:link w:val="Style17"/>
    <w:uiPriority w:val="99"/>
    <w:unhideWhenUsed/>
    <w:rsid w:val="004f14e4"/>
    <w:pPr>
      <w:tabs>
        <w:tab w:val="clear" w:pos="709"/>
        <w:tab w:val="center" w:pos="4677" w:leader="none"/>
        <w:tab w:val="right" w:pos="9355" w:leader="none"/>
      </w:tabs>
    </w:pPr>
    <w:rPr/>
  </w:style>
  <w:style w:type="paragraph" w:styleId="NoSpacing">
    <w:name w:val="No Spacing"/>
    <w:uiPriority w:val="1"/>
    <w:qFormat/>
    <w:rsid w:val="008f6dee"/>
    <w:pPr>
      <w:widowControl/>
      <w:bidi w:val="0"/>
      <w:spacing w:before="0" w:after="0"/>
      <w:jc w:val="left"/>
    </w:pPr>
    <w:rPr>
      <w:rFonts w:cs="Times New Roman" w:ascii="Calibri" w:hAnsi="Calibri" w:eastAsia="Times New Roman"/>
      <w:color w:val="auto"/>
      <w:kern w:val="0"/>
      <w:sz w:val="22"/>
      <w:szCs w:val="22"/>
      <w:lang w:val="ru-RU" w:eastAsia="ru-RU" w:bidi="ar-SA"/>
    </w:rPr>
  </w:style>
  <w:style w:type="paragraph" w:styleId="ListBullet4">
    <w:name w:val="List Bullet 4"/>
    <w:basedOn w:val="Normal"/>
    <w:autoRedefine/>
    <w:semiHidden/>
    <w:qFormat/>
    <w:rsid w:val="00b305ff"/>
    <w:pPr>
      <w:numPr>
        <w:ilvl w:val="0"/>
        <w:numId w:val="2"/>
      </w:numPr>
      <w:spacing w:lineRule="auto" w:line="240" w:before="0" w:after="60"/>
      <w:jc w:val="both"/>
    </w:pPr>
    <w:rPr>
      <w:rFonts w:ascii="Times New Roman" w:hAnsi="Times New Roman"/>
      <w:sz w:val="24"/>
      <w:szCs w:val="20"/>
    </w:rPr>
  </w:style>
  <w:style w:type="paragraph" w:styleId="ConsPlusTitle" w:customStyle="1">
    <w:name w:val="ConsPlusTitle"/>
    <w:qFormat/>
    <w:rsid w:val="002a4fc0"/>
    <w:pPr>
      <w:widowControl/>
      <w:bidi w:val="0"/>
      <w:spacing w:before="0" w:after="0"/>
      <w:jc w:val="left"/>
    </w:pPr>
    <w:rPr>
      <w:rFonts w:ascii="Arial" w:hAnsi="Arial" w:eastAsia="Calibri" w:cs="Arial"/>
      <w:b/>
      <w:bCs/>
      <w:color w:val="auto"/>
      <w:kern w:val="0"/>
      <w:sz w:val="20"/>
      <w:szCs w:val="20"/>
      <w:lang w:eastAsia="en-US" w:val="ru-RU" w:bidi="ar-SA"/>
    </w:rPr>
  </w:style>
  <w:style w:type="paragraph" w:styleId="15" w:customStyle="1">
    <w:name w:val="Основной текст1"/>
    <w:basedOn w:val="Normal"/>
    <w:link w:val="Bodytext"/>
    <w:qFormat/>
    <w:rsid w:val="00f33e7d"/>
    <w:pPr>
      <w:widowControl w:val="false"/>
      <w:shd w:val="clear" w:color="auto" w:fill="FFFFFF"/>
      <w:spacing w:lineRule="exact" w:line="234" w:before="480" w:after="0"/>
      <w:ind w:hanging="340"/>
    </w:pPr>
    <w:rPr>
      <w:rFonts w:ascii="Trebuchet MS" w:hAnsi="Trebuchet MS" w:eastAsia="Trebuchet MS" w:cs="Trebuchet MS"/>
      <w:spacing w:val="-10"/>
      <w:sz w:val="20"/>
      <w:szCs w:val="20"/>
    </w:rPr>
  </w:style>
  <w:style w:type="paragraph" w:styleId="Annotationtext">
    <w:name w:val="annotation text"/>
    <w:basedOn w:val="Normal"/>
    <w:link w:val="Style19"/>
    <w:uiPriority w:val="99"/>
    <w:semiHidden/>
    <w:unhideWhenUsed/>
    <w:qFormat/>
    <w:rsid w:val="008d6fa5"/>
    <w:pPr>
      <w:spacing w:lineRule="auto" w:line="240"/>
    </w:pPr>
    <w:rPr>
      <w:sz w:val="20"/>
      <w:szCs w:val="20"/>
    </w:rPr>
  </w:style>
  <w:style w:type="paragraph" w:styleId="Annotationsubject">
    <w:name w:val="annotation subject"/>
    <w:basedOn w:val="Annotationtext"/>
    <w:next w:val="Annotationtext"/>
    <w:link w:val="Style20"/>
    <w:uiPriority w:val="99"/>
    <w:semiHidden/>
    <w:unhideWhenUsed/>
    <w:qFormat/>
    <w:rsid w:val="008d6fa5"/>
    <w:pPr/>
    <w:rPr>
      <w:b/>
      <w:bCs/>
    </w:rPr>
  </w:style>
  <w:style w:type="paragraph" w:styleId="Style34">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39"/>
    <w:rsid w:val="00b4188b"/>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100">
    <w:name w:val="Сетка таблицы10"/>
    <w:basedOn w:val="a1"/>
    <w:uiPriority w:val="39"/>
    <w:rsid w:val="008833ec"/>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eestr.digital.gov.ru/reestr/304916/" TargetMode="External"/><Relationship Id="rId3" Type="http://schemas.openxmlformats.org/officeDocument/2006/relationships/hyperlink" Target="https://efinatek.ru/doc/" TargetMode="External"/><Relationship Id="rId4" Type="http://schemas.openxmlformats.org/officeDocument/2006/relationships/hyperlink" Target="https://efinatek.ru/doc/" TargetMode="External"/><Relationship Id="rId5" Type="http://schemas.openxmlformats.org/officeDocument/2006/relationships/hyperlink" Target="https://efinatek.ru/doc/" TargetMode="External"/><Relationship Id="rId6" Type="http://schemas.openxmlformats.org/officeDocument/2006/relationships/hyperlink" Target="https://reestr.digital.gov.ru/reestr/" TargetMode="External"/><Relationship Id="rId7" Type="http://schemas.openxmlformats.org/officeDocument/2006/relationships/hyperlink" Target="https://efinatek.ru/doc/" TargetMode="External"/><Relationship Id="rId8" Type="http://schemas.openxmlformats.org/officeDocument/2006/relationships/hyperlink" Target="https://reestr.digital.gov.ru/reestr/" TargetMode="External"/><Relationship Id="rId9" Type="http://schemas.openxmlformats.org/officeDocument/2006/relationships/hyperlink" Target="https://efinatek.ru/doc/" TargetMode="External"/><Relationship Id="rId10" Type="http://schemas.openxmlformats.org/officeDocument/2006/relationships/hyperlink" Target="https://efinatek.ru/doc/"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AB2FE4-CA2A-4767-BB37-BC3ADF64D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ИАС-Поиск 2014</Template>
  <TotalTime>24</TotalTime>
  <Application>LibreOffice/7.5.6.2$Windows_X86_64 LibreOffice_project/f654817fb68d6d4600d7d2f6b647e47729f55f15</Application>
  <AppVersion>15.0000</AppVersion>
  <Pages>14</Pages>
  <Words>5715</Words>
  <Characters>41073</Characters>
  <CharactersWithSpaces>46283</CharactersWithSpaces>
  <Paragraphs>350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2025-07-31T13:50:00Z</dcterms:created>
  <dc:creator>Grischenko_YD</dc:creator>
  <dc:description/>
  <dc:language>ru-RU</dc:language>
  <cp:lastModifiedBy/>
  <cp:lastPrinted>2022-07-05T09:43:00Z</cp:lastPrinted>
  <dcterms:modified xsi:type="dcterms:W3CDTF">2026-09-28T10:04:38Z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