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shd w:fill="FFFF00" w:val="clear"/>
        </w:rPr>
      </w:pPr>
      <w:r>
        <w:rPr>
          <w:b/>
          <w:shd w:fill="FFFF00" w:val="clear"/>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0" w:name="_Hlk159928058"/>
      <w:r>
        <w:rPr>
          <w:b/>
          <w:bCs/>
          <w:color w:val="000000"/>
        </w:rPr>
        <w:t xml:space="preserve">                       </w:t>
      </w:r>
      <w:r>
        <w:rPr/>
        <w:t>« __» __________ 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действующего на основании доверенности от 08.06.2026, именуемое в дальнейшем «Заказчик», с одной стороны, _____________________, именуемый в дальнейшем «Поставщик», с другой стороны, на основании</w:t>
      </w:r>
      <w:r>
        <w:rPr>
          <w:shd w:fill="auto" w:val="clear"/>
        </w:rPr>
        <w:t xml:space="preserve"> п. 4 ч. 1 ст. 93 </w:t>
      </w:r>
      <w:r>
        <w:rPr>
          <w:rFonts w:eastAsia="Times New Roman" w:cs="Times New Roman"/>
          <w:color w:val="auto"/>
          <w:kern w:val="0"/>
          <w:sz w:val="20"/>
          <w:szCs w:val="20"/>
          <w:lang w:val="ru-RU" w:eastAsia="ru-RU" w:bidi="ar-SA"/>
        </w:rPr>
        <w:t>Федерального Закона № 44-ФЗ «О контрактной системе в сфере закупок товаров, работ, услуг для обеспечения государственных и муниципальных нужд» от 05.04.2013 г.,</w:t>
      </w:r>
      <w:r>
        <w:rPr/>
        <w:t xml:space="preserve"> заключили настоящий Контракт о нижеследующем:</w:t>
      </w:r>
    </w:p>
    <w:p>
      <w:pPr>
        <w:pStyle w:val="Normal"/>
        <w:spacing w:before="0" w:after="60"/>
        <w:jc w:val="center"/>
        <w:rPr>
          <w:b/>
          <w:bCs/>
        </w:rPr>
      </w:pPr>
      <w:r>
        <w:rPr>
          <w:b/>
        </w:rPr>
        <w:t>1. Предмет Контракта</w:t>
      </w:r>
    </w:p>
    <w:p>
      <w:pPr>
        <w:pStyle w:val="Normal"/>
        <w:numPr>
          <w:ilvl w:val="0"/>
          <w:numId w:val="0"/>
        </w:numPr>
        <w:ind w:hanging="0" w:left="0"/>
        <w:jc w:val="both"/>
        <w:outlineLvl w:val="0"/>
        <w:rPr>
          <w:b/>
          <w:bCs/>
        </w:rPr>
      </w:pPr>
      <w:r>
        <w:rPr/>
        <w:t>1.1. Поставщик по настоящему Контракт</w:t>
      </w:r>
      <w:r>
        <w:rPr>
          <w:bCs/>
        </w:rPr>
        <w:t>у</w:t>
      </w:r>
      <w:r>
        <w:rPr/>
        <w:t xml:space="preserve"> обязуется поставить то</w:t>
      </w:r>
      <w:r>
        <w:rPr>
          <w:lang w:val="ru-RU" w:eastAsia="ru-RU" w:bidi="ar-SA"/>
        </w:rPr>
        <w:t>ва</w:t>
      </w:r>
      <w:r>
        <w:rPr>
          <w:shd w:fill="auto" w:val="clear"/>
          <w:lang w:val="ru-RU" w:eastAsia="ru-RU" w:bidi="ar-SA"/>
        </w:rPr>
        <w:t xml:space="preserve">р: </w:t>
      </w:r>
      <w:r>
        <w:rPr>
          <w:szCs w:val="28"/>
          <w:shd w:fill="auto" w:val="clear"/>
          <w:lang w:val="ru-RU" w:eastAsia="ru-RU" w:bidi="ar-SA"/>
        </w:rPr>
        <w:t>пена</w:t>
      </w:r>
      <w:r>
        <w:rPr>
          <w:szCs w:val="28"/>
          <w:lang w:val="ru-RU" w:eastAsia="ru-RU"/>
        </w:rPr>
        <w:t xml:space="preserve"> монтажная</w:t>
      </w:r>
      <w:r>
        <w:rPr>
          <w:shd w:fill="auto" w:val="clear"/>
          <w:lang w:val="ru-RU" w:eastAsia="ru-RU" w:bidi="ar-SA"/>
        </w:rPr>
        <w:t xml:space="preserve"> </w:t>
      </w:r>
      <w:r>
        <w:rPr>
          <w:rFonts w:eastAsia="Times New Roman"/>
          <w:shd w:fill="auto" w:val="clear"/>
          <w:lang w:val="ru-RU" w:eastAsia="ru-RU" w:bidi="ar-SA"/>
        </w:rPr>
        <w:t>и передать его Заказ</w:t>
      </w:r>
      <w:r>
        <w:rPr>
          <w:shd w:fill="auto" w:val="clear"/>
          <w:lang w:val="ru-RU" w:eastAsia="ru-RU" w:bidi="ar-SA"/>
        </w:rPr>
        <w:t>чику, а Заказчик по настоящему Контракт</w:t>
      </w:r>
      <w:r>
        <w:rPr>
          <w:bCs/>
          <w:shd w:fill="auto" w:val="clear"/>
          <w:lang w:val="ru-RU" w:eastAsia="ru-RU" w:bidi="ar-SA"/>
        </w:rPr>
        <w:t>у</w:t>
      </w:r>
      <w:r>
        <w:rPr>
          <w:shd w:fill="auto" w:val="clear"/>
          <w:lang w:val="ru-RU" w:eastAsia="ru-RU" w:bidi="ar-SA"/>
        </w:rPr>
        <w:t xml:space="preserve"> обязуется принять и оплатить поставленную Поставщиком прод</w:t>
      </w:r>
      <w:r>
        <w:rPr>
          <w:shd w:fill="auto" w:val="clear"/>
        </w:rPr>
        <w:t>укцию (</w:t>
      </w:r>
      <w:r>
        <w:rPr/>
        <w:t>далее – Товар). Наименование и количество Товара устанавливается настоящим Контракт</w:t>
      </w:r>
      <w:r>
        <w:rPr>
          <w:bCs/>
        </w:rPr>
        <w:t xml:space="preserve">ом </w:t>
      </w:r>
      <w:r>
        <w:rPr/>
        <w:t>и спецификацией (Приложение №1 к настоящему Контракт</w:t>
      </w:r>
      <w:r>
        <w:rPr>
          <w:bCs/>
        </w:rPr>
        <w:t>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ind w:hanging="0"/>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Annotationtext"/>
        <w:jc w:val="both"/>
        <w:rPr/>
      </w:pPr>
      <w:r>
        <w:rPr/>
        <w:t xml:space="preserve">2.1. Цена Контракта составляет </w:t>
      </w:r>
      <w:r>
        <w:rPr>
          <w:b/>
          <w:bCs/>
        </w:rPr>
        <w:t>________</w:t>
      </w:r>
      <w:r>
        <w:rPr/>
        <w:t xml:space="preserve"> рублей (_____________ рублей ___ копеек).  НДС </w:t>
      </w:r>
      <w:r>
        <w:rPr>
          <w:shd w:fill="FFFFFF" w:val="clear"/>
          <w:lang w:val="en-US"/>
        </w:rPr>
        <w:t>_______________</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dark1" w:val="000000"/>
          <w:lang w:val="ru-RU"/>
        </w:rPr>
        <w:t>Расчет по настоящему Контракту производится Заказчиком в течение 10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dark1" w:val="000000"/>
          <w:sz w:val="24"/>
          <w:lang w:val="ru-RU"/>
        </w:rPr>
        <w:t>.</w:t>
      </w:r>
    </w:p>
    <w:p>
      <w:pPr>
        <w:pStyle w:val="BodyTextIndent"/>
        <w:tabs>
          <w:tab w:val="clear" w:pos="708"/>
          <w:tab w:val="left" w:pos="540" w:leader="none"/>
        </w:tabs>
        <w:ind w:hanging="0"/>
        <w:rPr>
          <w:lang w:val="ru-RU"/>
        </w:rPr>
      </w:pPr>
      <w:r>
        <w:rPr>
          <w:lang w:val="ru-RU"/>
        </w:rPr>
        <w:t xml:space="preserve">2.4. </w:t>
      </w:r>
      <w:bookmarkStart w:id="2"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2"/>
    </w:p>
    <w:p>
      <w:pPr>
        <w:pStyle w:val="Normal"/>
        <w:jc w:val="both"/>
        <w:rPr>
          <w:rFonts w:eastAsia="Calibri"/>
        </w:rPr>
      </w:pPr>
      <w:r>
        <w:rPr/>
        <w:t>2.5. Источник финансирования:</w:t>
      </w:r>
      <w:bookmarkStart w:id="3" w:name="_Hlk174882174"/>
      <w:r>
        <w:rPr/>
        <w:t xml:space="preserve"> </w:t>
      </w:r>
      <w:bookmarkEnd w:id="3"/>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4"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4"/>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fill="FFFFFF" w:val="clear"/>
        <w:tabs>
          <w:tab w:val="clear" w:pos="708"/>
          <w:tab w:val="left" w:pos="0" w:leader="none"/>
          <w:tab w:val="left" w:pos="900" w:leader="none"/>
        </w:tabs>
        <w:jc w:val="center"/>
        <w:rPr>
          <w:b/>
        </w:rPr>
      </w:pPr>
      <w:r>
        <w:rPr>
          <w:b/>
        </w:rPr>
        <w:t>4. Сроки и условия поставки Товара</w:t>
      </w:r>
    </w:p>
    <w:p>
      <w:pPr>
        <w:pStyle w:val="Normal"/>
        <w:shd w:fill="FFFFFF" w:val="clear"/>
        <w:tabs>
          <w:tab w:val="clear" w:pos="708"/>
          <w:tab w:val="left" w:pos="0" w:leader="none"/>
          <w:tab w:val="left" w:pos="900" w:leader="none"/>
        </w:tabs>
        <w:jc w:val="both"/>
        <w:rPr/>
      </w:pPr>
      <w:r>
        <w:rPr/>
        <w:t>4.1. Поставка товара осущест</w:t>
      </w:r>
      <w:r>
        <w:rPr>
          <w:shd w:fill="auto" w:val="clear"/>
        </w:rPr>
        <w:t>вляется</w:t>
      </w:r>
      <w:r>
        <w:rPr>
          <w:color w:val="000000"/>
          <w:shd w:fill="auto" w:val="clear"/>
        </w:rPr>
        <w:t xml:space="preserve"> в период с даты, следующей за датой заключения контракта </w:t>
      </w:r>
      <w:r>
        <w:rPr>
          <w:color w:val="000000"/>
          <w:shd w:fill="FFFFFF" w:val="clear"/>
        </w:rPr>
        <w:t>в течение 15 дней, единовременно</w:t>
      </w:r>
      <w:r>
        <w:rPr>
          <w:color w:val="000000"/>
          <w:shd w:fill="FFFFFF" w:val="clear"/>
        </w:rPr>
        <w:t>.</w:t>
      </w:r>
    </w:p>
    <w:p>
      <w:pPr>
        <w:pStyle w:val="Normal"/>
        <w:shd w:fill="FFFFFF" w:val="clear"/>
        <w:tabs>
          <w:tab w:val="clear" w:pos="708"/>
          <w:tab w:val="left" w:pos="0" w:leader="none"/>
          <w:tab w:val="left" w:pos="900" w:leader="none"/>
        </w:tabs>
        <w:jc w:val="both"/>
        <w:rPr/>
      </w:pPr>
      <w:r>
        <w:rPr>
          <w:shd w:fill="auto" w:val="clear"/>
        </w:rPr>
        <w:t>4.2. Поставка Товара осуществляется за счет Поставщика на франко-склад Заказчика по адрес</w:t>
      </w:r>
      <w:r>
        <w:rPr/>
        <w:t>у: 650002, г. Кемерово, бульвар имени академика Л.С. Барбараша, стр. 6</w:t>
      </w:r>
      <w:r>
        <w:rPr>
          <w:bCs/>
        </w:rPr>
        <w:t xml:space="preserve"> в рабочие дни с 8-00 до 15-00.</w:t>
      </w:r>
    </w:p>
    <w:p>
      <w:pPr>
        <w:pStyle w:val="Normal"/>
        <w:shd w:fill="FFFFFF" w:val="clear"/>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fill="FFFFFF" w:val="clear"/>
        <w:tabs>
          <w:tab w:val="clear" w:pos="708"/>
          <w:tab w:val="left" w:pos="0" w:leader="none"/>
          <w:tab w:val="left" w:pos="900" w:leader="none"/>
        </w:tabs>
        <w:jc w:val="both"/>
        <w:rPr>
          <w:color w:themeColor="dark1" w:val="000000"/>
        </w:rPr>
      </w:pPr>
      <w:r>
        <w:rPr>
          <w:color w:themeColor="dark1" w:val="000000"/>
        </w:rPr>
        <w:t> </w:t>
      </w:r>
      <w:r>
        <w:rPr>
          <w:color w:themeColor="dark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Normal"/>
        <w:jc w:val="both"/>
        <w:rPr>
          <w:rFonts w:eastAsia="Calibri"/>
        </w:rPr>
      </w:pPr>
      <w:r>
        <w:rPr>
          <w:rFonts w:eastAsia="Calibri"/>
        </w:rPr>
      </w:r>
    </w:p>
    <w:p>
      <w:pPr>
        <w:pStyle w:val="BodyTextIndent"/>
        <w:ind w:hanging="0"/>
        <w:jc w:val="center"/>
        <w:rPr>
          <w:b/>
          <w:lang w:val="ru-RU"/>
        </w:rPr>
      </w:pPr>
      <w:r>
        <w:rPr>
          <w:b/>
          <w:lang w:val="ru-RU"/>
        </w:rPr>
        <w:t>6. Гарантия качества</w:t>
      </w:r>
    </w:p>
    <w:p>
      <w:pPr>
        <w:pStyle w:val="Normal"/>
        <w:numPr>
          <w:ilvl w:val="0"/>
          <w:numId w:val="0"/>
        </w:numPr>
        <w:ind w:hanging="0" w:left="0"/>
        <w:jc w:val="both"/>
        <w:outlineLvl w:val="1"/>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jc w:val="both"/>
        <w:rPr/>
      </w:pPr>
      <w:r>
        <w:rPr/>
        <w:t xml:space="preserve">6.2. Товар должен быть новым, ранее не использованным. </w:t>
      </w:r>
    </w:p>
    <w:p>
      <w:pPr>
        <w:pStyle w:val="Normal"/>
        <w:jc w:val="both"/>
        <w:rPr/>
      </w:pPr>
      <w:r>
        <w:rPr/>
        <w:t>6.3. Гарантийный срок —</w:t>
      </w:r>
      <w:r>
        <w:rPr>
          <w:shd w:fill="auto" w:val="clear"/>
        </w:rPr>
        <w:t xml:space="preserve"> не менее 12 месяцев момента подписа</w:t>
      </w:r>
      <w:r>
        <w:rPr/>
        <w:t>ния документов о приемке Сторонами</w:t>
      </w:r>
      <w:bookmarkStart w:id="5" w:name="_Hlk177570061"/>
      <w:r>
        <w:rPr/>
        <w:t>.</w:t>
      </w:r>
      <w:bookmarkEnd w:id="5"/>
    </w:p>
    <w:p>
      <w:pPr>
        <w:pStyle w:val="Normal"/>
        <w:jc w:val="both"/>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w:t>
      </w:r>
    </w:p>
    <w:p>
      <w:pPr>
        <w:pStyle w:val="Normal"/>
        <w:jc w:val="both"/>
        <w:rPr/>
      </w:pPr>
      <w:r>
        <w:rPr/>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6"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6"/>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 xml:space="preserve">_________ </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BodyTextIndent"/>
        <w:ind w:hanging="0"/>
        <w:jc w:val="center"/>
        <w:rPr>
          <w:b/>
          <w:lang w:val="ru-RU"/>
        </w:rPr>
      </w:pPr>
      <w:r>
        <w:rPr>
          <w:b/>
          <w:lang w:val="ru-RU"/>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7" w:name="_Hlk177570138"/>
      <w:r>
        <w:rPr>
          <w:rFonts w:ascii="Times New Roman" w:hAnsi="Times New Roman"/>
          <w:sz w:val="20"/>
          <w:szCs w:val="20"/>
        </w:rPr>
        <w:t>Настоящий Контракт вступает в силу с момента заключения и действует</w:t>
      </w:r>
      <w:r>
        <w:rPr>
          <w:rFonts w:ascii="Times New Roman" w:hAnsi="Times New Roman"/>
          <w:sz w:val="20"/>
          <w:szCs w:val="20"/>
          <w:shd w:fill="auto" w:val="clear"/>
        </w:rPr>
        <w:t xml:space="preserve"> до </w:t>
      </w:r>
      <w:r>
        <w:rPr>
          <w:rFonts w:ascii="Times New Roman" w:hAnsi="Times New Roman"/>
          <w:sz w:val="20"/>
          <w:szCs w:val="20"/>
          <w:shd w:fill="auto" w:val="clear"/>
          <w:lang w:val="en-US"/>
        </w:rPr>
        <w:t>1</w:t>
      </w:r>
      <w:r>
        <w:rPr>
          <w:rFonts w:ascii="Times New Roman" w:hAnsi="Times New Roman"/>
          <w:sz w:val="20"/>
          <w:szCs w:val="20"/>
          <w:shd w:fill="auto" w:val="clear"/>
          <w:lang w:val="en-US"/>
        </w:rPr>
        <w:t>1</w:t>
      </w:r>
      <w:r>
        <w:rPr>
          <w:rFonts w:ascii="Times New Roman" w:hAnsi="Times New Roman"/>
          <w:sz w:val="20"/>
          <w:szCs w:val="20"/>
          <w:shd w:fill="auto" w:val="clear"/>
          <w:lang w:val="en-US"/>
        </w:rPr>
        <w:t>.12.2026</w:t>
      </w:r>
      <w:r>
        <w:rPr>
          <w:rFonts w:ascii="Times New Roman" w:hAnsi="Times New Roman"/>
          <w:sz w:val="20"/>
          <w:szCs w:val="20"/>
          <w:shd w:fill="auto" w:val="clear"/>
        </w:rPr>
        <w:t xml:space="preserve"> г., а в ч</w:t>
      </w:r>
      <w:r>
        <w:rPr>
          <w:rFonts w:ascii="Times New Roman" w:hAnsi="Times New Roman"/>
          <w:sz w:val="20"/>
          <w:szCs w:val="20"/>
        </w:rPr>
        <w:t>асти оплаты – до исполнения обязательств.</w:t>
      </w:r>
      <w:bookmarkEnd w:id="7"/>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fill="FFFFFF" w:val="clear"/>
        <w:jc w:val="center"/>
        <w:rPr>
          <w:b/>
        </w:rPr>
      </w:pPr>
      <w:r>
        <w:rPr>
          <w:b/>
        </w:rPr>
        <w:t>10. Переход права собственности и риск случайной гибели Товара</w:t>
      </w:r>
    </w:p>
    <w:p>
      <w:pPr>
        <w:pStyle w:val="Normal"/>
        <w:shd w:fill="FFFFFF" w:val="clear"/>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fill="FFFFFF" w:val="clear"/>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fill="FFFFFF" w:val="clear"/>
        <w:tabs>
          <w:tab w:val="clear" w:pos="708"/>
          <w:tab w:val="left" w:pos="540" w:leader="none"/>
          <w:tab w:val="left" w:pos="1248" w:leader="none"/>
        </w:tabs>
        <w:jc w:val="both"/>
        <w:rPr/>
      </w:pPr>
      <w:r>
        <w:rPr/>
      </w:r>
    </w:p>
    <w:p>
      <w:pPr>
        <w:pStyle w:val="Normal"/>
        <w:shd w:fill="FFFFFF" w:val="clear"/>
        <w:tabs>
          <w:tab w:val="clear" w:pos="708"/>
          <w:tab w:val="left" w:pos="540" w:leader="none"/>
          <w:tab w:val="left" w:pos="1248" w:leader="none"/>
        </w:tabs>
        <w:jc w:val="center"/>
        <w:rPr>
          <w:b/>
        </w:rPr>
      </w:pPr>
      <w:r>
        <w:rPr>
          <w:b/>
        </w:rPr>
        <w:t>11. Противодействие коррупции</w:t>
      </w:r>
    </w:p>
    <w:p>
      <w:pPr>
        <w:pStyle w:val="Normal"/>
        <w:shd w:fill="FFFFFF" w:val="clear"/>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fill="FFFFFF" w:val="clear"/>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fill="FFFFFF" w:val="clear"/>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fill="FFFFFF" w:val="clear"/>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fill="FFFFFF" w:val="clear"/>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fill="FFFFFF" w:val="clear"/>
        <w:tabs>
          <w:tab w:val="clear" w:pos="708"/>
          <w:tab w:val="left" w:pos="540" w:leader="none"/>
          <w:tab w:val="left" w:pos="1248" w:leader="none"/>
        </w:tabs>
        <w:jc w:val="both"/>
        <w:rPr/>
      </w:pPr>
      <w:r>
        <w:rPr/>
      </w:r>
    </w:p>
    <w:p>
      <w:pPr>
        <w:pStyle w:val="Normal"/>
        <w:shd w:fill="FFFFFF" w:val="clear"/>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jc w:val="both"/>
        <w:rPr>
          <w:b/>
          <w:bCs/>
          <w:smallCaps/>
        </w:rPr>
      </w:pPr>
      <w:r>
        <w:rPr>
          <w:b/>
          <w:bCs/>
          <w:smallCaps/>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jc w:val="both"/>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jc w:val="both"/>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jc w:val="both"/>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jc w:val="both"/>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jc w:val="both"/>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jc w:val="both"/>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jc w:val="both"/>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Pr>
      <w:tblGrid>
        <w:gridCol w:w="5632"/>
        <w:gridCol w:w="4824"/>
      </w:tblGrid>
      <w:tr>
        <w:trPr>
          <w:trHeight w:val="7632" w:hRule="atLeast"/>
        </w:trPr>
        <w:tc>
          <w:tcPr>
            <w:tcW w:w="5632" w:type="dxa"/>
            <w:tcBorders/>
          </w:tcPr>
          <w:p>
            <w:pPr>
              <w:pStyle w:val="Normal"/>
              <w:numPr>
                <w:ilvl w:val="0"/>
                <w:numId w:val="0"/>
              </w:numPr>
              <w:ind w:hanging="0" w:left="0"/>
              <w:jc w:val="both"/>
              <w:outlineLvl w:val="5"/>
              <w:rPr>
                <w:b/>
                <w:iCs/>
              </w:rPr>
            </w:pPr>
            <w:r>
              <w:rPr>
                <w:b/>
                <w:iCs/>
              </w:rPr>
            </w:r>
          </w:p>
          <w:p>
            <w:pPr>
              <w:pStyle w:val="Normal"/>
              <w:numPr>
                <w:ilvl w:val="0"/>
                <w:numId w:val="0"/>
              </w:numPr>
              <w:spacing w:lineRule="auto" w:line="240"/>
              <w:ind w:hanging="0" w:left="0"/>
              <w:jc w:val="both"/>
              <w:outlineLvl w:val="5"/>
              <w:rPr>
                <w:b/>
                <w:iCs/>
              </w:rPr>
            </w:pPr>
            <w:r>
              <w:rPr>
                <w:b/>
                <w:iCs/>
              </w:rPr>
              <w:t>Заказчик:</w:t>
            </w:r>
          </w:p>
          <w:p>
            <w:pPr>
              <w:pStyle w:val="Normal"/>
              <w:widowControl/>
              <w:spacing w:lineRule="auto" w:line="240"/>
              <w:jc w:val="left"/>
              <w:rPr/>
            </w:pPr>
            <w:r>
              <w:rPr>
                <w:rFonts w:eastAsia="Calibri"/>
                <w:b/>
                <w:bCs/>
                <w:sz w:val="20"/>
                <w:szCs w:val="20"/>
                <w:lang w:eastAsia="en-US"/>
              </w:rPr>
              <w:t xml:space="preserve">Федеральное государственное бюджетное научное учреждение «Научно-исследовательский институт комплексных проблем сердечно-сосудистых заболеваний»   </w:t>
            </w:r>
            <w:r>
              <w:rPr>
                <w:rFonts w:eastAsia="Calibri"/>
                <w:sz w:val="20"/>
                <w:szCs w:val="20"/>
                <w:lang w:eastAsia="en-US"/>
              </w:rPr>
              <w:t xml:space="preserve">   </w:t>
            </w:r>
          </w:p>
          <w:p>
            <w:pPr>
              <w:pStyle w:val="Normal"/>
              <w:spacing w:lineRule="auto" w:line="240"/>
              <w:ind w:right="540"/>
              <w:rPr>
                <w:sz w:val="20"/>
                <w:szCs w:val="20"/>
                <w:shd w:fill="FFFFFF" w:val="clear"/>
              </w:rPr>
            </w:pPr>
            <w:r>
              <w:rPr>
                <w:sz w:val="20"/>
                <w:szCs w:val="20"/>
                <w:shd w:fill="FFFFFF" w:val="clear"/>
              </w:rPr>
              <w:t>Юридический и фактический адрес:</w:t>
            </w:r>
          </w:p>
          <w:p>
            <w:pPr>
              <w:pStyle w:val="Normal"/>
              <w:spacing w:lineRule="auto" w:line="240"/>
              <w:ind w:right="540"/>
              <w:rPr>
                <w:sz w:val="20"/>
                <w:szCs w:val="20"/>
                <w:shd w:fill="FFFFFF" w:val="clear"/>
              </w:rPr>
            </w:pPr>
            <w:r>
              <w:rPr>
                <w:sz w:val="20"/>
                <w:szCs w:val="20"/>
                <w:shd w:fill="FFFFFF" w:val="clear"/>
              </w:rPr>
              <w:t>650002, г. Кемерово, бульвар имени академика Л.С. Барбараша, стр. 6</w:t>
            </w:r>
          </w:p>
          <w:p>
            <w:pPr>
              <w:pStyle w:val="Normal"/>
              <w:spacing w:lineRule="auto" w:line="240"/>
              <w:ind w:right="540"/>
              <w:rPr>
                <w:sz w:val="20"/>
                <w:szCs w:val="20"/>
                <w:shd w:fill="FFFFFF" w:val="clear"/>
              </w:rPr>
            </w:pPr>
            <w:r>
              <w:rPr>
                <w:sz w:val="20"/>
                <w:szCs w:val="20"/>
                <w:shd w:fill="FFFFFF" w:val="clear"/>
              </w:rPr>
              <w:t>Тел.: +7 (3842) 34-53-72</w:t>
            </w:r>
          </w:p>
          <w:p>
            <w:pPr>
              <w:pStyle w:val="Normal"/>
              <w:spacing w:lineRule="auto" w:line="240"/>
              <w:ind w:right="540"/>
              <w:rPr>
                <w:sz w:val="20"/>
                <w:szCs w:val="20"/>
                <w:shd w:fill="FFFFFF" w:val="clear"/>
              </w:rPr>
            </w:pPr>
            <w:r>
              <w:rPr>
                <w:sz w:val="20"/>
                <w:szCs w:val="20"/>
                <w:shd w:fill="FFFFFF" w:val="clear"/>
              </w:rPr>
              <w:t>Банковские реквизиты:</w:t>
            </w:r>
          </w:p>
          <w:p>
            <w:pPr>
              <w:pStyle w:val="Normal"/>
              <w:spacing w:lineRule="auto" w:line="240"/>
              <w:ind w:right="540"/>
              <w:rPr>
                <w:sz w:val="20"/>
                <w:szCs w:val="20"/>
                <w:shd w:fill="FFFFFF" w:val="clear"/>
              </w:rPr>
            </w:pPr>
            <w:r>
              <w:rPr>
                <w:sz w:val="20"/>
                <w:szCs w:val="20"/>
                <w:shd w:fill="FFFFFF" w:val="clear"/>
              </w:rPr>
              <w:t>УФК по Новосибирской области (НИИ КПССЗ л/с 20396Х66880)</w:t>
            </w:r>
          </w:p>
          <w:p>
            <w:pPr>
              <w:pStyle w:val="Normal"/>
              <w:spacing w:lineRule="auto" w:line="240"/>
              <w:ind w:right="540"/>
              <w:rPr>
                <w:sz w:val="20"/>
                <w:szCs w:val="20"/>
                <w:shd w:fill="FFFFFF" w:val="clear"/>
              </w:rPr>
            </w:pPr>
            <w:r>
              <w:rPr>
                <w:sz w:val="20"/>
                <w:szCs w:val="20"/>
                <w:shd w:fill="FFFFFF" w:val="clear"/>
              </w:rPr>
              <w:t>УФК по Новосибирской области (НИИ КПССЗ л/с 22396Х66880)</w:t>
            </w:r>
          </w:p>
          <w:p>
            <w:pPr>
              <w:pStyle w:val="Normal"/>
              <w:spacing w:lineRule="auto" w:line="240"/>
              <w:ind w:right="540"/>
              <w:rPr>
                <w:sz w:val="20"/>
                <w:szCs w:val="20"/>
                <w:shd w:fill="FFFFFF" w:val="clear"/>
              </w:rPr>
            </w:pPr>
            <w:r>
              <w:rPr>
                <w:sz w:val="20"/>
                <w:szCs w:val="20"/>
                <w:shd w:fill="FFFFFF" w:val="clear"/>
              </w:rPr>
              <w:t>УФК по Новосибирской области (НИИ КПССЗ л/с 21396Х66880)</w:t>
            </w:r>
          </w:p>
          <w:p>
            <w:pPr>
              <w:pStyle w:val="Normal"/>
              <w:spacing w:lineRule="auto" w:line="240"/>
              <w:ind w:right="540"/>
              <w:rPr>
                <w:sz w:val="20"/>
                <w:szCs w:val="20"/>
                <w:shd w:fill="FFFFFF" w:val="clear"/>
              </w:rPr>
            </w:pPr>
            <w:r>
              <w:rPr>
                <w:sz w:val="20"/>
                <w:szCs w:val="20"/>
                <w:shd w:fill="FFFFFF" w:val="clear"/>
              </w:rPr>
              <w:t>ИНН 4205012290  КПП 420501001</w:t>
            </w:r>
          </w:p>
          <w:p>
            <w:pPr>
              <w:pStyle w:val="Normal"/>
              <w:spacing w:lineRule="auto" w:line="240"/>
              <w:ind w:right="540"/>
              <w:rPr>
                <w:sz w:val="20"/>
                <w:szCs w:val="20"/>
                <w:shd w:fill="FFFFFF" w:val="clear"/>
              </w:rPr>
            </w:pPr>
            <w:r>
              <w:rPr>
                <w:sz w:val="20"/>
                <w:szCs w:val="20"/>
                <w:shd w:fill="FFFFFF" w:val="clear"/>
              </w:rPr>
              <w:t>КС 03214643000000015106</w:t>
            </w:r>
          </w:p>
          <w:p>
            <w:pPr>
              <w:pStyle w:val="Normal"/>
              <w:spacing w:lineRule="auto" w:line="240"/>
              <w:ind w:right="540"/>
              <w:rPr>
                <w:sz w:val="20"/>
                <w:szCs w:val="20"/>
                <w:shd w:fill="FFFFFF" w:val="clear"/>
              </w:rPr>
            </w:pPr>
            <w:r>
              <w:rPr>
                <w:sz w:val="20"/>
                <w:szCs w:val="20"/>
                <w:shd w:fill="FFFFFF" w:val="clear"/>
              </w:rPr>
              <w:t>ОКЦ № 1 СибГУ Банка России//УФК по Новосибирской области, г. Новосибирск</w:t>
            </w:r>
          </w:p>
          <w:p>
            <w:pPr>
              <w:pStyle w:val="Normal"/>
              <w:spacing w:lineRule="auto" w:line="240"/>
              <w:ind w:right="540"/>
              <w:rPr>
                <w:sz w:val="20"/>
                <w:szCs w:val="20"/>
                <w:shd w:fill="FFFFFF" w:val="clear"/>
              </w:rPr>
            </w:pPr>
            <w:r>
              <w:rPr>
                <w:sz w:val="20"/>
                <w:szCs w:val="20"/>
                <w:shd w:fill="FFFFFF" w:val="clear"/>
              </w:rPr>
              <w:t>БИК 015004950</w:t>
            </w:r>
          </w:p>
          <w:p>
            <w:pPr>
              <w:pStyle w:val="Normal"/>
              <w:spacing w:lineRule="auto" w:line="240"/>
              <w:ind w:right="540"/>
              <w:rPr>
                <w:sz w:val="20"/>
                <w:szCs w:val="20"/>
                <w:shd w:fill="FFFFFF" w:val="clear"/>
              </w:rPr>
            </w:pPr>
            <w:r>
              <w:rPr>
                <w:sz w:val="20"/>
                <w:szCs w:val="20"/>
                <w:shd w:fill="FFFFFF" w:val="clear"/>
              </w:rPr>
              <w:t>ЕКС 40102810445370000043</w:t>
            </w:r>
          </w:p>
          <w:p>
            <w:pPr>
              <w:pStyle w:val="Normal"/>
              <w:spacing w:lineRule="auto" w:line="240"/>
              <w:ind w:right="540"/>
              <w:rPr>
                <w:sz w:val="20"/>
                <w:szCs w:val="20"/>
                <w:shd w:fill="FFFFFF" w:val="clear"/>
              </w:rPr>
            </w:pPr>
            <w:r>
              <w:rPr>
                <w:sz w:val="20"/>
                <w:szCs w:val="20"/>
                <w:shd w:fill="FFFFFF" w:val="clear"/>
              </w:rPr>
              <w:t>КБК 00000000000000000130</w:t>
            </w:r>
          </w:p>
          <w:p>
            <w:pPr>
              <w:pStyle w:val="Normal"/>
              <w:spacing w:lineRule="auto" w:line="240"/>
              <w:ind w:right="540"/>
              <w:rPr>
                <w:sz w:val="20"/>
                <w:szCs w:val="20"/>
                <w:shd w:fill="FFFFFF" w:val="clear"/>
              </w:rPr>
            </w:pPr>
            <w:r>
              <w:rPr>
                <w:sz w:val="20"/>
                <w:szCs w:val="20"/>
                <w:shd w:fill="FFFFFF" w:val="clear"/>
              </w:rPr>
              <w:t>ОГРН 1034205024479</w:t>
            </w:r>
          </w:p>
          <w:p>
            <w:pPr>
              <w:pStyle w:val="Normal"/>
              <w:spacing w:lineRule="auto" w:line="240"/>
              <w:ind w:right="540"/>
              <w:rPr>
                <w:sz w:val="20"/>
                <w:szCs w:val="20"/>
                <w:shd w:fill="FFFFFF" w:val="clear"/>
              </w:rPr>
            </w:pPr>
            <w:r>
              <w:rPr>
                <w:sz w:val="20"/>
                <w:szCs w:val="20"/>
                <w:shd w:fill="FFFFFF" w:val="clear"/>
              </w:rPr>
              <w:t>ОКПО 55608705</w:t>
            </w:r>
          </w:p>
          <w:p>
            <w:pPr>
              <w:pStyle w:val="Normal"/>
              <w:spacing w:lineRule="auto" w:line="240"/>
              <w:ind w:right="540"/>
              <w:rPr>
                <w:sz w:val="20"/>
                <w:szCs w:val="20"/>
                <w:shd w:fill="FFFFFF" w:val="clear"/>
              </w:rPr>
            </w:pPr>
            <w:r>
              <w:rPr>
                <w:sz w:val="20"/>
                <w:szCs w:val="20"/>
                <w:shd w:fill="FFFFFF" w:val="clear"/>
              </w:rPr>
              <w:t>ОКАТО 32401000000</w:t>
            </w:r>
          </w:p>
          <w:p>
            <w:pPr>
              <w:pStyle w:val="Normal"/>
              <w:spacing w:lineRule="auto" w:line="240"/>
              <w:ind w:right="540"/>
              <w:rPr>
                <w:sz w:val="20"/>
                <w:szCs w:val="20"/>
                <w:shd w:fill="FFFFFF" w:val="clear"/>
              </w:rPr>
            </w:pPr>
            <w:r>
              <w:rPr>
                <w:sz w:val="20"/>
                <w:szCs w:val="20"/>
                <w:shd w:fill="FFFFFF" w:val="clear"/>
              </w:rPr>
              <w:t>ОКТМО 32701000</w:t>
            </w:r>
          </w:p>
          <w:p>
            <w:pPr>
              <w:pStyle w:val="Normal"/>
              <w:spacing w:lineRule="auto" w:line="240"/>
              <w:ind w:right="540"/>
              <w:rPr>
                <w:sz w:val="20"/>
                <w:szCs w:val="20"/>
                <w:shd w:fill="FFFFFF" w:val="clear"/>
              </w:rPr>
            </w:pPr>
            <w:r>
              <w:rPr>
                <w:sz w:val="20"/>
                <w:szCs w:val="20"/>
                <w:shd w:fill="FFFFFF" w:val="clear"/>
              </w:rPr>
              <w:t>ОКОГУ 1330612</w:t>
            </w:r>
          </w:p>
          <w:p>
            <w:pPr>
              <w:pStyle w:val="Normal"/>
              <w:spacing w:lineRule="auto" w:line="240"/>
              <w:ind w:right="540"/>
              <w:rPr>
                <w:sz w:val="20"/>
                <w:szCs w:val="20"/>
                <w:shd w:fill="FFFFFF" w:val="clear"/>
              </w:rPr>
            </w:pPr>
            <w:r>
              <w:rPr>
                <w:sz w:val="20"/>
                <w:szCs w:val="20"/>
                <w:shd w:fill="FFFFFF" w:val="clear"/>
              </w:rPr>
              <w:t>ОКФС 12</w:t>
            </w:r>
          </w:p>
          <w:p>
            <w:pPr>
              <w:pStyle w:val="Normal"/>
              <w:spacing w:lineRule="auto" w:line="240"/>
              <w:ind w:right="540"/>
              <w:rPr>
                <w:sz w:val="20"/>
                <w:szCs w:val="20"/>
                <w:shd w:fill="FFFFFF" w:val="clear"/>
              </w:rPr>
            </w:pPr>
            <w:r>
              <w:rPr>
                <w:sz w:val="20"/>
                <w:szCs w:val="20"/>
                <w:shd w:fill="FFFFFF" w:val="clear"/>
              </w:rPr>
              <w:t>ОКОПФ 75103</w:t>
            </w:r>
          </w:p>
          <w:p>
            <w:pPr>
              <w:pStyle w:val="Normal"/>
              <w:spacing w:lineRule="auto" w:line="240"/>
              <w:ind w:right="540"/>
              <w:rPr>
                <w:sz w:val="20"/>
                <w:szCs w:val="20"/>
                <w:shd w:fill="FFFFFF" w:val="clear"/>
              </w:rPr>
            </w:pPr>
            <w:r>
              <w:rPr>
                <w:sz w:val="20"/>
                <w:szCs w:val="20"/>
                <w:shd w:fill="FFFFFF" w:val="clear"/>
              </w:rPr>
              <w:t>ОКВЭД 72.19</w:t>
            </w:r>
          </w:p>
          <w:p>
            <w:pPr>
              <w:pStyle w:val="Normal"/>
              <w:spacing w:lineRule="auto" w:line="240"/>
              <w:ind w:right="540"/>
              <w:rPr>
                <w:sz w:val="20"/>
                <w:szCs w:val="20"/>
                <w:shd w:fill="FFFFFF" w:val="clear"/>
              </w:rPr>
            </w:pPr>
            <w:r>
              <w:rPr>
                <w:sz w:val="20"/>
                <w:szCs w:val="20"/>
                <w:shd w:fill="FFFFFF" w:val="clear"/>
              </w:rPr>
              <w:t>Тел/факс: +7 (3842) 64-33-08</w:t>
            </w:r>
          </w:p>
          <w:p>
            <w:pPr>
              <w:pStyle w:val="Normal"/>
              <w:spacing w:lineRule="auto" w:line="240"/>
              <w:ind w:right="540"/>
              <w:rPr>
                <w:sz w:val="20"/>
                <w:szCs w:val="20"/>
                <w:shd w:fill="FFFFFF" w:val="clear"/>
              </w:rPr>
            </w:pPr>
            <w:r>
              <w:rPr>
                <w:sz w:val="20"/>
                <w:szCs w:val="20"/>
                <w:shd w:fill="FFFFFF" w:val="clear"/>
              </w:rPr>
              <w:t>E-mail:  reception@kemcardio.ru</w:t>
            </w:r>
          </w:p>
          <w:p>
            <w:pPr>
              <w:pStyle w:val="12"/>
              <w:spacing w:lineRule="auto" w:line="240"/>
              <w:rPr>
                <w:rFonts w:ascii="Times New Roman" w:hAnsi="Times New Roman" w:cs="Times New Roman"/>
                <w:sz w:val="20"/>
                <w:szCs w:val="20"/>
              </w:rPr>
            </w:pPr>
            <w:r>
              <w:rPr>
                <w:rFonts w:cs="Times New Roman" w:ascii="Times New Roman" w:hAnsi="Times New Roman"/>
                <w:sz w:val="20"/>
                <w:szCs w:val="20"/>
              </w:rPr>
            </w:r>
          </w:p>
          <w:p>
            <w:pPr>
              <w:pStyle w:val="12"/>
              <w:spacing w:lineRule="auto" w:line="240"/>
              <w:rPr>
                <w:rFonts w:ascii="Times New Roman" w:hAnsi="Times New Roman" w:cs="Times New Roman"/>
                <w:sz w:val="20"/>
                <w:szCs w:val="20"/>
              </w:rPr>
            </w:pPr>
            <w:r>
              <w:rPr>
                <w:rFonts w:cs="Times New Roman" w:ascii="Times New Roman" w:hAnsi="Times New Roman"/>
                <w:sz w:val="20"/>
                <w:szCs w:val="20"/>
              </w:rPr>
              <w:t>Заказчик</w:t>
            </w:r>
          </w:p>
          <w:p>
            <w:pPr>
              <w:pStyle w:val="12"/>
              <w:spacing w:lineRule="auto" w:line="240"/>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2"/>
              <w:rPr>
                <w:rFonts w:ascii="Times New Roman" w:hAnsi="Times New Roman" w:cs="Times New Roman"/>
                <w:sz w:val="20"/>
                <w:szCs w:val="20"/>
              </w:rPr>
            </w:pPr>
            <w:r>
              <w:rPr>
                <w:rFonts w:cs="Times New Roman" w:ascii="Times New Roman" w:hAnsi="Times New Roman"/>
                <w:sz w:val="20"/>
                <w:szCs w:val="20"/>
              </w:rPr>
            </w:r>
          </w:p>
          <w:p>
            <w:pPr>
              <w:pStyle w:val="Normal"/>
              <w:rPr/>
            </w:pPr>
            <w:r>
              <w:rPr/>
              <w:t>____________  А.Е.Кузнецова</w:t>
            </w:r>
          </w:p>
          <w:p>
            <w:pPr>
              <w:pStyle w:val="Normal"/>
              <w:rPr/>
            </w:pPr>
            <w:r>
              <w:rPr/>
              <w:t>м.п.</w:t>
            </w:r>
          </w:p>
        </w:tc>
        <w:tc>
          <w:tcPr>
            <w:tcW w:w="4824"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default" r:id="rId2"/>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right"/>
        <w:rPr/>
      </w:pPr>
      <w:r>
        <w:rPr/>
        <w:t xml:space="preserve">Приложение №1 </w:t>
      </w:r>
    </w:p>
    <w:p>
      <w:pPr>
        <w:pStyle w:val="Normal"/>
        <w:spacing w:before="0" w:after="60"/>
        <w:jc w:val="right"/>
        <w:rPr/>
      </w:pPr>
      <w:r>
        <w:rPr/>
        <w:t xml:space="preserve">                                                                                                                         </w:t>
      </w:r>
      <w:bookmarkStart w:id="8" w:name="_Hlk180496427"/>
      <w:r>
        <w:rPr/>
        <w:t xml:space="preserve">к Контракту </w:t>
      </w:r>
      <w:r>
        <w:rPr>
          <w:b/>
          <w:bCs/>
        </w:rPr>
        <w:t>№ ________</w:t>
      </w:r>
    </w:p>
    <w:p>
      <w:pPr>
        <w:pStyle w:val="Normal"/>
        <w:spacing w:before="0" w:after="60"/>
        <w:jc w:val="right"/>
        <w:rPr>
          <w:b/>
          <w:bCs/>
        </w:rPr>
      </w:pPr>
      <w:r>
        <w:rPr/>
        <w:t xml:space="preserve">                                                                                                                                </w:t>
      </w:r>
      <w:r>
        <w:rPr>
          <w:rFonts w:eastAsia="Calibri"/>
          <w:lang w:eastAsia="en-US"/>
        </w:rPr>
        <w:t>«______» _________ 2026г.</w:t>
      </w:r>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p>
      <w:pPr>
        <w:pStyle w:val="Normal"/>
        <w:spacing w:before="0" w:after="60"/>
        <w:jc w:val="center"/>
        <w:rPr>
          <w:b/>
          <w:bCs/>
        </w:rPr>
      </w:pPr>
      <w:r>
        <w:rPr>
          <w:b/>
          <w:bCs/>
        </w:rPr>
      </w:r>
    </w:p>
    <w:tbl>
      <w:tblPr>
        <w:tblW w:w="5000" w:type="pct"/>
        <w:jc w:val="left"/>
        <w:tblInd w:w="-5" w:type="dxa"/>
        <w:tblLayout w:type="fixed"/>
        <w:tblCellMar>
          <w:top w:w="55" w:type="dxa"/>
          <w:left w:w="55" w:type="dxa"/>
          <w:bottom w:w="55" w:type="dxa"/>
          <w:right w:w="55" w:type="dxa"/>
        </w:tblCellMar>
      </w:tblPr>
      <w:tblGrid>
        <w:gridCol w:w="629"/>
        <w:gridCol w:w="6346"/>
        <w:gridCol w:w="1308"/>
        <w:gridCol w:w="1241"/>
        <w:gridCol w:w="1415"/>
        <w:gridCol w:w="1651"/>
        <w:gridCol w:w="1191"/>
        <w:gridCol w:w="1617"/>
      </w:tblGrid>
      <w:tr>
        <w:trPr/>
        <w:tc>
          <w:tcPr>
            <w:tcW w:w="629" w:type="dxa"/>
            <w:tcBorders>
              <w:top w:val="single" w:sz="4" w:space="0" w:color="000000"/>
              <w:left w:val="single" w:sz="4" w:space="0" w:color="000000"/>
              <w:bottom w:val="single" w:sz="4" w:space="0" w:color="000000"/>
            </w:tcBorders>
          </w:tcPr>
          <w:p>
            <w:pPr>
              <w:pStyle w:val="Normal"/>
              <w:widowControl w:val="false"/>
              <w:bidi w:val="0"/>
              <w:spacing w:before="0" w:after="0"/>
              <w:ind w:hanging="0" w:left="170" w:right="0"/>
              <w:jc w:val="left"/>
              <w:rPr/>
            </w:pPr>
            <w:r>
              <w:rPr/>
              <w:t>№</w:t>
            </w:r>
          </w:p>
          <w:p>
            <w:pPr>
              <w:pStyle w:val="Normal"/>
              <w:widowControl w:val="false"/>
              <w:bidi w:val="0"/>
              <w:spacing w:before="0" w:after="0"/>
              <w:ind w:hanging="0" w:left="170" w:right="0"/>
              <w:jc w:val="left"/>
              <w:rPr/>
            </w:pPr>
            <w:r>
              <w:rPr/>
              <w:t>п/п</w:t>
            </w:r>
          </w:p>
        </w:tc>
        <w:tc>
          <w:tcPr>
            <w:tcW w:w="6346" w:type="dxa"/>
            <w:tcBorders>
              <w:top w:val="single" w:sz="4" w:space="0" w:color="000000"/>
              <w:left w:val="single" w:sz="4" w:space="0" w:color="000000"/>
              <w:bottom w:val="single" w:sz="4" w:space="0" w:color="000000"/>
            </w:tcBorders>
          </w:tcPr>
          <w:p>
            <w:pPr>
              <w:pStyle w:val="Normal"/>
              <w:widowControl w:val="false"/>
              <w:bidi w:val="0"/>
              <w:spacing w:before="0" w:after="0"/>
              <w:ind w:hanging="0" w:left="0" w:right="0"/>
              <w:jc w:val="center"/>
              <w:rPr/>
            </w:pPr>
            <w:r>
              <w:rPr/>
              <w:t>Наименование, минимальные технические (качественные) характеристики  товара</w:t>
            </w:r>
          </w:p>
        </w:tc>
        <w:tc>
          <w:tcPr>
            <w:tcW w:w="1308" w:type="dxa"/>
            <w:tcBorders>
              <w:top w:val="single" w:sz="4" w:space="0" w:color="000000"/>
              <w:left w:val="single" w:sz="4" w:space="0" w:color="000000"/>
              <w:bottom w:val="single" w:sz="4" w:space="0" w:color="000000"/>
            </w:tcBorders>
          </w:tcPr>
          <w:p>
            <w:pPr>
              <w:pStyle w:val="Normal"/>
              <w:widowControl w:val="false"/>
              <w:bidi w:val="0"/>
              <w:spacing w:before="0" w:after="0"/>
              <w:ind w:hanging="0" w:left="0" w:right="0"/>
              <w:jc w:val="center"/>
              <w:rPr/>
            </w:pPr>
            <w:r>
              <w:rPr/>
              <w:t>Страна происхождения товара</w:t>
            </w:r>
          </w:p>
        </w:tc>
        <w:tc>
          <w:tcPr>
            <w:tcW w:w="1241" w:type="dxa"/>
            <w:tcBorders>
              <w:top w:val="single" w:sz="4" w:space="0" w:color="000000"/>
              <w:left w:val="single" w:sz="4" w:space="0" w:color="000000"/>
              <w:bottom w:val="single" w:sz="4" w:space="0" w:color="000000"/>
            </w:tcBorders>
          </w:tcPr>
          <w:p>
            <w:pPr>
              <w:pStyle w:val="Normal"/>
              <w:widowControl w:val="false"/>
              <w:bidi w:val="0"/>
              <w:spacing w:before="0" w:after="0"/>
              <w:ind w:hanging="0" w:left="57" w:right="0"/>
              <w:jc w:val="center"/>
              <w:rPr/>
            </w:pPr>
            <w:r>
              <w:rPr/>
              <w:t>Кол-во</w:t>
            </w:r>
          </w:p>
        </w:tc>
        <w:tc>
          <w:tcPr>
            <w:tcW w:w="1415" w:type="dxa"/>
            <w:tcBorders>
              <w:top w:val="single" w:sz="4" w:space="0" w:color="000000"/>
              <w:left w:val="single" w:sz="4" w:space="0" w:color="000000"/>
              <w:bottom w:val="single" w:sz="4" w:space="0" w:color="000000"/>
            </w:tcBorders>
          </w:tcPr>
          <w:p>
            <w:pPr>
              <w:pStyle w:val="Normal"/>
              <w:widowControl w:val="false"/>
              <w:bidi w:val="0"/>
              <w:spacing w:before="0" w:after="0"/>
              <w:ind w:hanging="0" w:left="0" w:right="0"/>
              <w:jc w:val="center"/>
              <w:rPr/>
            </w:pPr>
            <w:r>
              <w:rPr/>
              <w:t>Ед. изм.</w:t>
            </w:r>
          </w:p>
        </w:tc>
        <w:tc>
          <w:tcPr>
            <w:tcW w:w="1651" w:type="dxa"/>
            <w:tcBorders>
              <w:top w:val="single" w:sz="4" w:space="0" w:color="000000"/>
              <w:left w:val="single" w:sz="4" w:space="0" w:color="000000"/>
              <w:bottom w:val="single" w:sz="4" w:space="0" w:color="000000"/>
            </w:tcBorders>
          </w:tcPr>
          <w:p>
            <w:pPr>
              <w:pStyle w:val="Normal"/>
              <w:widowControl w:val="false"/>
              <w:shd w:fill="FFFFFF" w:val="clear"/>
              <w:bidi w:val="0"/>
              <w:spacing w:before="0" w:after="0"/>
              <w:ind w:hanging="0" w:left="0" w:right="0"/>
              <w:jc w:val="center"/>
              <w:rPr>
                <w:color w:val="000000"/>
                <w:spacing w:val="-11"/>
              </w:rPr>
            </w:pPr>
            <w:r>
              <w:rPr>
                <w:color w:val="000000"/>
                <w:spacing w:val="-11"/>
              </w:rPr>
              <w:t xml:space="preserve">Стоимость единицы без НДС, рублей </w:t>
            </w:r>
          </w:p>
        </w:tc>
        <w:tc>
          <w:tcPr>
            <w:tcW w:w="1191" w:type="dxa"/>
            <w:tcBorders>
              <w:top w:val="single" w:sz="4" w:space="0" w:color="000000"/>
              <w:left w:val="single" w:sz="4" w:space="0" w:color="000000"/>
              <w:bottom w:val="single" w:sz="4" w:space="0" w:color="000000"/>
            </w:tcBorders>
          </w:tcPr>
          <w:p>
            <w:pPr>
              <w:pStyle w:val="Normal"/>
              <w:widowControl w:val="false"/>
              <w:shd w:fill="FFFFFF" w:val="clear"/>
              <w:bidi w:val="0"/>
              <w:spacing w:before="0" w:after="0"/>
              <w:ind w:hanging="0" w:left="0" w:right="0"/>
              <w:jc w:val="center"/>
              <w:rPr>
                <w:color w:val="000000"/>
                <w:spacing w:val="-11"/>
              </w:rPr>
            </w:pPr>
            <w:r>
              <w:rPr>
                <w:color w:val="000000"/>
                <w:spacing w:val="-11"/>
              </w:rPr>
              <w:t>НДС, рублей</w:t>
            </w:r>
          </w:p>
        </w:tc>
        <w:tc>
          <w:tcPr>
            <w:tcW w:w="1617" w:type="dxa"/>
            <w:tcBorders>
              <w:top w:val="single" w:sz="4" w:space="0" w:color="000000"/>
              <w:left w:val="single" w:sz="4" w:space="0" w:color="000000"/>
              <w:bottom w:val="single" w:sz="4" w:space="0" w:color="000000"/>
              <w:right w:val="single" w:sz="4" w:space="0" w:color="000000"/>
            </w:tcBorders>
          </w:tcPr>
          <w:p>
            <w:pPr>
              <w:pStyle w:val="Normal"/>
              <w:widowControl w:val="false"/>
              <w:shd w:fill="FFFFFF" w:val="clear"/>
              <w:bidi w:val="0"/>
              <w:spacing w:before="0" w:after="0"/>
              <w:ind w:hanging="0" w:left="0" w:right="0"/>
              <w:jc w:val="center"/>
              <w:rPr>
                <w:color w:val="000000"/>
                <w:spacing w:val="-11"/>
              </w:rPr>
            </w:pPr>
            <w:r>
              <w:rPr>
                <w:color w:val="000000"/>
                <w:spacing w:val="-11"/>
              </w:rPr>
              <w:t>Общая стоимость с НДС, рублей</w:t>
            </w:r>
          </w:p>
        </w:tc>
      </w:tr>
      <w:tr>
        <w:trPr/>
        <w:tc>
          <w:tcPr>
            <w:tcW w:w="629" w:type="dxa"/>
            <w:tcBorders>
              <w:left w:val="single" w:sz="4" w:space="0" w:color="000000"/>
              <w:bottom w:val="single" w:sz="4" w:space="0" w:color="000000"/>
            </w:tcBorders>
          </w:tcPr>
          <w:p>
            <w:pPr>
              <w:pStyle w:val="Normal"/>
              <w:bidi w:val="0"/>
              <w:spacing w:before="0" w:after="0"/>
              <w:ind w:hanging="0" w:left="170" w:right="0"/>
              <w:jc w:val="left"/>
              <w:rPr/>
            </w:pPr>
            <w:r>
              <w:rPr/>
              <w:t>1</w:t>
            </w:r>
          </w:p>
        </w:tc>
        <w:tc>
          <w:tcPr>
            <w:tcW w:w="6346" w:type="dxa"/>
            <w:tcBorders>
              <w:left w:val="single" w:sz="4" w:space="0" w:color="000000"/>
              <w:bottom w:val="single" w:sz="4" w:space="0" w:color="000000"/>
            </w:tcBorders>
          </w:tcPr>
          <w:p>
            <w:pPr>
              <w:pStyle w:val="12"/>
              <w:bidi w:val="0"/>
              <w:spacing w:lineRule="auto" w:line="240" w:before="0" w:after="0"/>
              <w:ind w:hanging="0" w:left="0" w:right="0"/>
              <w:rPr>
                <w:rFonts w:ascii="Times New Roman" w:hAnsi="Times New Roman" w:cs="Times New Roman"/>
                <w:b/>
                <w:bCs/>
                <w:sz w:val="20"/>
                <w:szCs w:val="20"/>
                <w:shd w:fill="FFFFFF" w:val="clear"/>
              </w:rPr>
            </w:pPr>
            <w:r>
              <w:rPr>
                <w:rFonts w:cs="Times New Roman" w:ascii="Times New Roman" w:hAnsi="Times New Roman"/>
                <w:b/>
                <w:bCs/>
                <w:sz w:val="20"/>
                <w:szCs w:val="20"/>
                <w:shd w:fill="FFFFFF" w:val="clear"/>
              </w:rPr>
              <w:t>Пена монтажная</w:t>
            </w:r>
          </w:p>
          <w:p>
            <w:pPr>
              <w:pStyle w:val="NormalWeb"/>
              <w:bidi w:val="0"/>
              <w:spacing w:lineRule="auto" w:line="240" w:before="0" w:after="0"/>
              <w:ind w:hanging="0" w:left="0" w:right="0"/>
              <w:rPr>
                <w:rFonts w:ascii="Times New Roman" w:hAnsi="Times New Roman"/>
                <w:b w:val="false"/>
                <w:bCs w:val="false"/>
                <w:sz w:val="20"/>
                <w:szCs w:val="20"/>
              </w:rPr>
            </w:pPr>
            <w:r>
              <w:rPr>
                <w:rFonts w:cs="Times New Roman"/>
                <w:b w:val="false"/>
                <w:bCs w:val="false"/>
                <w:sz w:val="20"/>
                <w:szCs w:val="20"/>
              </w:rPr>
              <w:t xml:space="preserve">Вид </w:t>
            </w:r>
            <w:r>
              <w:rPr>
                <w:b w:val="false"/>
                <w:bCs w:val="false"/>
                <w:sz w:val="20"/>
                <w:szCs w:val="20"/>
              </w:rPr>
              <w:t>тары - баллон</w:t>
            </w:r>
          </w:p>
          <w:p>
            <w:pPr>
              <w:pStyle w:val="NormalWeb"/>
              <w:shd w:fill="FFFFFF" w:val="clear"/>
              <w:bidi w:val="0"/>
              <w:spacing w:lineRule="auto" w:line="240" w:before="0" w:after="0"/>
              <w:ind w:hanging="0" w:left="0" w:right="0"/>
              <w:rPr>
                <w:rFonts w:ascii="Times New Roman" w:hAnsi="Times New Roman"/>
                <w:sz w:val="20"/>
                <w:szCs w:val="20"/>
              </w:rPr>
            </w:pPr>
            <w:r>
              <w:rPr>
                <w:sz w:val="20"/>
                <w:szCs w:val="20"/>
              </w:rPr>
              <w:t>Объем вещества в баллоне - не менее 1000, миллилитр</w:t>
            </w:r>
          </w:p>
          <w:p>
            <w:pPr>
              <w:pStyle w:val="NormalWeb"/>
              <w:shd w:fill="FFFFFF" w:val="clear"/>
              <w:bidi w:val="0"/>
              <w:spacing w:lineRule="auto" w:line="240" w:before="0" w:after="0"/>
              <w:ind w:hanging="0" w:left="0" w:right="0"/>
              <w:rPr>
                <w:rFonts w:ascii="Times New Roman" w:hAnsi="Times New Roman"/>
                <w:sz w:val="20"/>
                <w:szCs w:val="20"/>
              </w:rPr>
            </w:pPr>
            <w:r>
              <w:rPr>
                <w:sz w:val="20"/>
                <w:szCs w:val="20"/>
              </w:rPr>
              <w:t>Время полного застывания - не более 24, час</w:t>
            </w:r>
          </w:p>
          <w:p>
            <w:pPr>
              <w:pStyle w:val="NormalWeb"/>
              <w:shd w:fill="FFFFFF" w:val="clear"/>
              <w:bidi w:val="0"/>
              <w:spacing w:lineRule="auto" w:line="240" w:before="0" w:after="0"/>
              <w:ind w:hanging="0" w:left="0" w:right="0"/>
              <w:rPr>
                <w:rFonts w:ascii="Times New Roman" w:hAnsi="Times New Roman"/>
                <w:sz w:val="20"/>
                <w:szCs w:val="20"/>
              </w:rPr>
            </w:pPr>
            <w:r>
              <w:rPr>
                <w:sz w:val="20"/>
                <w:szCs w:val="20"/>
              </w:rPr>
              <w:t>Вид баллона – под пистолет</w:t>
            </w:r>
          </w:p>
          <w:p>
            <w:pPr>
              <w:pStyle w:val="NormalWeb"/>
              <w:shd w:fill="FFFFFF" w:val="clear"/>
              <w:bidi w:val="0"/>
              <w:spacing w:lineRule="auto" w:line="240" w:before="0" w:after="0"/>
              <w:ind w:hanging="0" w:left="0" w:right="0"/>
              <w:rPr>
                <w:rFonts w:ascii="Times New Roman" w:hAnsi="Times New Roman"/>
                <w:sz w:val="20"/>
                <w:szCs w:val="20"/>
              </w:rPr>
            </w:pPr>
            <w:r>
              <w:rPr>
                <w:sz w:val="20"/>
                <w:szCs w:val="20"/>
              </w:rPr>
              <w:t>Огнестойкость - да</w:t>
            </w:r>
          </w:p>
          <w:p>
            <w:pPr>
              <w:pStyle w:val="NormalWeb"/>
              <w:shd w:fill="FFFFFF" w:val="clear"/>
              <w:bidi w:val="0"/>
              <w:spacing w:lineRule="auto" w:line="240" w:before="0" w:after="0"/>
              <w:ind w:hanging="0" w:left="0" w:right="0"/>
              <w:rPr>
                <w:rFonts w:ascii="Times New Roman" w:hAnsi="Times New Roman"/>
                <w:sz w:val="20"/>
                <w:szCs w:val="20"/>
              </w:rPr>
            </w:pPr>
            <w:r>
              <w:rPr>
                <w:sz w:val="20"/>
                <w:szCs w:val="20"/>
              </w:rPr>
              <w:t>Сезонность - всесезонная</w:t>
            </w:r>
          </w:p>
          <w:p>
            <w:pPr>
              <w:pStyle w:val="NormalWeb"/>
              <w:bidi w:val="0"/>
              <w:spacing w:lineRule="auto" w:line="240" w:before="0" w:after="0"/>
              <w:ind w:hanging="0" w:left="0" w:right="0"/>
              <w:rPr>
                <w:rFonts w:ascii="Times New Roman" w:hAnsi="Times New Roman"/>
                <w:sz w:val="20"/>
                <w:szCs w:val="20"/>
              </w:rPr>
            </w:pPr>
            <w:r>
              <w:rPr>
                <w:sz w:val="20"/>
                <w:szCs w:val="20"/>
              </w:rPr>
              <w:t>Минимальная температура использования: не выше +5, Градус Цельсия</w:t>
            </w:r>
          </w:p>
          <w:p>
            <w:pPr>
              <w:pStyle w:val="NormalWeb"/>
              <w:bidi w:val="0"/>
              <w:spacing w:lineRule="auto" w:line="240" w:before="0" w:after="0"/>
              <w:ind w:hanging="0" w:left="0" w:right="0"/>
              <w:rPr>
                <w:rFonts w:ascii="Times New Roman" w:hAnsi="Times New Roman"/>
                <w:sz w:val="20"/>
                <w:szCs w:val="20"/>
              </w:rPr>
            </w:pPr>
            <w:r>
              <w:rPr>
                <w:sz w:val="20"/>
                <w:szCs w:val="20"/>
              </w:rPr>
              <w:t>Максимальная температура использования: не ниже +35, Градус Цельсия</w:t>
            </w:r>
          </w:p>
          <w:p>
            <w:pPr>
              <w:pStyle w:val="NormalWeb"/>
              <w:bidi w:val="0"/>
              <w:spacing w:lineRule="auto" w:line="240" w:before="0" w:after="0"/>
              <w:ind w:hanging="0" w:left="0" w:right="0"/>
              <w:rPr>
                <w:rFonts w:ascii="Times New Roman" w:hAnsi="Times New Roman"/>
                <w:sz w:val="20"/>
                <w:szCs w:val="20"/>
              </w:rPr>
            </w:pPr>
            <w:r>
              <w:rPr>
                <w:sz w:val="20"/>
                <w:szCs w:val="20"/>
              </w:rPr>
              <w:t>Объем пены в баллоне (выход) - не менее 47, Литр (кубический дециметр)</w:t>
            </w:r>
          </w:p>
          <w:p>
            <w:pPr>
              <w:pStyle w:val="NormalWeb"/>
              <w:bidi w:val="0"/>
              <w:spacing w:lineRule="auto" w:line="240" w:before="0" w:after="0"/>
              <w:ind w:hanging="0" w:left="0" w:right="0"/>
              <w:rPr>
                <w:rFonts w:ascii="Times New Roman" w:hAnsi="Times New Roman"/>
                <w:sz w:val="20"/>
                <w:szCs w:val="20"/>
              </w:rPr>
            </w:pPr>
            <w:r>
              <w:rPr>
                <w:sz w:val="20"/>
                <w:szCs w:val="20"/>
              </w:rPr>
              <w:t>Время сопротивления высоким температурам - не менее 240, минута</w:t>
            </w:r>
          </w:p>
          <w:p>
            <w:pPr>
              <w:pStyle w:val="Normal"/>
              <w:widowControl w:val="false"/>
              <w:spacing w:lineRule="auto" w:line="240" w:before="0" w:after="0"/>
              <w:ind w:hanging="0" w:left="0" w:right="0"/>
              <w:jc w:val="left"/>
              <w:rPr>
                <w:rFonts w:ascii="Times New Roman" w:hAnsi="Times New Roman"/>
                <w:sz w:val="20"/>
                <w:szCs w:val="20"/>
              </w:rPr>
            </w:pPr>
            <w:r>
              <w:rPr>
                <w:sz w:val="20"/>
                <w:szCs w:val="20"/>
              </w:rPr>
              <w:t>Цвет пены - красный или розовый</w:t>
            </w:r>
          </w:p>
          <w:p>
            <w:pPr>
              <w:pStyle w:val="Normal"/>
              <w:widowControl w:val="false"/>
              <w:spacing w:lineRule="auto" w:line="240" w:before="0" w:after="0"/>
              <w:ind w:hanging="0" w:left="0" w:right="0"/>
              <w:jc w:val="left"/>
              <w:rPr>
                <w:rFonts w:ascii="Times New Roman" w:hAnsi="Times New Roman"/>
                <w:sz w:val="20"/>
                <w:szCs w:val="20"/>
              </w:rPr>
            </w:pPr>
            <w:r>
              <w:rPr>
                <w:sz w:val="20"/>
                <w:szCs w:val="20"/>
              </w:rPr>
            </w:r>
          </w:p>
          <w:p>
            <w:pPr>
              <w:pStyle w:val="Normal"/>
              <w:widowControl w:val="false"/>
              <w:spacing w:lineRule="auto" w:line="240" w:before="0" w:after="0"/>
              <w:rPr>
                <w:rFonts w:ascii="Times New Roman" w:hAnsi="Times New Roman"/>
                <w:sz w:val="20"/>
                <w:szCs w:val="20"/>
              </w:rPr>
            </w:pPr>
            <w:r>
              <w:rPr>
                <w:sz w:val="20"/>
                <w:szCs w:val="20"/>
              </w:rPr>
              <w:t xml:space="preserve">ОКПД2: </w:t>
            </w:r>
            <w:r>
              <w:rPr>
                <w:sz w:val="20"/>
                <w:szCs w:val="20"/>
                <w:shd w:fill="FFFFFF" w:val="clear"/>
              </w:rPr>
              <w:t>20.30.22.170</w:t>
            </w:r>
          </w:p>
        </w:tc>
        <w:tc>
          <w:tcPr>
            <w:tcW w:w="1308" w:type="dxa"/>
            <w:tcBorders>
              <w:left w:val="single" w:sz="4" w:space="0" w:color="000000"/>
              <w:bottom w:val="single" w:sz="4" w:space="0" w:color="000000"/>
            </w:tcBorders>
          </w:tcPr>
          <w:p>
            <w:pPr>
              <w:pStyle w:val="Normal"/>
              <w:bidi w:val="0"/>
              <w:spacing w:before="0" w:after="0"/>
              <w:ind w:hanging="0" w:left="510" w:right="0"/>
              <w:jc w:val="center"/>
              <w:rPr>
                <w:lang w:val="en-US"/>
              </w:rPr>
            </w:pPr>
            <w:r>
              <w:rPr>
                <w:lang w:val="en-US"/>
              </w:rPr>
            </w:r>
          </w:p>
        </w:tc>
        <w:tc>
          <w:tcPr>
            <w:tcW w:w="1241" w:type="dxa"/>
            <w:tcBorders>
              <w:left w:val="single" w:sz="4" w:space="0" w:color="000000"/>
              <w:bottom w:val="single" w:sz="4" w:space="0" w:color="000000"/>
            </w:tcBorders>
          </w:tcPr>
          <w:p>
            <w:pPr>
              <w:pStyle w:val="Normal"/>
              <w:bidi w:val="0"/>
              <w:spacing w:before="0" w:after="0"/>
              <w:ind w:hanging="0" w:left="57" w:right="0"/>
              <w:jc w:val="center"/>
              <w:rPr>
                <w:lang w:val="ru-RU"/>
              </w:rPr>
            </w:pPr>
            <w:r>
              <w:rPr>
                <w:lang w:val="ru-RU"/>
              </w:rPr>
              <w:t>12</w:t>
            </w:r>
          </w:p>
        </w:tc>
        <w:tc>
          <w:tcPr>
            <w:tcW w:w="1415" w:type="dxa"/>
            <w:tcBorders>
              <w:left w:val="single" w:sz="4" w:space="0" w:color="000000"/>
              <w:bottom w:val="single" w:sz="4" w:space="0" w:color="000000"/>
            </w:tcBorders>
          </w:tcPr>
          <w:p>
            <w:pPr>
              <w:pStyle w:val="Normal"/>
              <w:bidi w:val="0"/>
              <w:spacing w:before="0" w:after="0"/>
              <w:ind w:hanging="0" w:left="0" w:right="0"/>
              <w:jc w:val="center"/>
              <w:rPr>
                <w:lang w:val="ru-RU"/>
              </w:rPr>
            </w:pPr>
            <w:r>
              <w:rPr>
                <w:lang w:val="ru-RU"/>
              </w:rPr>
              <w:t>шт.</w:t>
            </w:r>
          </w:p>
        </w:tc>
        <w:tc>
          <w:tcPr>
            <w:tcW w:w="1651" w:type="dxa"/>
            <w:tcBorders>
              <w:left w:val="single" w:sz="4" w:space="0" w:color="000000"/>
              <w:bottom w:val="single" w:sz="4" w:space="0" w:color="000000"/>
            </w:tcBorders>
          </w:tcPr>
          <w:p>
            <w:pPr>
              <w:pStyle w:val="Normal"/>
              <w:bidi w:val="0"/>
              <w:spacing w:before="0" w:after="0"/>
              <w:ind w:hanging="0" w:left="0" w:right="0"/>
              <w:jc w:val="center"/>
              <w:rPr/>
            </w:pPr>
            <w:r>
              <w:rPr/>
            </w:r>
          </w:p>
        </w:tc>
        <w:tc>
          <w:tcPr>
            <w:tcW w:w="1191" w:type="dxa"/>
            <w:tcBorders>
              <w:left w:val="single" w:sz="4" w:space="0" w:color="000000"/>
              <w:bottom w:val="single" w:sz="4" w:space="0" w:color="000000"/>
            </w:tcBorders>
          </w:tcPr>
          <w:p>
            <w:pPr>
              <w:pStyle w:val="Normal"/>
              <w:bidi w:val="0"/>
              <w:spacing w:lineRule="atLeast" w:line="57" w:before="0" w:after="0"/>
              <w:ind w:hanging="0" w:left="0" w:right="0"/>
              <w:jc w:val="center"/>
              <w:rPr>
                <w:shd w:fill="FFFF00" w:val="clear"/>
              </w:rPr>
            </w:pPr>
            <w:r>
              <w:rPr>
                <w:shd w:fill="FFFF00" w:val="clear"/>
              </w:rPr>
            </w:r>
          </w:p>
        </w:tc>
        <w:tc>
          <w:tcPr>
            <w:tcW w:w="1617" w:type="dxa"/>
            <w:tcBorders>
              <w:left w:val="single" w:sz="4" w:space="0" w:color="000000"/>
              <w:bottom w:val="single" w:sz="4" w:space="0" w:color="000000"/>
              <w:right w:val="single" w:sz="4" w:space="0" w:color="000000"/>
            </w:tcBorders>
          </w:tcPr>
          <w:p>
            <w:pPr>
              <w:pStyle w:val="Normal"/>
              <w:bidi w:val="0"/>
              <w:spacing w:lineRule="atLeast" w:line="57" w:before="0" w:after="0"/>
              <w:ind w:hanging="0" w:left="0" w:right="0"/>
              <w:jc w:val="center"/>
              <w:rPr>
                <w:b/>
                <w:bCs/>
                <w:shd w:fill="FFFF00" w:val="clear"/>
              </w:rPr>
            </w:pPr>
            <w:r>
              <w:rPr>
                <w:b/>
                <w:bCs/>
                <w:shd w:fill="FFFF00" w:val="clear"/>
              </w:rPr>
            </w:r>
          </w:p>
        </w:tc>
      </w:tr>
      <w:tr>
        <w:trPr/>
        <w:tc>
          <w:tcPr>
            <w:tcW w:w="13781" w:type="dxa"/>
            <w:gridSpan w:val="7"/>
            <w:tcBorders>
              <w:left w:val="single" w:sz="4" w:space="0" w:color="000000"/>
              <w:bottom w:val="single" w:sz="4" w:space="0" w:color="000000"/>
            </w:tcBorders>
          </w:tcPr>
          <w:p>
            <w:pPr>
              <w:pStyle w:val="Style24"/>
              <w:jc w:val="right"/>
              <w:rPr/>
            </w:pPr>
            <w:r>
              <w:rPr/>
            </w:r>
          </w:p>
          <w:p>
            <w:pPr>
              <w:pStyle w:val="Style24"/>
              <w:jc w:val="right"/>
              <w:rPr/>
            </w:pPr>
            <w:r>
              <w:rPr/>
              <w:t>ИТОГО</w:t>
            </w:r>
          </w:p>
        </w:tc>
        <w:tc>
          <w:tcPr>
            <w:tcW w:w="1617" w:type="dxa"/>
            <w:tcBorders>
              <w:left w:val="single" w:sz="4" w:space="0" w:color="000000"/>
              <w:bottom w:val="single" w:sz="4" w:space="0" w:color="000000"/>
              <w:right w:val="single" w:sz="4" w:space="0" w:color="000000"/>
            </w:tcBorders>
          </w:tcPr>
          <w:p>
            <w:pPr>
              <w:pStyle w:val="Style24"/>
              <w:rPr/>
            </w:pPr>
            <w:r>
              <w:rPr/>
            </w:r>
          </w:p>
        </w:tc>
      </w:tr>
    </w:tbl>
    <w:p>
      <w:pPr>
        <w:pStyle w:val="Normal"/>
        <w:spacing w:before="0" w:after="60"/>
        <w:jc w:val="center"/>
        <w:rPr>
          <w:b/>
          <w:bCs/>
        </w:rPr>
      </w:pPr>
      <w:r>
        <w:rPr>
          <w:b/>
          <w:bCs/>
        </w:rPr>
      </w:r>
    </w:p>
    <w:tbl>
      <w:tblPr>
        <w:tblW w:w="5000" w:type="pct"/>
        <w:jc w:val="left"/>
        <w:tblInd w:w="0" w:type="dxa"/>
        <w:tblLayout w:type="fixed"/>
        <w:tblCellMar>
          <w:top w:w="0" w:type="dxa"/>
          <w:left w:w="0" w:type="dxa"/>
          <w:bottom w:w="0" w:type="dxa"/>
          <w:right w:w="0" w:type="dxa"/>
        </w:tblCellMar>
      </w:tblPr>
      <w:tblGrid>
        <w:gridCol w:w="7699"/>
        <w:gridCol w:w="7699"/>
      </w:tblGrid>
      <w:tr>
        <w:trPr/>
        <w:tc>
          <w:tcPr>
            <w:tcW w:w="7699" w:type="dxa"/>
            <w:tcBorders/>
          </w:tcPr>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2"/>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2"/>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sz w:val="20"/>
                <w:szCs w:val="20"/>
              </w:rPr>
              <w:t>____________  А.Е.Кузнецова</w:t>
            </w:r>
            <w:r>
              <w:rPr/>
              <w:t xml:space="preserve">                                                       </w:t>
            </w:r>
          </w:p>
          <w:p>
            <w:pPr>
              <w:pStyle w:val="Normal"/>
              <w:tabs>
                <w:tab w:val="clear" w:pos="708"/>
                <w:tab w:val="left" w:pos="7680" w:leader="none"/>
              </w:tabs>
              <w:rPr/>
            </w:pPr>
            <w:r>
              <w:rPr/>
              <w:t>м.п.</w:t>
            </w:r>
          </w:p>
        </w:tc>
        <w:tc>
          <w:tcPr>
            <w:tcW w:w="7699" w:type="dxa"/>
            <w:tcBorders/>
          </w:tcPr>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b/>
          <w:bCs/>
        </w:rPr>
        <mc:AlternateContent>
          <mc:Choice Requires="wps">
            <w:drawing>
              <wp:anchor behindDoc="0" distT="0" distB="635" distL="114300" distR="114300" simplePos="0" locked="0" layoutInCell="0" allowOverlap="1" relativeHeight="2">
                <wp:simplePos x="0" y="0"/>
                <wp:positionH relativeFrom="page">
                  <wp:posOffset>426085</wp:posOffset>
                </wp:positionH>
                <wp:positionV relativeFrom="paragraph">
                  <wp:posOffset>603250</wp:posOffset>
                </wp:positionV>
                <wp:extent cx="10692130" cy="402590"/>
                <wp:effectExtent l="0" t="0" r="0" b="0"/>
                <wp:wrapSquare wrapText="bothSides"/>
                <wp:docPr id="1" name="Врезка1"/>
                <a:graphic xmlns:a="http://schemas.openxmlformats.org/drawingml/2006/main">
                  <a:graphicData uri="http://schemas.microsoft.com/office/word/2010/wordprocessingShape">
                    <wps:wsp>
                      <wps:cNvSpPr/>
                      <wps:spPr>
                        <a:xfrm>
                          <a:off x="0" y="0"/>
                          <a:ext cx="10692000" cy="402480"/>
                        </a:xfrm>
                        <a:prstGeom prst="rect">
                          <a:avLst/>
                        </a:prstGeom>
                        <a:noFill/>
                        <a:ln w="0">
                          <a:noFill/>
                        </a:ln>
                      </wps:spPr>
                      <wps:style>
                        <a:lnRef idx="0"/>
                        <a:fillRef idx="0"/>
                        <a:effectRef idx="0"/>
                        <a:fontRef idx="minor"/>
                      </wps:style>
                      <wps:txbx>
                        <w:txbxContent>
                          <w:p>
                            <w:pPr>
                              <w:pStyle w:val="BodyText"/>
                              <w:rPr>
                                <w:color w:val="000000"/>
                              </w:rPr>
                            </w:pPr>
                            <w:r>
                              <w:rPr>
                                <w:color w:val="000000"/>
                              </w:rPr>
                            </w:r>
                          </w:p>
                          <w:p>
                            <w:pPr>
                              <w:pStyle w:val="Style23"/>
                              <w:rPr>
                                <w:color w:val="000000"/>
                              </w:rPr>
                            </w:pPr>
                            <w:r>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33.55pt;margin-top:47.5pt;width:841.85pt;height:31.65pt;mso-wrap-style:square;v-text-anchor:top;mso-position-horizontal-relative:page">
                <v:fill o:detectmouseclick="t" on="false"/>
                <v:stroke color="#3465a4" joinstyle="round" endcap="flat"/>
                <v:textbox>
                  <w:txbxContent>
                    <w:p>
                      <w:pPr>
                        <w:pStyle w:val="BodyText"/>
                        <w:rPr>
                          <w:color w:val="000000"/>
                        </w:rPr>
                      </w:pPr>
                      <w:r>
                        <w:rPr>
                          <w:color w:val="000000"/>
                        </w:rPr>
                      </w:r>
                    </w:p>
                    <w:p>
                      <w:pPr>
                        <w:pStyle w:val="Style23"/>
                        <w:rPr>
                          <w:color w:val="000000"/>
                        </w:rPr>
                      </w:pPr>
                      <w:r>
                        <w:rPr/>
                      </w:r>
                    </w:p>
                  </w:txbxContent>
                </v:textbox>
                <w10:wrap type="square"/>
              </v:rect>
            </w:pict>
          </mc:Fallback>
        </mc:AlternateContent>
      </w:r>
    </w:p>
    <w:sectPr>
      <w:footerReference w:type="default" r:id="rId3"/>
      <w:footerReference w:type="first" r:id="rId4"/>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Tahoma">
    <w:charset w:val="cc"/>
    <w:family w:val="roman"/>
    <w:pitch w:val="variable"/>
  </w:font>
  <w:font w:name="PT Astra Serif">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50"/>
  <w:defaultTabStop w:val="708"/>
  <w:autoHyphenation w:val="true"/>
  <w:compat>
    <w:doNotBreakWrappedTables/>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qFormat/>
    <w:pPr>
      <w:keepNext w:val="true"/>
      <w:keepLines/>
      <w:numPr>
        <w:ilvl w:val="0"/>
        <w:numId w:val="0"/>
      </w:numPr>
      <w:spacing w:before="480" w:after="200"/>
      <w:outlineLvl w:val="0"/>
    </w:pPr>
    <w:rPr>
      <w:rFonts w:ascii="Arial" w:hAnsi="Arial" w:eastAsia="Arial" w:cs="Arial"/>
      <w:sz w:val="40"/>
      <w:szCs w:val="40"/>
    </w:rPr>
  </w:style>
  <w:style w:type="paragraph" w:styleId="Heading2">
    <w:name w:val="Heading 2"/>
    <w:basedOn w:val="Normal"/>
    <w:next w:val="Normal"/>
    <w:link w:val="2"/>
    <w:qFormat/>
    <w:pPr>
      <w:keepNext w:val="true"/>
      <w:keepLines/>
      <w:numPr>
        <w:ilvl w:val="0"/>
        <w:numId w:val="0"/>
      </w:numPr>
      <w:spacing w:before="360" w:after="200"/>
      <w:outlineLvl w:val="1"/>
    </w:pPr>
    <w:rPr>
      <w:rFonts w:ascii="Arial" w:hAnsi="Arial" w:eastAsia="Arial" w:cs="Arial"/>
      <w:sz w:val="34"/>
    </w:rPr>
  </w:style>
  <w:style w:type="paragraph" w:styleId="Heading3">
    <w:name w:val="Heading 3"/>
    <w:basedOn w:val="Normal"/>
    <w:next w:val="Normal"/>
    <w:link w:val="3"/>
    <w:qFormat/>
    <w:pPr>
      <w:keepNext w:val="true"/>
      <w:keepLines/>
      <w:numPr>
        <w:ilvl w:val="0"/>
        <w:numId w:val="0"/>
      </w:numPr>
      <w:spacing w:before="320" w:after="200"/>
      <w:outlineLvl w:val="2"/>
    </w:pPr>
    <w:rPr>
      <w:rFonts w:ascii="Arial" w:hAnsi="Arial" w:eastAsia="Arial" w:cs="Arial"/>
      <w:sz w:val="30"/>
      <w:szCs w:val="30"/>
    </w:rPr>
  </w:style>
  <w:style w:type="paragraph" w:styleId="Heading4">
    <w:name w:val="Heading 4"/>
    <w:basedOn w:val="Normal"/>
    <w:next w:val="Normal"/>
    <w:link w:val="4"/>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5"/>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6"/>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7"/>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8"/>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9"/>
    <w:qFormat/>
    <w:pPr>
      <w:keepNext w:val="true"/>
      <w:keepLines/>
      <w:numPr>
        <w:ilvl w:val="0"/>
        <w:numId w:val="0"/>
      </w:numPr>
      <w:spacing w:before="320" w:after="200"/>
      <w:outlineLvl w:val="8"/>
    </w:pPr>
    <w:rPr>
      <w:rFonts w:ascii="Arial" w:hAnsi="Arial" w:eastAsia="Arial" w:cs="Arial"/>
      <w:i/>
      <w:iCs/>
      <w:sz w:val="21"/>
      <w:szCs w:val="21"/>
    </w:rPr>
  </w:style>
  <w:style w:type="character" w:styleId="DefaultParagraphFont">
    <w:name w:val="Default Paragraph Font"/>
    <w:qFormat/>
    <w:rPr/>
  </w:style>
  <w:style w:type="character" w:styleId="1">
    <w:name w:val="Заголовок 1 Знак"/>
    <w:basedOn w:val="DefaultParagraphFont"/>
    <w:qFormat/>
    <w:rPr>
      <w:rFonts w:ascii="Arial" w:hAnsi="Arial" w:eastAsia="Arial" w:cs="Arial"/>
      <w:sz w:val="40"/>
      <w:szCs w:val="40"/>
    </w:rPr>
  </w:style>
  <w:style w:type="character" w:styleId="2">
    <w:name w:val="Заголовок 2 Знак"/>
    <w:basedOn w:val="DefaultParagraphFont"/>
    <w:qFormat/>
    <w:rPr>
      <w:rFonts w:ascii="Arial" w:hAnsi="Arial" w:eastAsia="Arial" w:cs="Arial"/>
      <w:sz w:val="34"/>
    </w:rPr>
  </w:style>
  <w:style w:type="character" w:styleId="3">
    <w:name w:val="Заголовок 3 Знак"/>
    <w:basedOn w:val="DefaultParagraphFont"/>
    <w:qFormat/>
    <w:rPr>
      <w:rFonts w:ascii="Arial" w:hAnsi="Arial" w:eastAsia="Arial" w:cs="Arial"/>
      <w:sz w:val="30"/>
      <w:szCs w:val="30"/>
    </w:rPr>
  </w:style>
  <w:style w:type="character" w:styleId="4">
    <w:name w:val="Заголовок 4 Знак"/>
    <w:basedOn w:val="DefaultParagraphFont"/>
    <w:qFormat/>
    <w:rPr>
      <w:rFonts w:ascii="Arial" w:hAnsi="Arial" w:eastAsia="Arial" w:cs="Arial"/>
      <w:b/>
      <w:bCs/>
      <w:sz w:val="26"/>
      <w:szCs w:val="26"/>
    </w:rPr>
  </w:style>
  <w:style w:type="character" w:styleId="5">
    <w:name w:val="Заголовок 5 Знак"/>
    <w:basedOn w:val="DefaultParagraphFont"/>
    <w:qFormat/>
    <w:rPr>
      <w:rFonts w:ascii="Arial" w:hAnsi="Arial" w:eastAsia="Arial" w:cs="Arial"/>
      <w:b/>
      <w:bCs/>
      <w:sz w:val="24"/>
      <w:szCs w:val="24"/>
    </w:rPr>
  </w:style>
  <w:style w:type="character" w:styleId="6">
    <w:name w:val="Заголовок 6 Знак"/>
    <w:basedOn w:val="DefaultParagraphFont"/>
    <w:qFormat/>
    <w:rPr>
      <w:rFonts w:ascii="Arial" w:hAnsi="Arial" w:eastAsia="Arial" w:cs="Arial"/>
      <w:b/>
      <w:bCs/>
      <w:sz w:val="22"/>
      <w:szCs w:val="22"/>
    </w:rPr>
  </w:style>
  <w:style w:type="character" w:styleId="7">
    <w:name w:val="Заголовок 7 Знак"/>
    <w:basedOn w:val="DefaultParagraphFont"/>
    <w:qFormat/>
    <w:rPr>
      <w:rFonts w:ascii="Arial" w:hAnsi="Arial" w:eastAsia="Arial" w:cs="Arial"/>
      <w:b/>
      <w:bCs/>
      <w:i/>
      <w:iCs/>
      <w:sz w:val="22"/>
      <w:szCs w:val="22"/>
    </w:rPr>
  </w:style>
  <w:style w:type="character" w:styleId="8">
    <w:name w:val="Заголовок 8 Знак"/>
    <w:basedOn w:val="DefaultParagraphFont"/>
    <w:qFormat/>
    <w:rPr>
      <w:rFonts w:ascii="Arial" w:hAnsi="Arial" w:eastAsia="Arial" w:cs="Arial"/>
      <w:i/>
      <w:iCs/>
      <w:sz w:val="22"/>
      <w:szCs w:val="22"/>
    </w:rPr>
  </w:style>
  <w:style w:type="character" w:styleId="9">
    <w:name w:val="Заголовок 9 Знак"/>
    <w:basedOn w:val="DefaultParagraphFont"/>
    <w:qFormat/>
    <w:rPr>
      <w:rFonts w:ascii="Arial" w:hAnsi="Arial" w:eastAsia="Arial" w:cs="Arial"/>
      <w:i/>
      <w:iCs/>
      <w:sz w:val="21"/>
      <w:szCs w:val="21"/>
    </w:rPr>
  </w:style>
  <w:style w:type="character" w:styleId="Style5">
    <w:name w:val="Заголовок Знак"/>
    <w:basedOn w:val="DefaultParagraphFont"/>
    <w:qFormat/>
    <w:rPr>
      <w:sz w:val="48"/>
      <w:szCs w:val="48"/>
    </w:rPr>
  </w:style>
  <w:style w:type="character" w:styleId="Style6">
    <w:name w:val="Подзаголовок Знак"/>
    <w:basedOn w:val="DefaultParagraphFont"/>
    <w:qFormat/>
    <w:rPr>
      <w:sz w:val="24"/>
      <w:szCs w:val="24"/>
    </w:rPr>
  </w:style>
  <w:style w:type="character" w:styleId="21">
    <w:name w:val="Цитата 2 Знак"/>
    <w:link w:val="Quote"/>
    <w:qFormat/>
    <w:rPr>
      <w:i/>
    </w:rPr>
  </w:style>
  <w:style w:type="character" w:styleId="Style7">
    <w:name w:val="Выделенная цитата Знак"/>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qFormat/>
    <w:rPr/>
  </w:style>
  <w:style w:type="character" w:styleId="Style8">
    <w:name w:val="Текст сноски Знак"/>
    <w:qFormat/>
    <w:rPr>
      <w:sz w:val="18"/>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name w:val="Текст концевой сноски Знак"/>
    <w:qFormat/>
    <w:rPr>
      <w:sz w:val="2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name w:val="Основной текст с отступом Знак"/>
    <w:qFormat/>
    <w:rPr>
      <w:rFonts w:ascii="Times New Roman" w:hAnsi="Times New Roman" w:cs="Times New Roman"/>
      <w:sz w:val="20"/>
      <w:lang w:val="en-US" w:eastAsia="ru-RU"/>
    </w:rPr>
  </w:style>
  <w:style w:type="character" w:styleId="ConsPlusNormal">
    <w:name w:val="ConsPlusNormal Знак"/>
    <w:link w:val="ConsPlusNormal1"/>
    <w:qFormat/>
    <w:rPr>
      <w:rFonts w:ascii="Arial" w:hAnsi="Arial"/>
      <w:sz w:val="22"/>
      <w:lang w:eastAsia="ru-RU"/>
    </w:rPr>
  </w:style>
  <w:style w:type="character" w:styleId="Emphasis">
    <w:name w:val="Emphasis"/>
    <w:qFormat/>
    <w:rPr>
      <w:rFonts w:cs="Times New Roman"/>
      <w:i/>
    </w:rPr>
  </w:style>
  <w:style w:type="character" w:styleId="Style13">
    <w:name w:val="Верхний колонтитул Знак"/>
    <w:qFormat/>
    <w:rPr>
      <w:rFonts w:ascii="Times New Roman" w:hAnsi="Times New Roman" w:eastAsia="Times New Roman"/>
      <w:sz w:val="20"/>
      <w:szCs w:val="20"/>
    </w:rPr>
  </w:style>
  <w:style w:type="character" w:styleId="Style14">
    <w:name w:val="Нижний колонтитул Знак"/>
    <w:qFormat/>
    <w:rPr>
      <w:rFonts w:ascii="Times New Roman" w:hAnsi="Times New Roman" w:eastAsia="Times New Roman"/>
      <w:sz w:val="20"/>
      <w:szCs w:val="20"/>
    </w:rPr>
  </w:style>
  <w:style w:type="character" w:styleId="Gd">
    <w:name w:val="gd"/>
    <w:basedOn w:val="DefaultParagraphFont"/>
    <w:qFormat/>
    <w:rPr/>
  </w:style>
  <w:style w:type="character" w:styleId="Annotationreference">
    <w:name w:val="annotation reference"/>
    <w:basedOn w:val="DefaultParagraphFont"/>
    <w:qFormat/>
    <w:rPr>
      <w:sz w:val="16"/>
      <w:szCs w:val="16"/>
    </w:rPr>
  </w:style>
  <w:style w:type="character" w:styleId="Style15">
    <w:name w:val="Текст примечания Знак"/>
    <w:basedOn w:val="DefaultParagraphFont"/>
    <w:qFormat/>
    <w:rPr>
      <w:rFonts w:ascii="Times New Roman" w:hAnsi="Times New Roman" w:eastAsia="Times New Roman"/>
    </w:rPr>
  </w:style>
  <w:style w:type="character" w:styleId="Style16">
    <w:name w:val="Тема примечания Знак"/>
    <w:basedOn w:val="Style15"/>
    <w:link w:val="Annotationsubject"/>
    <w:qFormat/>
    <w:rPr>
      <w:rFonts w:ascii="Times New Roman" w:hAnsi="Times New Roman" w:eastAsia="Times New Roman"/>
      <w:b/>
      <w:bCs/>
    </w:rPr>
  </w:style>
  <w:style w:type="character" w:styleId="Style17">
    <w:name w:val="Текст выноски Знак"/>
    <w:basedOn w:val="DefaultParagraphFont"/>
    <w:link w:val="BalloonText"/>
    <w:qFormat/>
    <w:rPr>
      <w:rFonts w:ascii="Tahoma" w:hAnsi="Tahoma" w:eastAsia="Times New Roman" w:cs="Tahoma"/>
      <w:sz w:val="16"/>
      <w:szCs w:val="16"/>
    </w:rPr>
  </w:style>
  <w:style w:type="character" w:styleId="Style18">
    <w:name w:val="Без интервала Знак"/>
    <w:link w:val="NoSpacing"/>
    <w:qFormat/>
    <w:rPr>
      <w:sz w:val="24"/>
      <w:szCs w:val="24"/>
    </w:rPr>
  </w:style>
  <w:style w:type="character" w:styleId="Hyperlink">
    <w:name w:val="Hyperlink"/>
    <w:basedOn w:val="DefaultParagraphFont"/>
    <w:rPr>
      <w:color w:themeColor="hyperlink" w:val="0000FF"/>
      <w:u w:val="single"/>
    </w:rPr>
  </w:style>
  <w:style w:type="character" w:styleId="Apple-converted-space">
    <w:name w:val="apple-converted-space"/>
    <w:basedOn w:val="DefaultParagraphFont"/>
    <w:qFormat/>
    <w:rPr/>
  </w:style>
  <w:style w:type="character" w:styleId="Strong">
    <w:name w:val="Strong"/>
    <w:qFormat/>
    <w:rPr>
      <w:b/>
      <w:bCs/>
    </w:rPr>
  </w:style>
  <w:style w:type="character" w:styleId="11">
    <w:name w:val="Без интервала1 Знак"/>
    <w:qFormat/>
    <w:rPr>
      <w:rFonts w:eastAsia="Times New Roman"/>
      <w:sz w:val="22"/>
      <w:szCs w:val="22"/>
      <w:lang w:val="ru-RU" w:eastAsia="en-U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ascii="PT Astra Serif" w:hAnsi="PT Astra Serif" w:cs="FreeSans"/>
    </w:rPr>
  </w:style>
  <w:style w:type="paragraph" w:styleId="Caption1">
    <w:name w:val="caption1"/>
    <w:basedOn w:val="Normal"/>
    <w:next w:val="Normal"/>
    <w:qFormat/>
    <w:pPr>
      <w:spacing w:lineRule="auto" w:line="276"/>
    </w:pPr>
    <w:rPr>
      <w:b/>
      <w:bCs/>
      <w:color w:themeColor="accent1" w:val="4F81BD"/>
      <w:sz w:val="18"/>
      <w:szCs w:val="18"/>
    </w:rPr>
  </w:style>
  <w:style w:type="paragraph" w:styleId="ListParagraph">
    <w:name w:val="List Paragraph"/>
    <w:basedOn w:val="Normal"/>
    <w:qFormat/>
    <w:pPr>
      <w:spacing w:before="0" w:after="0"/>
      <w:ind w:left="720"/>
      <w:contextualSpacing/>
    </w:pPr>
    <w:rPr/>
  </w:style>
  <w:style w:type="paragraph" w:styleId="Title">
    <w:name w:val="Title"/>
    <w:basedOn w:val="Normal"/>
    <w:next w:val="Normal"/>
    <w:link w:val="Style5"/>
    <w:qFormat/>
    <w:pPr>
      <w:spacing w:before="300" w:after="200"/>
      <w:contextualSpacing/>
    </w:pPr>
    <w:rPr>
      <w:sz w:val="48"/>
      <w:szCs w:val="48"/>
    </w:rPr>
  </w:style>
  <w:style w:type="paragraph" w:styleId="Subtitle">
    <w:name w:val="Subtitle"/>
    <w:basedOn w:val="Normal"/>
    <w:next w:val="Normal"/>
    <w:link w:val="Style6"/>
    <w:qFormat/>
    <w:pPr>
      <w:spacing w:before="200" w:after="200"/>
    </w:pPr>
    <w:rPr>
      <w:sz w:val="24"/>
      <w:szCs w:val="24"/>
    </w:rPr>
  </w:style>
  <w:style w:type="paragraph" w:styleId="Quote">
    <w:name w:val="Quote"/>
    <w:basedOn w:val="Normal"/>
    <w:next w:val="Normal"/>
    <w:link w:val="21"/>
    <w:qFormat/>
    <w:pPr>
      <w:ind w:left="720" w:right="720"/>
    </w:pPr>
    <w:rPr>
      <w:i/>
    </w:rPr>
  </w:style>
  <w:style w:type="paragraph" w:styleId="IntenseQuote">
    <w:name w:val="Intense Quote"/>
    <w:basedOn w:val="Normal"/>
    <w:next w:val="Normal"/>
    <w:link w:val="Style7"/>
    <w:qFormat/>
    <w:pPr>
      <w:pBdr>
        <w:top w:val="single" w:sz="4" w:space="5" w:color="FFFFFF"/>
        <w:left w:val="single" w:sz="4" w:space="10" w:color="FFFFFF"/>
        <w:bottom w:val="single" w:sz="4" w:space="5" w:color="FFFFFF"/>
        <w:right w:val="single" w:sz="4" w:space="10" w:color="FFFFFF"/>
      </w:pBdr>
      <w:shd w:fill="F2F2F2" w:val="clear"/>
      <w:ind w:left="720" w:right="720"/>
    </w:pPr>
    <w:rPr>
      <w:i/>
    </w:rPr>
  </w:style>
  <w:style w:type="paragraph" w:styleId="FootnoteText">
    <w:name w:val="Footnote Text"/>
    <w:basedOn w:val="Normal"/>
    <w:link w:val="Style8"/>
    <w:pPr>
      <w:spacing w:before="0" w:after="40"/>
    </w:pPr>
    <w:rPr>
      <w:sz w:val="18"/>
    </w:rPr>
  </w:style>
  <w:style w:type="paragraph" w:styleId="EndnoteText">
    <w:name w:val="Endnote Text"/>
    <w:basedOn w:val="Normal"/>
    <w:link w:val="Style10"/>
    <w:pPr/>
    <w:rPr/>
  </w:style>
  <w:style w:type="paragraph" w:styleId="TOC1">
    <w:name w:val="TOC 1"/>
    <w:basedOn w:val="Normal"/>
    <w:next w:val="Normal"/>
    <w:pPr>
      <w:spacing w:before="0" w:after="57"/>
    </w:pPr>
    <w:rPr/>
  </w:style>
  <w:style w:type="paragraph" w:styleId="TOC2">
    <w:name w:val="TOC 2"/>
    <w:basedOn w:val="Normal"/>
    <w:next w:val="Normal"/>
    <w:pPr>
      <w:spacing w:before="0" w:after="57"/>
      <w:ind w:left="283"/>
    </w:pPr>
    <w:rPr/>
  </w:style>
  <w:style w:type="paragraph" w:styleId="TOC3">
    <w:name w:val="TOC 3"/>
    <w:basedOn w:val="Normal"/>
    <w:next w:val="Normal"/>
    <w:pPr>
      <w:spacing w:before="0" w:after="57"/>
      <w:ind w:left="567"/>
    </w:pPr>
    <w:rPr/>
  </w:style>
  <w:style w:type="paragraph" w:styleId="TOC4">
    <w:name w:val="TOC 4"/>
    <w:basedOn w:val="Normal"/>
    <w:next w:val="Normal"/>
    <w:pPr>
      <w:spacing w:before="0" w:after="57"/>
      <w:ind w:left="850"/>
    </w:pPr>
    <w:rPr/>
  </w:style>
  <w:style w:type="paragraph" w:styleId="TOC5">
    <w:name w:val="TOC 5"/>
    <w:basedOn w:val="Normal"/>
    <w:next w:val="Normal"/>
    <w:pPr>
      <w:spacing w:before="0" w:after="57"/>
      <w:ind w:left="1134"/>
    </w:pPr>
    <w:rPr/>
  </w:style>
  <w:style w:type="paragraph" w:styleId="TOC6">
    <w:name w:val="TOC 6"/>
    <w:basedOn w:val="Normal"/>
    <w:next w:val="Normal"/>
    <w:pPr>
      <w:spacing w:before="0" w:after="57"/>
      <w:ind w:left="1417"/>
    </w:pPr>
    <w:rPr/>
  </w:style>
  <w:style w:type="paragraph" w:styleId="TOC7">
    <w:name w:val="TOC 7"/>
    <w:basedOn w:val="Normal"/>
    <w:next w:val="Normal"/>
    <w:pPr>
      <w:spacing w:before="0" w:after="57"/>
      <w:ind w:left="1701"/>
    </w:pPr>
    <w:rPr/>
  </w:style>
  <w:style w:type="paragraph" w:styleId="TOC8">
    <w:name w:val="TOC 8"/>
    <w:basedOn w:val="Normal"/>
    <w:next w:val="Normal"/>
    <w:pPr>
      <w:spacing w:before="0" w:after="57"/>
      <w:ind w:left="1984"/>
    </w:pPr>
    <w:rPr/>
  </w:style>
  <w:style w:type="paragraph" w:styleId="TOC9">
    <w:name w:val="TOC 9"/>
    <w:basedOn w:val="Normal"/>
    <w:next w:val="Normal"/>
    <w:pPr>
      <w:spacing w:before="0" w:after="57"/>
      <w:ind w:left="2268"/>
    </w:pPr>
    <w:rPr/>
  </w:style>
  <w:style w:type="paragraph" w:styleId="Indexheading1">
    <w:name w:val="index heading1"/>
    <w:basedOn w:val="Style19"/>
    <w:qFormat/>
    <w:pPr/>
    <w:rPr/>
  </w:style>
  <w:style w:type="paragraph" w:styleId="IndexHeading">
    <w:name w:val="Index Heading"/>
    <w:basedOn w:val="Style19"/>
    <w:pPr/>
    <w:rPr/>
  </w:style>
  <w:style w:type="paragraph" w:styleId="TOCHeading">
    <w:name w:val="TOC Heading"/>
    <w:qFormat/>
    <w:pPr>
      <w:widowControl/>
      <w:suppressAutoHyphens w:val="true"/>
      <w:kinsoku w:val="true"/>
      <w:overflowPunct w:val="true"/>
      <w:autoSpaceDE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pPr/>
    <w:rPr/>
  </w:style>
  <w:style w:type="paragraph" w:styleId="BodyTextIndent">
    <w:name w:val="Body Text Indent"/>
    <w:basedOn w:val="Normal"/>
    <w:link w:val="Style12"/>
    <w:pPr>
      <w:ind w:firstLine="709"/>
      <w:jc w:val="both"/>
    </w:pPr>
    <w:rPr>
      <w:rFonts w:eastAsia="Calibri"/>
      <w:lang w:val="en-US"/>
    </w:rPr>
  </w:style>
  <w:style w:type="paragraph" w:styleId="ConsPlusNormal1">
    <w:name w:val="ConsPlusNormal"/>
    <w:link w:val="ConsPlusNormal"/>
    <w:qFormat/>
    <w:pPr>
      <w:widowControl w:val="false"/>
      <w:suppressAutoHyphens w:val="true"/>
      <w:kinsoku w:val="true"/>
      <w:overflowPunct w:val="true"/>
      <w:autoSpaceDE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name w:val="1CStyle12"/>
    <w:qFormat/>
    <w:pPr>
      <w:widowControl/>
      <w:suppressAutoHyphens w:val="true"/>
      <w:kinsoku w:val="true"/>
      <w:overflowPunct w:val="true"/>
      <w:autoSpaceDE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1">
    <w:name w:val="Колонтитулы"/>
    <w:basedOn w:val="Normal"/>
    <w:qFormat/>
    <w:pPr/>
    <w:rPr/>
  </w:style>
  <w:style w:type="paragraph" w:styleId="Style22">
    <w:name w:val="Колонтитул"/>
    <w:basedOn w:val="Normal"/>
    <w:qFormat/>
    <w:pPr/>
    <w:rPr/>
  </w:style>
  <w:style w:type="paragraph" w:styleId="Header">
    <w:name w:val="Header"/>
    <w:basedOn w:val="Normal"/>
    <w:link w:val="Style13"/>
    <w:pPr>
      <w:tabs>
        <w:tab w:val="clear" w:pos="708"/>
        <w:tab w:val="center" w:pos="4677" w:leader="none"/>
        <w:tab w:val="right" w:pos="9355" w:leader="none"/>
      </w:tabs>
    </w:pPr>
    <w:rPr/>
  </w:style>
  <w:style w:type="paragraph" w:styleId="Footer">
    <w:name w:val="Footer"/>
    <w:basedOn w:val="Normal"/>
    <w:link w:val="Style14"/>
    <w:pPr>
      <w:tabs>
        <w:tab w:val="clear" w:pos="708"/>
        <w:tab w:val="center" w:pos="4677" w:leader="none"/>
        <w:tab w:val="right" w:pos="9355" w:leader="none"/>
      </w:tabs>
    </w:pPr>
    <w:rPr/>
  </w:style>
  <w:style w:type="paragraph" w:styleId="Annotationtext">
    <w:name w:val="annotation text"/>
    <w:basedOn w:val="Normal"/>
    <w:link w:val="Style15"/>
    <w:qFormat/>
    <w:pPr/>
    <w:rPr/>
  </w:style>
  <w:style w:type="paragraph" w:styleId="Annotationsubject">
    <w:name w:val="annotation subject"/>
    <w:basedOn w:val="Annotationtext"/>
    <w:next w:val="Annotationtext"/>
    <w:link w:val="Style16"/>
    <w:qFormat/>
    <w:pPr/>
    <w:rPr>
      <w:b/>
      <w:bCs/>
    </w:rPr>
  </w:style>
  <w:style w:type="paragraph" w:styleId="BalloonText">
    <w:name w:val="Balloon Text"/>
    <w:basedOn w:val="Normal"/>
    <w:link w:val="Style17"/>
    <w:qFormat/>
    <w:pPr/>
    <w:rPr>
      <w:rFonts w:ascii="Tahoma" w:hAnsi="Tahoma" w:cs="Tahoma"/>
      <w:sz w:val="16"/>
      <w:szCs w:val="16"/>
    </w:rPr>
  </w:style>
  <w:style w:type="paragraph" w:styleId="NoSpacing">
    <w:name w:val="No Spacing"/>
    <w:link w:val="Style18"/>
    <w:qFormat/>
    <w:pPr>
      <w:widowControl/>
      <w:suppressAutoHyphens w:val="true"/>
      <w:kinsoku w:val="true"/>
      <w:overflowPunct w:val="true"/>
      <w:autoSpaceDE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2">
    <w:name w:val="Без интервала1"/>
    <w:qFormat/>
    <w:pPr>
      <w:widowControl/>
      <w:suppressAutoHyphens w:val="true"/>
      <w:kinsoku w:val="true"/>
      <w:overflowPunct w:val="true"/>
      <w:autoSpaceDE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врезки"/>
    <w:basedOn w:val="Normal"/>
    <w:qFormat/>
    <w:pPr/>
    <w:rPr/>
  </w:style>
  <w:style w:type="paragraph" w:styleId="Western">
    <w:name w:val="western"/>
    <w:basedOn w:val="Normal"/>
    <w:qFormat/>
    <w:pPr>
      <w:suppressAutoHyphens w:val="false"/>
      <w:spacing w:before="280" w:after="142"/>
    </w:pPr>
    <w:rPr>
      <w:rFonts w:ascii="Times New Roman" w:hAnsi="Times New Roman" w:cs="Times New Roman"/>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paragraph" w:styleId="NormalTable">
    <w:name w:val="Normal Table"/>
    <w:qFormat/>
    <w:pPr>
      <w:widowControl/>
      <w:kinsoku w:val="true"/>
      <w:overflowPunct w:val="true"/>
      <w:autoSpaceDE w:val="true"/>
      <w:bidi w:val="0"/>
      <w:jc w:val="left"/>
      <w:textAlignment w:val="auto"/>
    </w:pPr>
    <w:rPr>
      <w:rFonts w:ascii="Times New Roman" w:hAnsi="Times New Roman" w:eastAsia="Source Han Sans CN Regular" w:cs="Times New Roman"/>
      <w:color w:val="auto"/>
      <w:kern w:val="0"/>
      <w:sz w:val="20"/>
      <w:szCs w:val="20"/>
      <w:lang w:val="ru-RU" w:eastAsia="ru-RU" w:bidi="ar-SA"/>
    </w:rPr>
  </w:style>
  <w:style w:type="paragraph" w:styleId="NormalWeb">
    <w:name w:val="Normal (Web)"/>
    <w:basedOn w:val="Normal"/>
    <w:qFormat/>
    <w:pPr>
      <w:widowControl/>
      <w:spacing w:lineRule="auto" w:line="276" w:before="100" w:after="142"/>
      <w:jc w:val="left"/>
      <w:textAlignment w:val="auto"/>
    </w:pPr>
    <w:rPr>
      <w:rFonts w:cs="Times New Roman"/>
      <w:sz w:val="24"/>
      <w:szCs w:val="24"/>
      <w:lang w:val="ru-RU" w:eastAsia="ru-RU" w:bidi="ar-SA"/>
    </w:rPr>
  </w:style>
  <w:style w:type="numbering" w:styleId="Style26">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62</TotalTime>
  <Application>LibreOffice/24.2.0.3$Windows_X86_64 LibreOffice_project/da48488a73ddd66ea24cf16bbc4f7b9c08e9bea1</Application>
  <AppVersion>15.0000</AppVersion>
  <Pages>6</Pages>
  <Words>3046</Words>
  <Characters>21971</Characters>
  <CharactersWithSpaces>25677</CharactersWithSpaces>
  <Paragraphs>175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2026-10-27T09:14:11Z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