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E000000">
      <w:pPr>
        <w:ind w:firstLine="600" w:left="0"/>
        <w:jc w:val="center"/>
        <w:rPr>
          <w:b w:val="1"/>
        </w:rPr>
      </w:pPr>
      <w:bookmarkStart w:id="1" w:name="_MON_1853910749"/>
      <w:bookmarkEnd w:id="1"/>
      <w:r>
        <w:rPr>
          <w:b w:val="1"/>
        </w:rPr>
        <w:t>КОНТРАКТ</w:t>
      </w:r>
      <w:r>
        <w:rPr>
          <w:b w:val="1"/>
        </w:rPr>
        <w:t xml:space="preserve"> № РГМУ33578</w:t>
      </w:r>
    </w:p>
    <w:p w14:paraId="0F000000">
      <w:pPr>
        <w:ind/>
        <w:jc w:val="center"/>
        <w:rPr>
          <w:b w:val="1"/>
        </w:rPr>
      </w:pPr>
      <w:r>
        <w:rPr>
          <w:b w:val="1"/>
        </w:rPr>
        <w:t xml:space="preserve">      на поставку расходных материалов </w:t>
      </w:r>
    </w:p>
    <w:p w14:paraId="10000000">
      <w:pPr>
        <w:ind/>
        <w:jc w:val="center"/>
        <w:rPr>
          <w:b w:val="1"/>
        </w:rPr>
      </w:pPr>
      <w:r>
        <w:rPr>
          <w:b w:val="1"/>
          <w:color w:val="000000"/>
        </w:rPr>
        <w:t xml:space="preserve">    ИКЗ</w:t>
      </w:r>
      <w:r>
        <w:rPr>
          <w:b w:val="1"/>
          <w:color w:val="000000"/>
        </w:rPr>
        <w:t>:</w:t>
      </w:r>
      <w:r>
        <w:rPr>
          <w:b w:val="1"/>
        </w:rPr>
        <w:t>261616303285061630100100140000000244</w:t>
      </w:r>
    </w:p>
    <w:p w14:paraId="11000000">
      <w:pPr>
        <w:ind/>
        <w:jc w:val="center"/>
      </w:pPr>
      <w:r>
        <w:rPr>
          <w:b w:val="1"/>
        </w:rPr>
        <w:t xml:space="preserve">                                                                                             </w:t>
      </w:r>
    </w:p>
    <w:p w14:paraId="12000000">
      <w:r>
        <w:t xml:space="preserve">г. Ростов-на-Дону                                                                            </w:t>
      </w:r>
      <w:r>
        <w:t xml:space="preserve">        </w:t>
      </w:r>
      <w:r>
        <w:t xml:space="preserve">   «</w:t>
      </w:r>
      <w:r>
        <w:t>__</w:t>
      </w:r>
      <w:r>
        <w:t>_</w:t>
      </w:r>
      <w:r>
        <w:t>_» __________ 2026</w:t>
      </w:r>
      <w:r>
        <w:t xml:space="preserve"> г.</w:t>
      </w:r>
    </w:p>
    <w:p w14:paraId="13000000">
      <w:pPr>
        <w:rPr>
          <w:sz w:val="22"/>
        </w:rPr>
      </w:pPr>
    </w:p>
    <w:p w14:paraId="14000000">
      <w:pPr>
        <w:pStyle w:val="Style_3"/>
        <w:ind w:firstLine="840" w:left="0"/>
        <w:jc w:val="both"/>
        <w:rPr>
          <w:color w:val="000000"/>
        </w:rPr>
      </w:pPr>
      <w:r>
        <w:rPr>
          <w:b w:val="1"/>
        </w:rPr>
        <w:t>Федеральное государственное бюджетное образовательное учреждение высшего образования «Ростовский государственный медицинский университет» Министерства здравоохранения Российской Федерации</w:t>
      </w:r>
      <w:r>
        <w:t xml:space="preserve">, именуемый в дальнейшем «Заказчик»,                                      в лице </w:t>
      </w:r>
      <w:r>
        <w:t>и.о</w:t>
      </w:r>
      <w:r>
        <w:t xml:space="preserve">. ректора Шишова Михаила Алексеевича, действующего на основании устава, с одной стороны и </w:t>
      </w:r>
      <w:r>
        <w:rPr>
          <w:color w:val="000000"/>
        </w:rPr>
        <w:t>__________________________________________________</w:t>
      </w:r>
      <w:r>
        <w:rPr>
          <w:color w:val="000000"/>
        </w:rPr>
        <w:t xml:space="preserve">______________________   </w:t>
      </w:r>
      <w:r>
        <w:rPr>
          <w:color w:val="000000"/>
        </w:rPr>
        <w:t>с другой стороны</w:t>
      </w:r>
      <w:r>
        <w:rPr>
          <w:color w:val="000000"/>
        </w:rPr>
        <w:t>, зде</w:t>
      </w:r>
      <w:r>
        <w:rPr>
          <w:color w:val="000000"/>
        </w:rPr>
        <w:t>сь и далее именуемые «Стороны»</w:t>
      </w:r>
      <w:r>
        <w:rPr>
          <w:color w:val="000000"/>
        </w:rPr>
        <w:t>, в соответствии</w:t>
      </w:r>
      <w:r>
        <w:rPr>
          <w:color w:val="000000"/>
        </w:rPr>
        <w:t xml:space="preserve"> с </w:t>
      </w:r>
      <w:r>
        <w:rPr/>
        <w:t>п</w:t>
      </w:r>
      <w:r>
        <w:rPr/>
        <w:t>. 5</w:t>
      </w:r>
      <w:r>
        <w:rPr/>
        <w:t xml:space="preserve"> ч</w:t>
      </w:r>
      <w:r>
        <w:rPr/>
        <w:t>.</w:t>
      </w:r>
      <w:r>
        <w:t xml:space="preserve"> 1 ст. 93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</w:t>
      </w:r>
      <w:r>
        <w:rPr>
          <w:color w:val="000000"/>
        </w:rPr>
        <w:t>(далее - Федеральный закон о контрактной системе), заключили настоящий Контракт (далее -  Контракт) о нижеследующем:</w:t>
      </w:r>
    </w:p>
    <w:p w14:paraId="15000000">
      <w:pPr>
        <w:numPr>
          <w:ilvl w:val="0"/>
          <w:numId w:val="1"/>
        </w:numPr>
        <w:ind/>
        <w:jc w:val="center"/>
        <w:rPr>
          <w:b w:val="1"/>
          <w:color w:val="000000"/>
        </w:rPr>
      </w:pPr>
      <w:r>
        <w:rPr>
          <w:b w:val="1"/>
          <w:color w:val="000000"/>
        </w:rPr>
        <w:t xml:space="preserve">Предмет </w:t>
      </w:r>
      <w:r>
        <w:rPr>
          <w:b w:val="1"/>
          <w:color w:val="000000"/>
        </w:rPr>
        <w:t>Контракт</w:t>
      </w:r>
      <w:r>
        <w:rPr>
          <w:b w:val="1"/>
          <w:color w:val="000000"/>
        </w:rPr>
        <w:t>а</w:t>
      </w:r>
    </w:p>
    <w:p w14:paraId="16000000">
      <w:pPr>
        <w:rPr>
          <w:rFonts w:ascii="Tahoma" w:hAnsi="Tahoma"/>
          <w:color w:val="000000"/>
          <w:sz w:val="21"/>
        </w:rPr>
      </w:pPr>
      <w:r>
        <w:rPr>
          <w:color w:val="000000"/>
        </w:rPr>
        <w:t xml:space="preserve">       1.1. В соответствии с </w:t>
      </w:r>
      <w:r>
        <w:rPr>
          <w:color w:val="000000"/>
        </w:rPr>
        <w:t>Контрактом</w:t>
      </w:r>
      <w:r>
        <w:rPr>
          <w:color w:val="000000"/>
        </w:rPr>
        <w:t xml:space="preserve"> </w:t>
      </w:r>
      <w:r>
        <w:rPr>
          <w:color w:val="000000"/>
        </w:rPr>
        <w:t xml:space="preserve">Поставщик обязуется в порядке и в сроки, предусмотренные </w:t>
      </w:r>
      <w:r>
        <w:t>Контракт</w:t>
      </w:r>
      <w:r>
        <w:t>ом</w:t>
      </w:r>
      <w:r>
        <w:rPr>
          <w:color w:val="000000"/>
        </w:rPr>
        <w:t xml:space="preserve">, осуществить поставку </w:t>
      </w:r>
      <w:r>
        <w:rPr>
          <w:i w:val="1"/>
          <w:color w:val="000000"/>
        </w:rPr>
        <w:t>расходного материала</w:t>
      </w:r>
      <w:r>
        <w:rPr>
          <w:i w:val="1"/>
          <w:color w:val="000000"/>
        </w:rPr>
        <w:t xml:space="preserve"> </w:t>
      </w:r>
      <w:r>
        <w:rPr>
          <w:color w:val="000000"/>
        </w:rPr>
        <w:t>(далее - Товар) в соответствии со Спецификацией (</w:t>
      </w:r>
      <w:r>
        <w:rPr>
          <w:rStyle w:val="Style_4_ch"/>
          <w:color w:val="000000"/>
        </w:rPr>
        <w:fldChar w:fldCharType="begin"/>
      </w:r>
      <w:r>
        <w:rPr>
          <w:rStyle w:val="Style_4_ch"/>
          <w:color w:val="000000"/>
        </w:rPr>
        <w:instrText>HYPERLINK \l "sub_10000"</w:instrText>
      </w:r>
      <w:r>
        <w:rPr>
          <w:rStyle w:val="Style_4_ch"/>
          <w:color w:val="000000"/>
        </w:rPr>
        <w:fldChar w:fldCharType="separate"/>
      </w:r>
      <w:r>
        <w:rPr>
          <w:rStyle w:val="Style_4_ch"/>
          <w:color w:val="000000"/>
        </w:rPr>
        <w:t>приложение N 1</w:t>
      </w:r>
      <w:r>
        <w:rPr>
          <w:rStyle w:val="Style_4_ch"/>
          <w:color w:val="000000"/>
        </w:rPr>
        <w:fldChar w:fldCharType="end"/>
      </w:r>
      <w:r>
        <w:rPr>
          <w:color w:val="000000"/>
        </w:rPr>
        <w:t xml:space="preserve"> к </w:t>
      </w:r>
      <w:r>
        <w:t>Контракту</w:t>
      </w:r>
      <w:r>
        <w:rPr>
          <w:color w:val="000000"/>
        </w:rPr>
        <w:t>)</w:t>
      </w:r>
      <w:r>
        <w:t xml:space="preserve"> </w:t>
      </w:r>
      <w:r>
        <w:t>и оказать услуги по доставке, разгрузке, подъему на этаж Товара (далее – Услуги)</w:t>
      </w:r>
      <w:r>
        <w:t xml:space="preserve"> </w:t>
      </w:r>
      <w:r>
        <w:rPr>
          <w:color w:val="000000"/>
        </w:rPr>
        <w:t>, а Заказчик обязуется в порядке и в сроки, предусмотренные</w:t>
      </w:r>
      <w:r>
        <w:t xml:space="preserve"> </w:t>
      </w:r>
      <w:r>
        <w:t>Контракт</w:t>
      </w:r>
      <w:r>
        <w:t>ом</w:t>
      </w:r>
      <w:r>
        <w:rPr>
          <w:color w:val="000000"/>
        </w:rPr>
        <w:t>, принять и оплатить поставленный Товар.</w:t>
      </w:r>
    </w:p>
    <w:p w14:paraId="17000000">
      <w:pPr>
        <w:ind w:firstLine="360" w:left="0"/>
        <w:rPr>
          <w:color w:val="000000"/>
        </w:rPr>
      </w:pPr>
      <w:r>
        <w:rPr>
          <w:color w:val="000000"/>
        </w:rPr>
        <w:t xml:space="preserve"> 1.2. Номенклатура Товара, технические характеристики и его количество определяются Спецификацией (</w:t>
      </w:r>
      <w:r>
        <w:rPr>
          <w:rStyle w:val="Style_4_ch"/>
          <w:color w:val="000000"/>
        </w:rPr>
        <w:fldChar w:fldCharType="begin"/>
      </w:r>
      <w:r>
        <w:rPr>
          <w:rStyle w:val="Style_4_ch"/>
          <w:color w:val="000000"/>
        </w:rPr>
        <w:instrText>HYPERLINK \l "sub_10000"</w:instrText>
      </w:r>
      <w:r>
        <w:rPr>
          <w:rStyle w:val="Style_4_ch"/>
          <w:color w:val="000000"/>
        </w:rPr>
        <w:fldChar w:fldCharType="separate"/>
      </w:r>
      <w:r>
        <w:rPr>
          <w:rStyle w:val="Style_4_ch"/>
          <w:color w:val="000000"/>
        </w:rPr>
        <w:t>приложение N 1</w:t>
      </w:r>
      <w:r>
        <w:rPr>
          <w:rStyle w:val="Style_4_ch"/>
          <w:color w:val="000000"/>
        </w:rPr>
        <w:fldChar w:fldCharType="end"/>
      </w:r>
      <w:r>
        <w:rPr>
          <w:color w:val="000000"/>
        </w:rPr>
        <w:t xml:space="preserve"> к </w:t>
      </w:r>
      <w:r>
        <w:rPr>
          <w:color w:val="000000"/>
        </w:rPr>
        <w:t>Контракту</w:t>
      </w:r>
      <w:r>
        <w:rPr>
          <w:color w:val="000000"/>
        </w:rPr>
        <w:t>).</w:t>
      </w:r>
    </w:p>
    <w:p w14:paraId="18000000">
      <w:pPr>
        <w:ind w:firstLine="426" w:left="0"/>
      </w:pPr>
      <w:bookmarkStart w:id="2" w:name="sub_1102"/>
      <w:bookmarkEnd w:id="2"/>
      <w:bookmarkStart w:id="3" w:name="sub_1103"/>
      <w:r>
        <w:rPr>
          <w:color w:val="000000"/>
        </w:rPr>
        <w:t xml:space="preserve">1.3. </w:t>
      </w:r>
      <w:bookmarkEnd w:id="3"/>
      <w:r>
        <w:t xml:space="preserve">Поставка Товара осуществляется Поставщиком с разгрузкой с транспортного средства по адресу: </w:t>
      </w:r>
      <w:r>
        <w:t>ул. Мечникова 43</w:t>
      </w:r>
      <w:r>
        <w:t>, стр</w:t>
      </w:r>
      <w:r>
        <w:t xml:space="preserve">оение </w:t>
      </w:r>
      <w:r>
        <w:t>1</w:t>
      </w:r>
      <w:r>
        <w:t xml:space="preserve"> (помещение аптеки № </w:t>
      </w:r>
      <w:r>
        <w:t>2</w:t>
      </w:r>
      <w:r>
        <w:t>).</w:t>
      </w:r>
    </w:p>
    <w:p w14:paraId="19000000">
      <w:pPr>
        <w:ind w:firstLine="426" w:left="0"/>
      </w:pPr>
      <w:r>
        <w:t xml:space="preserve">Доставка осуществляется </w:t>
      </w:r>
      <w:r>
        <w:t xml:space="preserve">силами и за счет Поставщика </w:t>
      </w:r>
      <w:r>
        <w:t>по рабочим дням с 8.00 до 12.00.</w:t>
      </w:r>
    </w:p>
    <w:p w14:paraId="1A000000">
      <w:pPr>
        <w:ind w:firstLine="0" w:left="66"/>
        <w:jc w:val="center"/>
      </w:pPr>
      <w:bookmarkStart w:id="4" w:name="sub_1200"/>
      <w:r>
        <w:rPr>
          <w:b w:val="1"/>
        </w:rPr>
        <w:t xml:space="preserve">2. Цена </w:t>
      </w:r>
      <w:bookmarkEnd w:id="4"/>
      <w:r>
        <w:rPr>
          <w:b w:val="1"/>
          <w:color w:val="000000"/>
        </w:rPr>
        <w:t>Контракта</w:t>
      </w:r>
    </w:p>
    <w:p w14:paraId="1B000000">
      <w:pPr>
        <w:ind w:firstLine="426" w:left="0"/>
      </w:pPr>
      <w:r>
        <w:t xml:space="preserve">2.1. Цена </w:t>
      </w:r>
      <w:r>
        <w:t>Контракт</w:t>
      </w:r>
      <w:r>
        <w:t>а и валюта платежа устанавливаются в российских рублях.</w:t>
      </w:r>
    </w:p>
    <w:p w14:paraId="1C000000">
      <w:pPr>
        <w:pStyle w:val="Style_5"/>
        <w:spacing w:after="0"/>
        <w:ind w:firstLine="426" w:left="0" w:right="166"/>
        <w:rPr>
          <w:b w:val="1"/>
          <w:color w:val="000000"/>
        </w:rPr>
      </w:pPr>
      <w:r>
        <w:t xml:space="preserve">2.2. Цена </w:t>
      </w:r>
      <w:r>
        <w:t>Контракт</w:t>
      </w:r>
      <w:r>
        <w:t>а</w:t>
      </w:r>
      <w:r>
        <w:t xml:space="preserve"> составляет</w:t>
      </w:r>
      <w:r>
        <w:t>__________________________________________________</w:t>
      </w:r>
      <w:r>
        <w:rPr>
          <w:b w:val="1"/>
          <w:color w:val="000000"/>
        </w:rPr>
        <w:t>.</w:t>
      </w:r>
    </w:p>
    <w:p w14:paraId="1D000000">
      <w:pPr>
        <w:pStyle w:val="Style_5"/>
        <w:spacing w:after="0"/>
        <w:ind w:firstLine="426" w:left="0" w:right="166"/>
      </w:pPr>
      <w:r>
        <w:t xml:space="preserve">2.3. Цена </w:t>
      </w:r>
      <w:r>
        <w:t>Контракт</w:t>
      </w:r>
      <w:r>
        <w:t>а</w:t>
      </w:r>
      <w:r>
        <w:t xml:space="preserve"> включает в себя стоимость Товара, а также все расходы на страхование, уплату налогов, пошлины, сборы и другие обязательные платежи, которые Поставщик должен выплатить в связи с выполнением обязательств по </w:t>
      </w:r>
      <w:r>
        <w:t>Контракт</w:t>
      </w:r>
      <w:r>
        <w:t>у</w:t>
      </w:r>
      <w:r>
        <w:t xml:space="preserve"> в соответствии с законодательством Российской Федерации.</w:t>
      </w:r>
    </w:p>
    <w:p w14:paraId="1E000000">
      <w:pPr>
        <w:ind w:firstLine="426" w:left="0"/>
        <w:rPr>
          <w:color w:val="000000"/>
        </w:rPr>
      </w:pPr>
      <w:r>
        <w:t xml:space="preserve">2.4 Цена </w:t>
      </w:r>
      <w:r>
        <w:t>Контракт</w:t>
      </w:r>
      <w:r>
        <w:t xml:space="preserve">а </w:t>
      </w:r>
      <w:r>
        <w:t>является твердой и определяется на весь срок его исполнения</w:t>
      </w:r>
      <w:r>
        <w:t>.</w:t>
      </w:r>
    </w:p>
    <w:p w14:paraId="1F000000">
      <w:pPr>
        <w:keepNext w:val="1"/>
        <w:spacing w:before="240"/>
        <w:ind w:firstLine="0" w:left="432"/>
        <w:jc w:val="center"/>
        <w:outlineLvl w:val="0"/>
        <w:rPr>
          <w:b w:val="1"/>
        </w:rPr>
      </w:pPr>
      <w:r>
        <w:rPr>
          <w:b w:val="1"/>
        </w:rPr>
        <w:t>3.Взаимодействие Сторон</w:t>
      </w:r>
    </w:p>
    <w:p w14:paraId="20000000">
      <w:pPr>
        <w:spacing w:after="0"/>
        <w:ind/>
      </w:pPr>
      <w:bookmarkStart w:id="5" w:name="sub_1300"/>
      <w:bookmarkEnd w:id="5"/>
      <w:r>
        <w:t>3.1. Поставщик обязан:</w:t>
      </w:r>
    </w:p>
    <w:p w14:paraId="21000000">
      <w:pPr>
        <w:spacing w:after="0"/>
        <w:ind/>
      </w:pPr>
      <w:bookmarkStart w:id="6" w:name="sub_1301"/>
      <w:bookmarkEnd w:id="6"/>
      <w:r>
        <w:t xml:space="preserve">3.1.1. поставить Товар в строгом соответствии с условиями </w:t>
      </w:r>
      <w:r>
        <w:t>Контракт</w:t>
      </w:r>
      <w:r>
        <w:t xml:space="preserve">а </w:t>
      </w:r>
      <w:r>
        <w:t>в полном объеме, надлежащего качества и в установленные сроки;</w:t>
      </w:r>
    </w:p>
    <w:p w14:paraId="22000000">
      <w:pPr>
        <w:spacing w:after="0"/>
        <w:ind/>
      </w:pPr>
      <w:bookmarkStart w:id="7" w:name="sub_1311"/>
      <w:bookmarkEnd w:id="7"/>
      <w:r>
        <w:t xml:space="preserve">3.1.2. оказать услуги в строгом соответствии с условиями </w:t>
      </w:r>
      <w:r>
        <w:t>Контракт</w:t>
      </w:r>
      <w:r>
        <w:t>а</w:t>
      </w:r>
      <w:r>
        <w:t xml:space="preserve"> в полном объеме, надлежащего качества и в установленные сроки (услуги по доставке, разгрузке, подъему на этаж Товара);</w:t>
      </w:r>
    </w:p>
    <w:p w14:paraId="23000000">
      <w:pPr>
        <w:spacing w:after="0"/>
        <w:ind/>
      </w:pPr>
      <w:bookmarkStart w:id="8" w:name="sub_1312"/>
      <w:bookmarkEnd w:id="8"/>
      <w:r>
        <w:t>3.1.3. обеспечить соответствие поставляемого Товара и оказываемых Услуг требованиям качества, безопасности в соответствия с законодательством Российской Федерации;</w:t>
      </w:r>
    </w:p>
    <w:p w14:paraId="24000000">
      <w:pPr>
        <w:spacing w:after="0"/>
        <w:ind/>
      </w:pPr>
      <w:bookmarkStart w:id="9" w:name="sub_1313"/>
      <w:bookmarkEnd w:id="9"/>
      <w:r>
        <w:t xml:space="preserve">3.1.4. представлять по требованию Заказчика информацию и документы, относящиеся к предмету </w:t>
      </w:r>
      <w:r>
        <w:t>Контракт</w:t>
      </w:r>
      <w:r>
        <w:t>а</w:t>
      </w:r>
      <w:r>
        <w:t xml:space="preserve"> для проверки исполнения Поставщиком обязательств по </w:t>
      </w:r>
      <w:r>
        <w:t>Контракт</w:t>
      </w:r>
      <w:r>
        <w:t>у</w:t>
      </w:r>
      <w:r>
        <w:t>;</w:t>
      </w:r>
    </w:p>
    <w:p w14:paraId="25000000">
      <w:pPr>
        <w:spacing w:after="0"/>
        <w:ind/>
      </w:pPr>
      <w:bookmarkStart w:id="10" w:name="sub_1314"/>
      <w:bookmarkEnd w:id="10"/>
      <w:bookmarkStart w:id="11" w:name="sub_1315"/>
      <w:r>
        <w:t xml:space="preserve">3.1.5. </w:t>
      </w:r>
      <w:bookmarkStart w:id="12" w:name="sub_1316"/>
      <w:bookmarkEnd w:id="11"/>
      <w:r>
        <w:t xml:space="preserve">незамедлительно информировать Заказчика обо всех обстоятельствах, препятствующих исполнению </w:t>
      </w:r>
      <w:r>
        <w:t>Контракт</w:t>
      </w:r>
      <w:r>
        <w:t>а</w:t>
      </w:r>
      <w:r>
        <w:t>;</w:t>
      </w:r>
    </w:p>
    <w:p w14:paraId="26000000">
      <w:pPr>
        <w:spacing w:after="0"/>
        <w:ind/>
      </w:pPr>
      <w:r>
        <w:t>3.1.6. своими силами и за свой счет устранять допущенные недостатки при поставке Товара и оказании Услуг;</w:t>
      </w:r>
      <w:bookmarkEnd w:id="12"/>
    </w:p>
    <w:p w14:paraId="27000000">
      <w:pPr>
        <w:spacing w:after="0"/>
        <w:ind/>
      </w:pPr>
      <w:r>
        <w:t xml:space="preserve">3.1.7. выполнять свои обязательства, предусмотренные положениями </w:t>
      </w:r>
      <w:r>
        <w:t>Контракт</w:t>
      </w:r>
      <w:r>
        <w:t>а</w:t>
      </w:r>
      <w:r>
        <w:t>;</w:t>
      </w:r>
    </w:p>
    <w:p w14:paraId="28000000">
      <w:pPr>
        <w:spacing w:after="0"/>
        <w:ind/>
        <w:rPr>
          <w:color w:val="000000"/>
        </w:rPr>
      </w:pPr>
      <w:r>
        <w:t xml:space="preserve">3.1.8. обеспечивать гарантии на Товар в </w:t>
      </w:r>
      <w:r>
        <w:rPr>
          <w:color w:val="000000"/>
        </w:rPr>
        <w:t xml:space="preserve">соответствии с </w:t>
      </w:r>
      <w:r>
        <w:rPr>
          <w:color w:val="000000"/>
        </w:rPr>
        <w:fldChar w:fldCharType="begin"/>
      </w:r>
      <w:r>
        <w:rPr>
          <w:color w:val="000000"/>
        </w:rPr>
        <w:instrText>HYPERLINK \l "sub_1800"</w:instrText>
      </w:r>
      <w:r>
        <w:rPr>
          <w:color w:val="000000"/>
        </w:rPr>
        <w:fldChar w:fldCharType="separate"/>
      </w:r>
      <w:r>
        <w:rPr>
          <w:color w:val="000000"/>
        </w:rPr>
        <w:t>разделом 7</w:t>
      </w:r>
      <w:r>
        <w:rPr>
          <w:color w:val="000000"/>
        </w:rPr>
        <w:fldChar w:fldCharType="end"/>
      </w:r>
      <w:r>
        <w:rPr>
          <w:color w:val="000000"/>
        </w:rPr>
        <w:t xml:space="preserve"> </w:t>
      </w:r>
      <w:r>
        <w:t>Контракт</w:t>
      </w:r>
      <w:r>
        <w:t>а</w:t>
      </w:r>
      <w:r>
        <w:rPr>
          <w:color w:val="000000"/>
        </w:rPr>
        <w:t>.</w:t>
      </w:r>
    </w:p>
    <w:p w14:paraId="29000000">
      <w:pPr>
        <w:spacing w:after="0"/>
        <w:ind/>
        <w:rPr>
          <w:color w:val="000000"/>
        </w:rPr>
      </w:pPr>
      <w:bookmarkStart w:id="13" w:name="sub_1317"/>
      <w:bookmarkEnd w:id="13"/>
      <w:bookmarkStart w:id="14" w:name="sub_1318"/>
      <w:bookmarkEnd w:id="14"/>
      <w:r>
        <w:rPr>
          <w:color w:val="000000"/>
        </w:rPr>
        <w:t>3.2. Поставщик вправе:</w:t>
      </w:r>
    </w:p>
    <w:p w14:paraId="2A000000">
      <w:pPr>
        <w:spacing w:after="0"/>
        <w:ind/>
      </w:pPr>
      <w:bookmarkStart w:id="15" w:name="sub_1302"/>
      <w:bookmarkEnd w:id="15"/>
      <w:r>
        <w:rPr>
          <w:color w:val="000000"/>
        </w:rPr>
        <w:t>3.2.1. требовать от Заказчика предоставления имеющейся у него информации, необходимой</w:t>
      </w:r>
      <w:r>
        <w:t xml:space="preserve"> для исполнения обязательств по </w:t>
      </w:r>
      <w:r>
        <w:t>Контракт</w:t>
      </w:r>
      <w:r>
        <w:t>у</w:t>
      </w:r>
      <w:r>
        <w:t>;</w:t>
      </w:r>
    </w:p>
    <w:p w14:paraId="2B000000">
      <w:pPr>
        <w:spacing w:after="0"/>
        <w:ind/>
      </w:pPr>
      <w:bookmarkStart w:id="16" w:name="sub_1321"/>
      <w:bookmarkEnd w:id="16"/>
      <w:r>
        <w:t>3.2.2. требовать от Заказчика своевременной оплаты поставленного Товара и оказанных Услуг в порядке</w:t>
      </w:r>
      <w:r>
        <w:t xml:space="preserve"> и на условиях, предусмотренных Контракт</w:t>
      </w:r>
      <w:r>
        <w:t>ом</w:t>
      </w:r>
      <w:r>
        <w:t>.</w:t>
      </w:r>
    </w:p>
    <w:p w14:paraId="2C000000">
      <w:pPr>
        <w:spacing w:after="0"/>
        <w:ind/>
      </w:pPr>
      <w:bookmarkStart w:id="17" w:name="sub_1322"/>
      <w:bookmarkEnd w:id="17"/>
      <w:r>
        <w:t>3.3. Заказчик обязан:</w:t>
      </w:r>
    </w:p>
    <w:p w14:paraId="2D000000">
      <w:pPr>
        <w:spacing w:after="0"/>
        <w:ind/>
      </w:pPr>
      <w:bookmarkStart w:id="18" w:name="sub_1303"/>
      <w:bookmarkEnd w:id="18"/>
      <w:r>
        <w:t xml:space="preserve">3.3.1. предоставлять Поставщику всю имеющуюся у него информацию и документы, относящиеся к предмету </w:t>
      </w:r>
      <w:r>
        <w:t>Контракт</w:t>
      </w:r>
      <w:r>
        <w:t>а</w:t>
      </w:r>
      <w:r>
        <w:t xml:space="preserve"> и необходимые для исполнения Поставщиком обязательств по </w:t>
      </w:r>
      <w:r>
        <w:t>Контракт</w:t>
      </w:r>
      <w:r>
        <w:t>у</w:t>
      </w:r>
      <w:r>
        <w:t>;</w:t>
      </w:r>
    </w:p>
    <w:p w14:paraId="2E000000">
      <w:pPr>
        <w:spacing w:after="0"/>
        <w:ind/>
      </w:pPr>
      <w:bookmarkStart w:id="19" w:name="sub_1331"/>
      <w:bookmarkEnd w:id="19"/>
      <w:bookmarkStart w:id="20" w:name="sub_1332"/>
      <w:r>
        <w:t xml:space="preserve">3.3.2. </w:t>
      </w:r>
      <w:bookmarkStart w:id="21" w:name="sub_1333"/>
      <w:bookmarkEnd w:id="20"/>
      <w:r>
        <w:t>своевременно принять и оплатить поставленный Товар и надлежащим образом оказанные Услуги;</w:t>
      </w:r>
    </w:p>
    <w:p w14:paraId="2F000000">
      <w:pPr>
        <w:spacing w:after="0"/>
        <w:ind/>
      </w:pPr>
      <w:r>
        <w:t xml:space="preserve">3.3.3. выполнять свои обязательства, предусмотренные иными положениями </w:t>
      </w:r>
      <w:r>
        <w:t>Контракт</w:t>
      </w:r>
      <w:r>
        <w:t>а</w:t>
      </w:r>
      <w:r>
        <w:t>.</w:t>
      </w:r>
      <w:bookmarkEnd w:id="21"/>
    </w:p>
    <w:p w14:paraId="30000000">
      <w:pPr>
        <w:spacing w:after="0"/>
        <w:ind/>
      </w:pPr>
      <w:r>
        <w:t>3.4. Заказчик вправе:</w:t>
      </w:r>
    </w:p>
    <w:p w14:paraId="31000000">
      <w:pPr>
        <w:spacing w:after="0"/>
        <w:ind/>
      </w:pPr>
      <w:bookmarkStart w:id="22" w:name="sub_1304"/>
      <w:bookmarkEnd w:id="22"/>
      <w:r>
        <w:t xml:space="preserve">3.4.1. требовать от Поставщика надлежащего исполнения обязательств, предусмотренных </w:t>
      </w:r>
      <w:r>
        <w:t>Контракт</w:t>
      </w:r>
      <w:r>
        <w:t>ом</w:t>
      </w:r>
      <w:r>
        <w:t>;</w:t>
      </w:r>
    </w:p>
    <w:p w14:paraId="32000000">
      <w:pPr>
        <w:spacing w:after="0"/>
        <w:ind/>
      </w:pPr>
      <w:bookmarkStart w:id="23" w:name="sub_1341"/>
      <w:bookmarkEnd w:id="23"/>
      <w:r>
        <w:t xml:space="preserve">3.4.2. запрашивать у Поставщика информацию об исполнении им обязательств по </w:t>
      </w:r>
      <w:r>
        <w:t>Контракт</w:t>
      </w:r>
      <w:r>
        <w:t>у</w:t>
      </w:r>
      <w:r>
        <w:t>;</w:t>
      </w:r>
    </w:p>
    <w:p w14:paraId="33000000">
      <w:pPr>
        <w:spacing w:after="0"/>
        <w:ind/>
      </w:pPr>
      <w:bookmarkStart w:id="24" w:name="sub_1342"/>
      <w:bookmarkEnd w:id="24"/>
      <w:r>
        <w:t xml:space="preserve">3.4.3. проверять в любое время ход исполнения Поставщиком обязательств по </w:t>
      </w:r>
      <w:r>
        <w:t>Контракт</w:t>
      </w:r>
      <w:r>
        <w:t>у</w:t>
      </w:r>
      <w:r>
        <w:t>;</w:t>
      </w:r>
    </w:p>
    <w:p w14:paraId="34000000">
      <w:pPr>
        <w:spacing w:after="0"/>
        <w:ind/>
      </w:pPr>
      <w:bookmarkStart w:id="25" w:name="sub_1343"/>
      <w:bookmarkEnd w:id="25"/>
      <w:r>
        <w:t xml:space="preserve">3.4.4. осуществлять контроль соответствия качества поставляемого Товара и качества оказанных Услуг, сроков поставки Товара и оказания Услуг требованиям </w:t>
      </w:r>
      <w:r>
        <w:t>Контракт</w:t>
      </w:r>
      <w:r>
        <w:t>а</w:t>
      </w:r>
      <w:r>
        <w:t>;</w:t>
      </w:r>
    </w:p>
    <w:p w14:paraId="35000000">
      <w:pPr>
        <w:spacing w:after="0"/>
        <w:ind/>
      </w:pPr>
      <w:bookmarkStart w:id="26" w:name="sub_1344"/>
      <w:bookmarkEnd w:id="26"/>
      <w:r>
        <w:t xml:space="preserve">3.4.5. требовать от Поставщика устранения недостатков, допущенных при исполнении </w:t>
      </w:r>
      <w:r>
        <w:t>Контракт</w:t>
      </w:r>
      <w:r>
        <w:t>а</w:t>
      </w:r>
      <w:r>
        <w:t>;</w:t>
      </w:r>
    </w:p>
    <w:p w14:paraId="36000000">
      <w:pPr>
        <w:spacing w:after="0"/>
        <w:ind/>
      </w:pPr>
      <w:bookmarkStart w:id="27" w:name="sub_1345"/>
      <w:bookmarkEnd w:id="27"/>
      <w:bookmarkStart w:id="28" w:name="sub_1346"/>
      <w:r>
        <w:t>3.4.6. отказаться от приемки некачественного Товара и потребовать безвозмездного устранения недостатков;</w:t>
      </w:r>
      <w:bookmarkEnd w:id="28"/>
    </w:p>
    <w:p w14:paraId="37000000">
      <w:pPr>
        <w:spacing w:after="0"/>
        <w:ind/>
      </w:pPr>
      <w:r>
        <w:t xml:space="preserve">3.4.7. привлекать экспертов для проверки соответствия исполнения Поставщиком обязательств по </w:t>
      </w:r>
      <w:r>
        <w:t>Контракт</w:t>
      </w:r>
      <w:r>
        <w:t>у</w:t>
      </w:r>
      <w:r>
        <w:t xml:space="preserve"> требованиям, установленным </w:t>
      </w:r>
      <w:r>
        <w:t>Контракт</w:t>
      </w:r>
      <w:r>
        <w:t>ом</w:t>
      </w:r>
      <w:r>
        <w:t>.</w:t>
      </w:r>
    </w:p>
    <w:p w14:paraId="38000000">
      <w:pPr>
        <w:keepNext w:val="1"/>
        <w:spacing w:before="240"/>
        <w:ind w:firstLine="0" w:left="432"/>
        <w:jc w:val="center"/>
        <w:outlineLvl w:val="0"/>
        <w:rPr>
          <w:b w:val="1"/>
        </w:rPr>
      </w:pPr>
      <w:bookmarkStart w:id="29" w:name="sub_1400"/>
      <w:r>
        <w:rPr>
          <w:b w:val="1"/>
        </w:rPr>
        <w:t>4. Упаковка и маркировка</w:t>
      </w:r>
      <w:bookmarkEnd w:id="29"/>
    </w:p>
    <w:p w14:paraId="39000000">
      <w:pPr>
        <w:spacing w:after="0"/>
        <w:ind/>
      </w:pPr>
      <w:bookmarkStart w:id="30" w:name="sub_1401"/>
      <w:r>
        <w:t>4.1. Поставщик должен обеспечить упаковку Товара, способную предотвратить его повреждение или порчу во время перевозки к Месту доставки. Упаковка Товара должна полностью обеспечивать условия транспортировки, предъявляемые к данному виду Товара.</w:t>
      </w:r>
      <w:bookmarkEnd w:id="30"/>
    </w:p>
    <w:p w14:paraId="3A000000">
      <w:pPr>
        <w:spacing w:after="0"/>
        <w:ind/>
      </w:pPr>
      <w:r>
        <w:t>При определении габаритов упаковки Товара и его веса с упаковкой необходимо учитывать удаленность Мест доставки и отсутствие мощных грузоподъемных средств в некоторых пунктах по пути следования Товара.</w:t>
      </w:r>
    </w:p>
    <w:p w14:paraId="3B000000">
      <w:pPr>
        <w:spacing w:after="0"/>
        <w:ind/>
      </w:pPr>
      <w:bookmarkStart w:id="31" w:name="sub_1402"/>
      <w:r>
        <w:t>4.2. Вся упаковка должна соответствовать требованиям законодательства Российской Федерации, иметь следующую маркировку:</w:t>
      </w:r>
      <w:bookmarkEnd w:id="31"/>
    </w:p>
    <w:p w14:paraId="3C000000">
      <w:pPr>
        <w:spacing w:after="0"/>
        <w:ind/>
      </w:pPr>
      <w:r>
        <w:t xml:space="preserve">Наименование </w:t>
      </w:r>
      <w:r>
        <w:t>Товара:_</w:t>
      </w:r>
      <w:r>
        <w:t>_________________</w:t>
      </w:r>
    </w:p>
    <w:p w14:paraId="3D000000">
      <w:pPr>
        <w:spacing w:after="0"/>
        <w:ind/>
      </w:pPr>
      <w:r>
        <w:t>Контракт</w:t>
      </w:r>
      <w:r>
        <w:t xml:space="preserve"> N____________________</w:t>
      </w:r>
    </w:p>
    <w:p w14:paraId="3E000000">
      <w:pPr>
        <w:spacing w:after="0"/>
        <w:ind/>
      </w:pPr>
      <w:r>
        <w:t>Заказчик (название</w:t>
      </w:r>
      <w:r>
        <w:t>):_</w:t>
      </w:r>
      <w:r>
        <w:t>____________</w:t>
      </w:r>
    </w:p>
    <w:p w14:paraId="3F000000">
      <w:pPr>
        <w:spacing w:after="0"/>
        <w:ind/>
      </w:pPr>
      <w:r>
        <w:t>Поставщик (название компании</w:t>
      </w:r>
      <w:r>
        <w:t>):_</w:t>
      </w:r>
      <w:r>
        <w:t>_________</w:t>
      </w:r>
    </w:p>
    <w:p w14:paraId="40000000">
      <w:pPr>
        <w:spacing w:after="0"/>
        <w:ind/>
      </w:pPr>
      <w:r>
        <w:t>Получатель:_</w:t>
      </w:r>
      <w:r>
        <w:t>___________</w:t>
      </w:r>
    </w:p>
    <w:p w14:paraId="41000000">
      <w:pPr>
        <w:spacing w:after="0"/>
        <w:ind/>
      </w:pPr>
      <w:r>
        <w:t xml:space="preserve">Пункт </w:t>
      </w:r>
      <w:r>
        <w:t>назначения:_</w:t>
      </w:r>
      <w:r>
        <w:t>____________</w:t>
      </w:r>
    </w:p>
    <w:p w14:paraId="42000000">
      <w:pPr>
        <w:spacing w:after="0"/>
        <w:ind/>
      </w:pPr>
      <w:r>
        <w:t>Грузоотправитель:_</w:t>
      </w:r>
      <w:r>
        <w:t>___________________</w:t>
      </w:r>
    </w:p>
    <w:p w14:paraId="43000000">
      <w:pPr>
        <w:spacing w:after="0"/>
        <w:ind/>
      </w:pPr>
      <w:r>
        <w:t>Ящик/контейнер N_______, всего ящиков/контейнеров_________</w:t>
      </w:r>
    </w:p>
    <w:p w14:paraId="44000000">
      <w:pPr>
        <w:spacing w:after="0"/>
        <w:ind/>
      </w:pPr>
      <w:r>
        <w:t xml:space="preserve">Размеры (высота, длина, </w:t>
      </w:r>
      <w:r>
        <w:t>ширина)_</w:t>
      </w:r>
      <w:r>
        <w:t>______________</w:t>
      </w:r>
    </w:p>
    <w:p w14:paraId="45000000">
      <w:pPr>
        <w:spacing w:after="0"/>
        <w:ind/>
      </w:pPr>
      <w:r>
        <w:t>Вес брутто ________ кг</w:t>
      </w:r>
    </w:p>
    <w:p w14:paraId="46000000">
      <w:pPr>
        <w:spacing w:after="0"/>
        <w:ind/>
      </w:pPr>
      <w:r>
        <w:t>Вес нетто _________ кг</w:t>
      </w:r>
    </w:p>
    <w:p w14:paraId="47000000">
      <w:pPr>
        <w:spacing w:after="0"/>
        <w:ind/>
      </w:pPr>
      <w:bookmarkStart w:id="32" w:name="sub_1403"/>
      <w:r>
        <w:t xml:space="preserve">4.3. Два экземпляра упаковочного листа с описанием Товара, указанием веса нетто, веса брутто, количества, указанием номера и даты </w:t>
      </w:r>
      <w:r>
        <w:t>Контракт</w:t>
      </w:r>
      <w:r>
        <w:t>а</w:t>
      </w:r>
      <w:r>
        <w:t>, с приложением документации на Товар должны сопровождать каждый ящик/контейнер. Один упаковочный лист должен находиться внутри ящика/контейнера, другой крепится с внешней стороны в водонепроницаемом конверте.</w:t>
      </w:r>
      <w:bookmarkEnd w:id="32"/>
    </w:p>
    <w:p w14:paraId="48000000">
      <w:pPr>
        <w:keepNext w:val="1"/>
        <w:spacing w:before="240"/>
        <w:ind w:firstLine="0" w:left="432"/>
        <w:jc w:val="center"/>
        <w:outlineLvl w:val="0"/>
        <w:rPr>
          <w:b w:val="1"/>
        </w:rPr>
      </w:pPr>
      <w:r>
        <w:rPr>
          <w:b w:val="1"/>
        </w:rPr>
        <w:t>5. Порядок поставки Товара и документация</w:t>
      </w:r>
    </w:p>
    <w:p w14:paraId="49000000">
      <w:pPr>
        <w:spacing w:after="0"/>
        <w:ind/>
        <w:rPr>
          <w:b w:val="1"/>
          <w:i w:val="1"/>
          <w:color w:val="000000"/>
        </w:rPr>
      </w:pPr>
      <w:bookmarkStart w:id="33" w:name="sub_1500"/>
      <w:bookmarkEnd w:id="33"/>
      <w:bookmarkStart w:id="34" w:name="sub_1501"/>
      <w:r>
        <w:t xml:space="preserve">5.1. Поставка Товара осуществляется Поставщиком в Место доставки на условиях, </w:t>
      </w:r>
      <w:r>
        <w:rPr>
          <w:color w:val="000000"/>
        </w:rPr>
        <w:t xml:space="preserve">предусмотренных </w:t>
      </w:r>
      <w:r>
        <w:rPr>
          <w:color w:val="000000"/>
        </w:rPr>
        <w:fldChar w:fldCharType="begin"/>
      </w:r>
      <w:r>
        <w:rPr>
          <w:color w:val="000000"/>
        </w:rPr>
        <w:instrText>HYPERLINK \l "sub_1103"</w:instrText>
      </w:r>
      <w:r>
        <w:rPr>
          <w:color w:val="000000"/>
        </w:rPr>
        <w:fldChar w:fldCharType="separate"/>
      </w:r>
      <w:r>
        <w:rPr>
          <w:color w:val="000000"/>
        </w:rPr>
        <w:t>пунктом 1.3</w:t>
      </w:r>
      <w:r>
        <w:rPr>
          <w:color w:val="000000"/>
        </w:rPr>
        <w:fldChar w:fldCharType="end"/>
      </w:r>
      <w:r>
        <w:rPr>
          <w:color w:val="000000"/>
        </w:rPr>
        <w:t xml:space="preserve"> </w:t>
      </w:r>
      <w:r>
        <w:t>Контракт</w:t>
      </w:r>
      <w:r>
        <w:t>а</w:t>
      </w:r>
      <w:r>
        <w:rPr>
          <w:color w:val="000000"/>
        </w:rPr>
        <w:t xml:space="preserve">, в </w:t>
      </w:r>
      <w:r>
        <w:rPr>
          <w:b w:val="1"/>
          <w:i w:val="1"/>
          <w:color w:val="000000"/>
        </w:rPr>
        <w:t>тече</w:t>
      </w:r>
      <w:r>
        <w:rPr>
          <w:b w:val="1"/>
          <w:i w:val="1"/>
          <w:color w:val="000000"/>
        </w:rPr>
        <w:t xml:space="preserve">ние </w:t>
      </w:r>
      <w:r>
        <w:rPr>
          <w:b w:val="1"/>
          <w:i w:val="1"/>
          <w:color w:val="000000"/>
        </w:rPr>
        <w:t>3</w:t>
      </w:r>
      <w:r>
        <w:rPr>
          <w:b w:val="1"/>
          <w:i w:val="1"/>
          <w:color w:val="000000"/>
        </w:rPr>
        <w:t>-ти</w:t>
      </w:r>
      <w:r>
        <w:rPr>
          <w:b w:val="1"/>
          <w:i w:val="1"/>
          <w:color w:val="000000"/>
        </w:rPr>
        <w:t xml:space="preserve"> </w:t>
      </w:r>
      <w:r>
        <w:rPr>
          <w:b w:val="1"/>
          <w:i w:val="1"/>
          <w:color w:val="000000"/>
        </w:rPr>
        <w:t>рабочих дней</w:t>
      </w:r>
      <w:r>
        <w:rPr>
          <w:b w:val="1"/>
          <w:i w:val="1"/>
          <w:color w:val="000000"/>
        </w:rPr>
        <w:t xml:space="preserve"> с мом</w:t>
      </w:r>
      <w:r>
        <w:rPr>
          <w:b w:val="1"/>
          <w:i w:val="1"/>
          <w:color w:val="000000"/>
        </w:rPr>
        <w:t>ента направления заявки Заказчиком.</w:t>
      </w:r>
      <w:bookmarkEnd w:id="34"/>
    </w:p>
    <w:p w14:paraId="4A000000">
      <w:pPr>
        <w:spacing w:after="0"/>
        <w:ind/>
        <w:rPr>
          <w:color w:val="000000"/>
        </w:rPr>
      </w:pPr>
      <w:r>
        <w:rPr>
          <w:color w:val="000000"/>
        </w:rPr>
        <w:t>Заявка может быть передана Поставщику или письменно, или по телефону, или факсимильной связью, или электронной почтой и считается принятой Поставщиком в день отправки.</w:t>
      </w:r>
    </w:p>
    <w:p w14:paraId="4B000000">
      <w:pPr>
        <w:spacing w:after="0"/>
        <w:ind/>
        <w:rPr>
          <w:color w:val="000000"/>
        </w:rPr>
      </w:pPr>
      <w:r>
        <w:rPr>
          <w:color w:val="000000"/>
        </w:rPr>
        <w:t xml:space="preserve">5.2. </w:t>
      </w:r>
      <w:r>
        <w:rPr>
          <w:color w:val="000000"/>
        </w:rPr>
        <w:t>Фактической датой поставки считается дата, указанная в Акте приема-передачи Товара (</w:t>
      </w:r>
      <w:r>
        <w:rPr>
          <w:color w:val="000000"/>
        </w:rPr>
        <w:fldChar w:fldCharType="begin"/>
      </w:r>
      <w:r>
        <w:rPr>
          <w:color w:val="000000"/>
        </w:rPr>
        <w:instrText>HYPERLINK \l "sub_4000"</w:instrText>
      </w:r>
      <w:r>
        <w:rPr>
          <w:color w:val="000000"/>
        </w:rPr>
        <w:fldChar w:fldCharType="separate"/>
      </w:r>
      <w:r>
        <w:rPr>
          <w:color w:val="000000"/>
        </w:rPr>
        <w:t>приложение N </w:t>
      </w:r>
      <w:r>
        <w:rPr>
          <w:color w:val="000000"/>
        </w:rPr>
        <w:fldChar w:fldCharType="end"/>
      </w:r>
      <w:r>
        <w:rPr>
          <w:color w:val="000000"/>
        </w:rPr>
        <w:t>2</w:t>
      </w:r>
      <w:r>
        <w:rPr>
          <w:color w:val="000000"/>
        </w:rPr>
        <w:t xml:space="preserve"> к </w:t>
      </w:r>
      <w:r>
        <w:t>Контракту</w:t>
      </w:r>
      <w:r>
        <w:rPr>
          <w:color w:val="000000"/>
        </w:rPr>
        <w:t xml:space="preserve">) </w:t>
      </w:r>
      <w:r>
        <w:t xml:space="preserve">и Акта </w:t>
      </w:r>
      <w:r>
        <w:t>приемки ТРУ по форме ОКУД 0510452 (Приказ Минфина от 15.04.2021 №61н).</w:t>
      </w:r>
    </w:p>
    <w:p w14:paraId="4C000000">
      <w:pPr>
        <w:spacing w:after="0"/>
        <w:ind/>
        <w:rPr>
          <w:color w:val="000000"/>
        </w:rPr>
      </w:pPr>
      <w:bookmarkStart w:id="35" w:name="sub_1502"/>
      <w:bookmarkEnd w:id="35"/>
      <w:r>
        <w:rPr>
          <w:color w:val="000000"/>
        </w:rPr>
        <w:t>5.3. При поставке Товара Поставщик представляет следующую документацию:</w:t>
      </w:r>
    </w:p>
    <w:p w14:paraId="4D000000">
      <w:pPr>
        <w:spacing w:after="0"/>
        <w:ind/>
      </w:pPr>
      <w:bookmarkStart w:id="36" w:name="sub_1503"/>
      <w:bookmarkEnd w:id="36"/>
      <w:bookmarkStart w:id="37" w:name="sub_1531"/>
      <w:r>
        <w:rPr>
          <w:color w:val="000000"/>
        </w:rPr>
        <w:t xml:space="preserve">а) </w:t>
      </w:r>
      <w:bookmarkStart w:id="38" w:name="sub_1532"/>
      <w:bookmarkEnd w:id="37"/>
      <w:r>
        <w:rPr>
          <w:color w:val="000000"/>
        </w:rPr>
        <w:t>копию сертификата</w:t>
      </w:r>
      <w:r>
        <w:t xml:space="preserve"> или декларации соответствия, выданного уполномоченными органами (организациями), по товарам, подлежащим обязательной сертификации; </w:t>
      </w:r>
    </w:p>
    <w:p w14:paraId="4E000000">
      <w:pPr>
        <w:spacing w:after="0"/>
        <w:ind/>
      </w:pPr>
      <w:r>
        <w:t>б) копию санитарно-эпидемиологического заключения на това</w:t>
      </w:r>
      <w:r>
        <w:t xml:space="preserve">р, выданного </w:t>
      </w:r>
      <w:r>
        <w:t>Роспотребнадзором</w:t>
      </w:r>
      <w:r>
        <w:t xml:space="preserve"> </w:t>
      </w:r>
      <w:r>
        <w:t>(по товарам, требующим указанных заключений);</w:t>
      </w:r>
    </w:p>
    <w:p w14:paraId="4F000000">
      <w:pPr>
        <w:spacing w:after="0"/>
        <w:ind/>
      </w:pPr>
      <w:r>
        <w:t>в) копии Регистрационных удостоверений Министерства здравоохранения и социального развития РФ (включая приложения) заверенные в установленном порядке (по товарам, требующим регистрации);</w:t>
      </w:r>
    </w:p>
    <w:p w14:paraId="50000000">
      <w:pPr>
        <w:spacing w:after="0"/>
        <w:ind/>
      </w:pPr>
      <w:r>
        <w:t>г) техническую и (или) эксплуатационную документацию производителя (изготовителя) Товара на русском языке;</w:t>
      </w:r>
      <w:bookmarkEnd w:id="38"/>
    </w:p>
    <w:p w14:paraId="51000000">
      <w:pPr>
        <w:spacing w:after="0"/>
        <w:ind/>
      </w:pPr>
      <w:r>
        <w:t xml:space="preserve">д) </w:t>
      </w:r>
      <w:r>
        <w:t>товарную накладную</w:t>
      </w:r>
      <w:r>
        <w:t xml:space="preserve">, </w:t>
      </w:r>
      <w:r>
        <w:t>составленную по форме в соответствии с законодательством Российской Федерации, в трех экземплярах, в которой должна быть указана серия товара, срок годности, источник финансирования (указанный в п. «основание»)</w:t>
      </w:r>
      <w:r>
        <w:t>;</w:t>
      </w:r>
    </w:p>
    <w:p w14:paraId="52000000">
      <w:pPr>
        <w:spacing w:after="0"/>
        <w:ind/>
      </w:pPr>
      <w:r>
        <w:t>е) счет-фактуру;</w:t>
      </w:r>
    </w:p>
    <w:p w14:paraId="53000000">
      <w:pPr>
        <w:spacing w:after="0"/>
        <w:ind/>
      </w:pPr>
      <w:r>
        <w:t xml:space="preserve">ж) электронную товарную накладную в формате </w:t>
      </w:r>
      <w:r>
        <w:t>Excel</w:t>
      </w:r>
      <w:r>
        <w:t xml:space="preserve">, на электронном носителе. </w:t>
      </w:r>
    </w:p>
    <w:p w14:paraId="54000000">
      <w:pPr>
        <w:spacing w:after="0"/>
        <w:ind/>
        <w:rPr>
          <w:color w:val="000000"/>
        </w:rPr>
      </w:pPr>
      <w:bookmarkStart w:id="39" w:name="sub_1533"/>
      <w:bookmarkEnd w:id="39"/>
      <w:bookmarkStart w:id="40" w:name="sub_1534"/>
      <w:r>
        <w:t xml:space="preserve">з) Акт приема-передачи </w:t>
      </w:r>
      <w:r>
        <w:rPr>
          <w:color w:val="000000"/>
        </w:rPr>
        <w:t>Товара (</w:t>
      </w:r>
      <w:r>
        <w:rPr>
          <w:color w:val="000000"/>
        </w:rPr>
        <w:fldChar w:fldCharType="begin"/>
      </w:r>
      <w:r>
        <w:rPr>
          <w:color w:val="000000"/>
        </w:rPr>
        <w:instrText>HYPERLINK \l "sub_4000"</w:instrText>
      </w:r>
      <w:r>
        <w:rPr>
          <w:color w:val="000000"/>
        </w:rPr>
        <w:fldChar w:fldCharType="separate"/>
      </w:r>
      <w:r>
        <w:rPr>
          <w:color w:val="000000"/>
        </w:rPr>
        <w:t>приложение N </w:t>
      </w:r>
      <w:r>
        <w:rPr>
          <w:color w:val="000000"/>
        </w:rPr>
        <w:fldChar w:fldCharType="end"/>
      </w:r>
      <w:r>
        <w:rPr>
          <w:color w:val="000000"/>
        </w:rPr>
        <w:t>2</w:t>
      </w:r>
      <w:r>
        <w:rPr>
          <w:color w:val="000000"/>
        </w:rPr>
        <w:t xml:space="preserve"> к </w:t>
      </w:r>
      <w:r>
        <w:rPr>
          <w:color w:val="000000"/>
        </w:rPr>
        <w:t>Контракт</w:t>
      </w:r>
      <w:r>
        <w:rPr>
          <w:color w:val="000000"/>
        </w:rPr>
        <w:t>у) в двух экземплярах (один экземпляр для Заказчика и один экземпляр для Поставщика);</w:t>
      </w:r>
      <w:bookmarkEnd w:id="40"/>
    </w:p>
    <w:p w14:paraId="55000000">
      <w:pPr>
        <w:spacing w:after="0"/>
        <w:ind/>
        <w:rPr>
          <w:color w:val="000000"/>
        </w:rPr>
      </w:pPr>
      <w:r>
        <w:rPr>
          <w:color w:val="000000"/>
        </w:rPr>
        <w:t>и) счет на оплату за поставку Товара.</w:t>
      </w:r>
    </w:p>
    <w:p w14:paraId="56000000">
      <w:pPr>
        <w:spacing w:after="0"/>
        <w:ind/>
        <w:rPr>
          <w:color w:val="000000"/>
        </w:rPr>
      </w:pPr>
      <w:r>
        <w:rPr>
          <w:color w:val="000000"/>
        </w:rPr>
        <w:t>к) сведения о наличии и количественном содержании или отсутствии драгоценных металлов и камней в поставляемом товаре в граммах. Сведения предоставляются в форме декларации в соответствии с требованиями приказа Минфина РФ от 09.12.2016г. №231н.</w:t>
      </w:r>
    </w:p>
    <w:p w14:paraId="57000000">
      <w:pPr>
        <w:spacing w:after="0"/>
        <w:ind/>
        <w:rPr>
          <w:color w:val="000000"/>
        </w:rPr>
      </w:pPr>
      <w:r>
        <w:rPr>
          <w:color w:val="000000"/>
        </w:rPr>
        <w:t xml:space="preserve">5.4. Поставщик осуществляет поставку товара по настоящему </w:t>
      </w:r>
      <w:r>
        <w:t>Контракт</w:t>
      </w:r>
      <w:r>
        <w:t>у</w:t>
      </w:r>
      <w:r>
        <w:rPr>
          <w:color w:val="000000"/>
        </w:rPr>
        <w:t xml:space="preserve"> </w:t>
      </w:r>
      <w:r>
        <w:rPr>
          <w:color w:val="000000"/>
        </w:rPr>
        <w:t xml:space="preserve">с остаточным сроком годности на момент поставки согласно Приложению № 1 к </w:t>
      </w:r>
      <w:r>
        <w:t>Контракт</w:t>
      </w:r>
      <w:r>
        <w:t>у</w:t>
      </w:r>
      <w:r>
        <w:rPr>
          <w:color w:val="000000"/>
        </w:rPr>
        <w:t>.</w:t>
      </w:r>
    </w:p>
    <w:p w14:paraId="58000000">
      <w:pPr>
        <w:keepNext w:val="1"/>
        <w:spacing w:before="240"/>
        <w:ind w:firstLine="0" w:left="432"/>
        <w:jc w:val="center"/>
        <w:outlineLvl w:val="0"/>
        <w:rPr>
          <w:b w:val="1"/>
          <w:color w:val="000000"/>
        </w:rPr>
      </w:pPr>
      <w:r>
        <w:rPr>
          <w:b w:val="1"/>
          <w:color w:val="000000"/>
        </w:rPr>
        <w:t>6. Порядок приемки Товара</w:t>
      </w:r>
    </w:p>
    <w:p w14:paraId="59000000">
      <w:pPr>
        <w:spacing w:after="0"/>
        <w:ind/>
        <w:rPr>
          <w:color w:val="000000"/>
        </w:rPr>
      </w:pPr>
      <w:bookmarkStart w:id="41" w:name="sub_1600"/>
      <w:bookmarkEnd w:id="41"/>
      <w:r>
        <w:rPr>
          <w:color w:val="000000"/>
        </w:rPr>
        <w:t>6.1. Приемка поставленного Товара осуществляется в ходе передачи Товара Заказчику (Получателю) в Месте доставки и включает в себя следующее:</w:t>
      </w:r>
    </w:p>
    <w:p w14:paraId="5A000000">
      <w:pPr>
        <w:spacing w:after="0"/>
        <w:ind/>
        <w:rPr>
          <w:color w:val="000000"/>
        </w:rPr>
      </w:pPr>
      <w:bookmarkStart w:id="42" w:name="sub_1601"/>
      <w:bookmarkEnd w:id="42"/>
      <w:r>
        <w:rPr>
          <w:color w:val="000000"/>
        </w:rPr>
        <w:t>а) проверку по упаковочным листам номенклатуры поставленного Товара на соответствие Спецификации (</w:t>
      </w:r>
      <w:r>
        <w:rPr>
          <w:color w:val="000000"/>
        </w:rPr>
        <w:fldChar w:fldCharType="begin"/>
      </w:r>
      <w:r>
        <w:rPr>
          <w:color w:val="000000"/>
        </w:rPr>
        <w:instrText>HYPERLINK \l "sub_10000"</w:instrText>
      </w:r>
      <w:r>
        <w:rPr>
          <w:color w:val="000000"/>
        </w:rPr>
        <w:fldChar w:fldCharType="separate"/>
      </w:r>
      <w:r>
        <w:rPr>
          <w:color w:val="000000"/>
        </w:rPr>
        <w:t>приложение N 1</w:t>
      </w:r>
      <w:r>
        <w:rPr>
          <w:color w:val="000000"/>
        </w:rPr>
        <w:fldChar w:fldCharType="end"/>
      </w:r>
      <w:r>
        <w:rPr>
          <w:color w:val="000000"/>
        </w:rPr>
        <w:t xml:space="preserve"> к </w:t>
      </w:r>
      <w:r>
        <w:t>Контракт</w:t>
      </w:r>
      <w:r>
        <w:t>у</w:t>
      </w:r>
      <w:r>
        <w:rPr>
          <w:color w:val="000000"/>
        </w:rPr>
        <w:t>);</w:t>
      </w:r>
    </w:p>
    <w:p w14:paraId="5B000000">
      <w:pPr>
        <w:spacing w:after="0"/>
        <w:ind/>
        <w:rPr>
          <w:color w:val="000000"/>
        </w:rPr>
      </w:pPr>
      <w:bookmarkStart w:id="43" w:name="sub_1611"/>
      <w:bookmarkEnd w:id="43"/>
      <w:r>
        <w:rPr>
          <w:color w:val="000000"/>
        </w:rPr>
        <w:t>б) проверку полноты и правильности оформления комплекта сопроводительных докуме</w:t>
      </w:r>
      <w:r>
        <w:rPr>
          <w:color w:val="000000"/>
        </w:rPr>
        <w:t>нтов в соответствии с условиями Контракт</w:t>
      </w:r>
      <w:r>
        <w:t>а</w:t>
      </w:r>
      <w:r>
        <w:rPr>
          <w:color w:val="000000"/>
        </w:rPr>
        <w:t>;</w:t>
      </w:r>
    </w:p>
    <w:p w14:paraId="5C000000">
      <w:pPr>
        <w:spacing w:after="0"/>
        <w:ind/>
        <w:rPr>
          <w:color w:val="000000"/>
        </w:rPr>
      </w:pPr>
      <w:bookmarkStart w:id="44" w:name="sub_1612"/>
      <w:bookmarkEnd w:id="44"/>
      <w:r>
        <w:rPr>
          <w:color w:val="000000"/>
        </w:rPr>
        <w:t>в) контроль наличия/отсутствия внешних повреждений оригинальной упаковки Товара;</w:t>
      </w:r>
    </w:p>
    <w:p w14:paraId="5D000000">
      <w:pPr>
        <w:spacing w:after="0"/>
        <w:ind/>
        <w:rPr>
          <w:color w:val="000000"/>
        </w:rPr>
      </w:pPr>
      <w:bookmarkStart w:id="45" w:name="sub_1613"/>
      <w:bookmarkEnd w:id="45"/>
      <w:r>
        <w:rPr>
          <w:color w:val="000000"/>
        </w:rPr>
        <w:t>г) проверку наличия необходимых документов (копий документов) на Товар: регистрационных удостоверений, документа, подтверждающего соответствие Товара, выданного уполномоченными органами (организациями);</w:t>
      </w:r>
    </w:p>
    <w:p w14:paraId="5E000000">
      <w:pPr>
        <w:spacing w:after="0"/>
        <w:ind/>
        <w:rPr>
          <w:color w:val="000000"/>
        </w:rPr>
      </w:pPr>
      <w:bookmarkStart w:id="46" w:name="sub_1614"/>
      <w:bookmarkEnd w:id="46"/>
      <w:r>
        <w:rPr>
          <w:color w:val="000000"/>
        </w:rPr>
        <w:t>д) проверку наличия технической и (или) эксплуатационной документации производителя (изготовителя) Товара на русском языке;</w:t>
      </w:r>
    </w:p>
    <w:p w14:paraId="5F000000">
      <w:pPr>
        <w:spacing w:after="0"/>
        <w:ind/>
        <w:rPr>
          <w:color w:val="000000"/>
        </w:rPr>
      </w:pPr>
      <w:bookmarkStart w:id="47" w:name="sub_1615"/>
      <w:bookmarkEnd w:id="47"/>
      <w:bookmarkStart w:id="48" w:name="sub_1616"/>
      <w:r>
        <w:rPr>
          <w:color w:val="000000"/>
        </w:rPr>
        <w:t>е) проверку комплектности и целостности поставленного Товара.</w:t>
      </w:r>
      <w:bookmarkEnd w:id="48"/>
    </w:p>
    <w:p w14:paraId="60000000">
      <w:pPr>
        <w:spacing w:after="0"/>
        <w:ind/>
        <w:rPr>
          <w:color w:val="000000"/>
        </w:rPr>
      </w:pPr>
      <w:r>
        <w:rPr>
          <w:color w:val="000000"/>
        </w:rPr>
        <w:t>Приемка Товара осуществляется в соответствии с требованиями законодательства Российской Федерации.</w:t>
      </w:r>
    </w:p>
    <w:p w14:paraId="61000000">
      <w:pPr>
        <w:widowControl w:val="0"/>
        <w:spacing w:after="0" w:before="240"/>
        <w:ind w:firstLine="539" w:left="0"/>
        <w:contextualSpacing w:val="1"/>
      </w:pPr>
      <w:r>
        <w:rPr>
          <w:color w:val="000000"/>
        </w:rPr>
        <w:t>По факту приемки Товара Поставщик и Заказчик (Получатель) подписывают Акт приема-передачи Товара (</w:t>
      </w:r>
      <w:r>
        <w:rPr>
          <w:color w:val="000000"/>
        </w:rPr>
        <w:fldChar w:fldCharType="begin"/>
      </w:r>
      <w:r>
        <w:rPr>
          <w:color w:val="000000"/>
        </w:rPr>
        <w:instrText>HYPERLINK \l "sub_4000"</w:instrText>
      </w:r>
      <w:r>
        <w:rPr>
          <w:color w:val="000000"/>
        </w:rPr>
        <w:fldChar w:fldCharType="separate"/>
      </w:r>
      <w:r>
        <w:rPr>
          <w:color w:val="000000"/>
        </w:rPr>
        <w:t>приложение N </w:t>
      </w:r>
      <w:r>
        <w:rPr>
          <w:color w:val="000000"/>
        </w:rPr>
        <w:fldChar w:fldCharType="end"/>
      </w:r>
      <w:r>
        <w:rPr>
          <w:color w:val="000000"/>
        </w:rPr>
        <w:t>2</w:t>
      </w:r>
      <w:r>
        <w:rPr>
          <w:color w:val="000000"/>
        </w:rPr>
        <w:t xml:space="preserve"> к </w:t>
      </w:r>
      <w:r>
        <w:t>Контракту</w:t>
      </w:r>
      <w:r>
        <w:rPr>
          <w:color w:val="000000"/>
        </w:rPr>
        <w:t xml:space="preserve">), </w:t>
      </w:r>
      <w:r>
        <w:t xml:space="preserve">Акт </w:t>
      </w:r>
      <w:r>
        <w:t>приемки ТРУ по форме ОКУД 0510452 (Приказ Минфина от 15.04.2021 №61н).</w:t>
      </w:r>
    </w:p>
    <w:p w14:paraId="62000000">
      <w:pPr>
        <w:spacing w:after="0"/>
        <w:ind/>
      </w:pPr>
      <w:r>
        <w:rPr>
          <w:color w:val="000000"/>
        </w:rPr>
        <w:t xml:space="preserve">6.2. Для проверки предоставленных Поставщиком результатов поставки, предусмотренных </w:t>
      </w:r>
      <w:r>
        <w:t>Контракт</w:t>
      </w:r>
      <w:r>
        <w:t>ом</w:t>
      </w:r>
      <w:r>
        <w:rPr>
          <w:color w:val="000000"/>
        </w:rPr>
        <w:t xml:space="preserve">, в части их соответствия условиям </w:t>
      </w:r>
      <w:r>
        <w:t>Контракт</w:t>
      </w:r>
      <w:r>
        <w:t>а</w:t>
      </w:r>
      <w:r>
        <w:rPr>
          <w:color w:val="000000"/>
        </w:rPr>
        <w:t xml:space="preserve"> </w:t>
      </w:r>
      <w:r>
        <w:rPr>
          <w:color w:val="000000"/>
        </w:rPr>
        <w:t xml:space="preserve">Заказчик проводит экспертизу Товара </w:t>
      </w:r>
      <w:r>
        <w:rPr>
          <w:color w:val="000000"/>
        </w:rPr>
        <w:t xml:space="preserve">в порядке, предусмотренном </w:t>
      </w:r>
      <w:r>
        <w:rPr>
          <w:color w:val="000000"/>
        </w:rPr>
        <w:fldChar w:fldCharType="begin"/>
      </w:r>
      <w:r>
        <w:rPr>
          <w:color w:val="000000"/>
        </w:rPr>
        <w:instrText>HYPERLINK "garantf1://70253464.94"</w:instrText>
      </w:r>
      <w:r>
        <w:rPr>
          <w:color w:val="000000"/>
        </w:rPr>
        <w:fldChar w:fldCharType="separate"/>
      </w:r>
      <w:r>
        <w:rPr>
          <w:color w:val="000000"/>
        </w:rPr>
        <w:t>статьей 94</w:t>
      </w:r>
      <w:r>
        <w:rPr>
          <w:color w:val="000000"/>
        </w:rPr>
        <w:fldChar w:fldCharType="end"/>
      </w:r>
      <w:r>
        <w:rPr>
          <w:color w:val="000000"/>
        </w:rPr>
        <w:t xml:space="preserve"> Федерального</w:t>
      </w:r>
      <w:r>
        <w:t xml:space="preserve"> закона о контрактной системе. Экспертиза может проводиться силами Заказчика или к ее проведению могут привлекаться эксперты, экспертные организации.</w:t>
      </w:r>
    </w:p>
    <w:p w14:paraId="63000000">
      <w:pPr>
        <w:widowControl w:val="0"/>
        <w:spacing w:after="0" w:before="240"/>
        <w:ind w:firstLine="539" w:left="0"/>
        <w:contextualSpacing w:val="1"/>
        <w:rPr>
          <w:color w:themeColor="text1" w:val="000000"/>
        </w:rPr>
      </w:pPr>
      <w:bookmarkStart w:id="49" w:name="sub_1602"/>
      <w:bookmarkEnd w:id="49"/>
      <w:r>
        <w:t xml:space="preserve">6.3. </w:t>
      </w:r>
      <w:bookmarkStart w:id="50" w:name="sub_1605"/>
      <w:bookmarkEnd w:id="50"/>
      <w:bookmarkStart w:id="51" w:name="sub_1800"/>
      <w:r>
        <w:rPr>
          <w:color w:themeColor="text1" w:val="000000"/>
        </w:rPr>
        <w:t xml:space="preserve">Заказчик в срок не более 3 рабочих дней со дня получения от Поставщика документов, предусмотренных </w:t>
      </w:r>
      <w:r>
        <w:rPr>
          <w:color w:themeColor="text1" w:val="000000"/>
        </w:rPr>
        <w:t xml:space="preserve">пунктом 5.3 </w:t>
      </w:r>
      <w:r>
        <w:rPr>
          <w:color w:themeColor="text1" w:val="000000"/>
        </w:rPr>
        <w:t xml:space="preserve">Контракта, и на основании результатов экспертизы, проведенной в соответствии с </w:t>
      </w:r>
      <w:r>
        <w:rPr>
          <w:color w:themeColor="text1" w:val="000000"/>
        </w:rPr>
        <w:t>пунктом 6.2</w:t>
      </w:r>
      <w:r>
        <w:rPr>
          <w:color w:themeColor="text1" w:val="000000"/>
        </w:rPr>
        <w:t xml:space="preserve"> Контракта, направляет Поставщику подписанный Акт </w:t>
      </w:r>
      <w:r>
        <w:rPr>
          <w:color w:themeColor="text1" w:val="000000"/>
        </w:rPr>
        <w:t xml:space="preserve">приемки ТРУ по форме ОКУД 0510452 (Приказ Минфина от 15.04.2021 №61н), </w:t>
      </w:r>
      <w:r>
        <w:rPr>
          <w:color w:themeColor="text1" w:val="000000"/>
        </w:rPr>
        <w:t>Акт приема-передачи Товара по Контракту или мотивированный отказ от приемки, в котором указываются недостатки и сроки их устранения.</w:t>
      </w:r>
    </w:p>
    <w:p w14:paraId="64000000">
      <w:pPr>
        <w:widowControl w:val="0"/>
        <w:spacing w:after="0" w:before="240"/>
        <w:ind w:firstLine="539" w:left="0"/>
        <w:contextualSpacing w:val="1"/>
        <w:rPr>
          <w:color w:themeColor="text1" w:val="000000"/>
        </w:rPr>
      </w:pPr>
      <w:r>
        <w:rPr>
          <w:color w:themeColor="text1" w:val="000000"/>
        </w:rPr>
        <w:t xml:space="preserve">6.4. После устранения недостатков, послуживших основанием для не подписания Акта приема-передачи Товара по Контракту, Поставщик и Заказчик  подписывают  Акт </w:t>
      </w:r>
      <w:r>
        <w:rPr>
          <w:color w:themeColor="text1" w:val="000000"/>
        </w:rPr>
        <w:t xml:space="preserve">приемки ТРУ по форме ОКУД 0510452 (Приказ Минфина от 15.04.2021 №61н), </w:t>
      </w:r>
      <w:r>
        <w:rPr>
          <w:color w:themeColor="text1" w:val="000000"/>
        </w:rPr>
        <w:t xml:space="preserve">Акт приема-передачи Товара по Контракту в порядке и сроки, предусмотренные </w:t>
      </w:r>
      <w:r>
        <w:rPr>
          <w:color w:themeColor="text1" w:val="000000"/>
        </w:rPr>
        <w:t>пунктом 6.3</w:t>
      </w:r>
      <w:r>
        <w:rPr>
          <w:color w:themeColor="text1" w:val="000000"/>
        </w:rPr>
        <w:t xml:space="preserve"> Контракта.</w:t>
      </w:r>
    </w:p>
    <w:p w14:paraId="65000000">
      <w:pPr>
        <w:widowControl w:val="0"/>
        <w:spacing w:after="0" w:before="240"/>
        <w:ind w:firstLine="539" w:left="0"/>
        <w:contextualSpacing w:val="1"/>
      </w:pPr>
      <w:r>
        <w:rPr>
          <w:color w:themeColor="text1" w:val="000000"/>
        </w:rPr>
        <w:t xml:space="preserve">6.5. Со дня подписания Акта </w:t>
      </w:r>
      <w:r>
        <w:rPr>
          <w:color w:themeColor="text1" w:val="000000"/>
        </w:rPr>
        <w:t xml:space="preserve">приемки ТРУ по форме ОКУД 0510452 </w:t>
      </w:r>
      <w:r>
        <w:t>(Приказ Минфина от 15.04.2021 №61н),</w:t>
      </w:r>
      <w:r>
        <w:rPr>
          <w:color w:val="FF0000"/>
        </w:rPr>
        <w:t xml:space="preserve"> </w:t>
      </w:r>
      <w:r>
        <w:t>Акта</w:t>
      </w:r>
      <w:r>
        <w:t xml:space="preserve"> приема-передачи Товара по Конт</w:t>
      </w:r>
      <w:r>
        <w:t>ракту Заказчиком риск случайной гибели, утраты или повреждения Товара переходит к Заказчику.</w:t>
      </w:r>
    </w:p>
    <w:p w14:paraId="66000000">
      <w:pPr>
        <w:widowControl w:val="0"/>
        <w:spacing w:after="0" w:before="240"/>
        <w:ind w:firstLine="539" w:left="0"/>
        <w:contextualSpacing w:val="1"/>
      </w:pPr>
      <w:bookmarkStart w:id="52" w:name="Par234"/>
      <w:bookmarkEnd w:id="52"/>
      <w:bookmarkStart w:id="53" w:name="Par239"/>
      <w:bookmarkEnd w:id="53"/>
      <w:r>
        <w:t xml:space="preserve">6.6. Обязательства Поставщика по поставке Товара считаются выполненными Поставщиком после подписания Сторонами Акт приема-передачи Товара по Контракту, Акт </w:t>
      </w:r>
      <w:r>
        <w:t>приемки ТРУ по форме ОКУД 0510452 (Приказ Минфина от 15.04.2021 №61н).</w:t>
      </w:r>
    </w:p>
    <w:p w14:paraId="67000000">
      <w:pPr>
        <w:widowControl w:val="0"/>
        <w:spacing w:after="0" w:before="240"/>
        <w:ind w:firstLine="539" w:left="0"/>
        <w:contextualSpacing w:val="1"/>
      </w:pPr>
      <w:r>
        <w:rPr>
          <w:color w:val="000000"/>
        </w:rPr>
        <w:t>6.7. При приемке товара обязан присутствовать уполномоченный</w:t>
      </w:r>
      <w:r>
        <w:t xml:space="preserve"> представитель Поставщика с надлежаще оформленной доверенностью. </w:t>
      </w:r>
    </w:p>
    <w:p w14:paraId="68000000">
      <w:pPr>
        <w:keepNext w:val="1"/>
        <w:spacing w:before="240"/>
        <w:ind w:hanging="432" w:left="432"/>
        <w:jc w:val="center"/>
        <w:outlineLvl w:val="0"/>
        <w:rPr>
          <w:b w:val="1"/>
        </w:rPr>
      </w:pPr>
      <w:r>
        <w:rPr>
          <w:b w:val="1"/>
        </w:rPr>
        <w:t>7. Гарантии</w:t>
      </w:r>
      <w:bookmarkEnd w:id="51"/>
    </w:p>
    <w:p w14:paraId="69000000">
      <w:pPr>
        <w:spacing w:after="0"/>
        <w:ind/>
      </w:pPr>
      <w:bookmarkStart w:id="54" w:name="sub_1801"/>
      <w:r>
        <w:t xml:space="preserve">7.1. Поставщик гарантирует, что Товар, поставленный в соответствии с </w:t>
      </w:r>
      <w:r>
        <w:t>Контракт</w:t>
      </w:r>
      <w:r>
        <w:t>ом</w:t>
      </w:r>
      <w:r>
        <w:t>, является новым, неиспользованным, серийно выпускаемым.</w:t>
      </w:r>
      <w:bookmarkEnd w:id="54"/>
    </w:p>
    <w:p w14:paraId="6A000000">
      <w:pPr>
        <w:spacing w:after="0"/>
        <w:ind/>
        <w:rPr>
          <w:color w:val="000000"/>
        </w:rPr>
      </w:pPr>
      <w:r>
        <w:t xml:space="preserve">Поставщик гарантирует, что Товар, поставленный по </w:t>
      </w:r>
      <w:r>
        <w:t>Контракт</w:t>
      </w:r>
      <w:r>
        <w:t>у</w:t>
      </w:r>
      <w:r>
        <w:t xml:space="preserve">, не имеет дефектов, связанных с конструкцией, материалами или функционированием при штатном использовании Товара в соответствии со </w:t>
      </w:r>
      <w:r>
        <w:rPr>
          <w:color w:val="000000"/>
        </w:rPr>
        <w:t>Спецификацией (</w:t>
      </w:r>
      <w:r>
        <w:rPr>
          <w:color w:val="000000"/>
        </w:rPr>
        <w:fldChar w:fldCharType="begin"/>
      </w:r>
      <w:r>
        <w:rPr>
          <w:color w:val="000000"/>
        </w:rPr>
        <w:instrText>HYPERLINK \l "sub_10000"</w:instrText>
      </w:r>
      <w:r>
        <w:rPr>
          <w:color w:val="000000"/>
        </w:rPr>
        <w:fldChar w:fldCharType="separate"/>
      </w:r>
      <w:r>
        <w:rPr>
          <w:color w:val="000000"/>
        </w:rPr>
        <w:t>приложение N 1</w:t>
      </w:r>
      <w:r>
        <w:rPr>
          <w:color w:val="000000"/>
        </w:rPr>
        <w:fldChar w:fldCharType="end"/>
      </w:r>
      <w:r>
        <w:rPr>
          <w:color w:val="000000"/>
        </w:rPr>
        <w:t xml:space="preserve"> к </w:t>
      </w:r>
      <w:r>
        <w:t>Контракт</w:t>
      </w:r>
      <w:r>
        <w:t>у</w:t>
      </w:r>
      <w:r>
        <w:rPr>
          <w:color w:val="000000"/>
        </w:rPr>
        <w:t>), технической и (или) эксплуатационной документацией производителя (изготовителя) Товара.</w:t>
      </w:r>
    </w:p>
    <w:p w14:paraId="6B000000">
      <w:pPr>
        <w:spacing w:after="0"/>
        <w:ind/>
        <w:rPr>
          <w:color w:val="000000"/>
        </w:rPr>
      </w:pPr>
      <w:r>
        <w:rPr>
          <w:color w:val="000000"/>
        </w:rPr>
        <w:t>7.2. Поставщик предоставляет Заказчику (Получателю) гарантии производителя (изготовителя) Товара, оформленные соответствующими гарантийными талонами или аналогичными документами, подтверждающими надлежащее качество материалов, используемых для изготовления Товара, а также надлежащее качество (в случае если</w:t>
      </w:r>
      <w:r>
        <w:t xml:space="preserve"> Заказчиком установлены требования к гарантийному сроку)</w:t>
      </w:r>
      <w:r>
        <w:rPr>
          <w:color w:val="000000"/>
        </w:rPr>
        <w:t>.</w:t>
      </w:r>
    </w:p>
    <w:p w14:paraId="6C000000">
      <w:pPr>
        <w:spacing w:after="0"/>
        <w:ind/>
        <w:rPr>
          <w:color w:val="000000"/>
        </w:rPr>
      </w:pPr>
      <w:bookmarkStart w:id="55" w:name="sub_1802"/>
      <w:bookmarkEnd w:id="55"/>
      <w:r>
        <w:rPr>
          <w:color w:val="000000"/>
        </w:rPr>
        <w:t xml:space="preserve">7.3. Поставщик гарантирует полное соответствие поставляемого Товара условиям </w:t>
      </w:r>
      <w:r>
        <w:t>Контракта</w:t>
      </w:r>
      <w:r>
        <w:rPr>
          <w:color w:val="000000"/>
        </w:rPr>
        <w:t>.</w:t>
      </w:r>
    </w:p>
    <w:p w14:paraId="6D000000">
      <w:pPr>
        <w:spacing w:after="0"/>
        <w:ind/>
        <w:rPr>
          <w:color w:val="000000"/>
        </w:rPr>
      </w:pPr>
      <w:bookmarkStart w:id="56" w:name="sub_1803"/>
      <w:bookmarkEnd w:id="56"/>
      <w:bookmarkStart w:id="57" w:name="sub_1804"/>
      <w:r>
        <w:rPr>
          <w:color w:val="000000"/>
        </w:rPr>
        <w:t xml:space="preserve">7.4. </w:t>
      </w:r>
      <w:bookmarkEnd w:id="57"/>
      <w:r>
        <w:rPr>
          <w:color w:val="000000"/>
        </w:rPr>
        <w:t xml:space="preserve">Неисправный или дефектный Товар будет возвращен Поставщику за его счет в сроки, согласованные Заказчиком (Получателем) и Поставщиком. </w:t>
      </w:r>
    </w:p>
    <w:p w14:paraId="6E000000">
      <w:pPr>
        <w:spacing w:after="0"/>
        <w:ind/>
        <w:rPr>
          <w:color w:val="000000"/>
        </w:rPr>
      </w:pPr>
      <w:r>
        <w:rPr>
          <w:color w:val="000000"/>
        </w:rPr>
        <w:t xml:space="preserve">7.5. </w:t>
      </w:r>
      <w:bookmarkStart w:id="58" w:name="sub_1805"/>
      <w:bookmarkEnd w:id="58"/>
      <w:bookmarkStart w:id="59" w:name="sub_1806"/>
      <w:r>
        <w:rPr>
          <w:color w:val="000000"/>
        </w:rPr>
        <w:t>Поставщик не несет гарантийной ответственности за неполадки и неисправности Товара, если они произошли:</w:t>
      </w:r>
      <w:bookmarkEnd w:id="59"/>
    </w:p>
    <w:p w14:paraId="6F000000">
      <w:pPr>
        <w:spacing w:after="0"/>
        <w:ind/>
        <w:rPr>
          <w:color w:val="000000"/>
        </w:rPr>
      </w:pPr>
      <w:r>
        <w:rPr>
          <w:color w:val="000000"/>
        </w:rPr>
        <w:t>а) в результате внесения Заказчиком (Получателем) или третьей стороной модификаций или изменений Товара без письменного согласия Поставщика;</w:t>
      </w:r>
    </w:p>
    <w:p w14:paraId="70000000">
      <w:pPr>
        <w:spacing w:after="0"/>
        <w:ind/>
        <w:rPr>
          <w:color w:val="000000"/>
        </w:rPr>
      </w:pPr>
      <w:bookmarkStart w:id="60" w:name="sub_1861"/>
      <w:bookmarkEnd w:id="60"/>
      <w:r>
        <w:rPr>
          <w:color w:val="000000"/>
        </w:rPr>
        <w:t>б) в результате нарушения правил эксплуатации и обслуживания Товара, предусмотренных технической и (или) эксплуатационной документацией производителя (изготовителя) Товара.</w:t>
      </w:r>
    </w:p>
    <w:p w14:paraId="71000000">
      <w:pPr>
        <w:keepNext w:val="1"/>
        <w:spacing w:before="240"/>
        <w:ind w:firstLine="0" w:left="432"/>
        <w:jc w:val="center"/>
        <w:outlineLvl w:val="0"/>
        <w:rPr>
          <w:b w:val="1"/>
          <w:color w:val="000000"/>
        </w:rPr>
      </w:pPr>
      <w:bookmarkStart w:id="61" w:name="sub_1862"/>
      <w:bookmarkEnd w:id="61"/>
      <w:bookmarkStart w:id="62" w:name="sub_1900"/>
      <w:r>
        <w:rPr>
          <w:b w:val="1"/>
          <w:color w:val="000000"/>
        </w:rPr>
        <w:t>8. Порядок расчетов</w:t>
      </w:r>
      <w:bookmarkEnd w:id="62"/>
    </w:p>
    <w:p w14:paraId="72000000">
      <w:pPr>
        <w:spacing w:after="0"/>
        <w:ind/>
        <w:rPr>
          <w:color w:val="000000"/>
        </w:rPr>
      </w:pPr>
      <w:bookmarkStart w:id="63" w:name="sub_1901"/>
      <w:r>
        <w:rPr>
          <w:color w:val="000000"/>
        </w:rPr>
        <w:t>8.1. Оплата по</w:t>
      </w:r>
      <w:r>
        <w:rPr>
          <w:color w:val="000000"/>
        </w:rPr>
        <w:t xml:space="preserve"> </w:t>
      </w:r>
      <w:r>
        <w:t xml:space="preserve">Контракту </w:t>
      </w:r>
      <w:r>
        <w:rPr>
          <w:color w:val="000000"/>
        </w:rPr>
        <w:t>осуществляется за счет</w:t>
      </w:r>
      <w:bookmarkStart w:id="64" w:name="sub_1902"/>
      <w:bookmarkEnd w:id="63"/>
      <w:r>
        <w:rPr>
          <w:color w:val="000000"/>
        </w:rPr>
        <w:t xml:space="preserve"> </w:t>
      </w:r>
      <w:r>
        <w:rPr>
          <w:b w:val="1"/>
          <w:i w:val="1"/>
          <w:color w:val="000000"/>
        </w:rPr>
        <w:t>средств бюджетных учреждений н</w:t>
      </w:r>
      <w:r>
        <w:rPr>
          <w:b w:val="1"/>
          <w:i w:val="1"/>
          <w:color w:val="000000"/>
        </w:rPr>
        <w:t>а 2026</w:t>
      </w:r>
      <w:r>
        <w:rPr>
          <w:b w:val="1"/>
          <w:i w:val="1"/>
          <w:color w:val="000000"/>
        </w:rPr>
        <w:t xml:space="preserve"> год</w:t>
      </w:r>
      <w:r>
        <w:rPr>
          <w:b w:val="1"/>
          <w:i w:val="1"/>
          <w:color w:val="000000"/>
        </w:rPr>
        <w:t>.</w:t>
      </w:r>
    </w:p>
    <w:p w14:paraId="73000000">
      <w:pPr>
        <w:spacing w:after="0"/>
        <w:ind/>
      </w:pPr>
      <w:r>
        <w:rPr>
          <w:color w:val="000000"/>
        </w:rPr>
        <w:t xml:space="preserve">8.2. Оплата по </w:t>
      </w:r>
      <w:r>
        <w:t>Контракту</w:t>
      </w:r>
      <w:r>
        <w:rPr>
          <w:color w:val="000000"/>
        </w:rPr>
        <w:t xml:space="preserve"> осуществляется в безналичном</w:t>
      </w:r>
      <w:r>
        <w:t xml:space="preserve"> порядке путем перечисления денежных средств со счета Заказчика на счет Поставщика. Датой оплаты считается дата списания денежных средств со счета Заказчика.</w:t>
      </w:r>
      <w:bookmarkEnd w:id="64"/>
    </w:p>
    <w:p w14:paraId="74000000">
      <w:pPr>
        <w:spacing w:after="0"/>
        <w:ind/>
      </w:pPr>
      <w:r>
        <w:t xml:space="preserve">Оплата по </w:t>
      </w:r>
      <w:r>
        <w:t>Контракт</w:t>
      </w:r>
      <w:r>
        <w:t>у</w:t>
      </w:r>
      <w:r>
        <w:t xml:space="preserve"> осуществляется после исполнения обязательств Поставщиком по каждому этапу поставки Товара.</w:t>
      </w:r>
    </w:p>
    <w:p w14:paraId="75000000">
      <w:pPr>
        <w:spacing w:after="0"/>
        <w:ind/>
      </w:pPr>
      <w:r>
        <w:t xml:space="preserve">8.3. </w:t>
      </w:r>
      <w:r>
        <w:t xml:space="preserve">Оплата по Контракту за поставленный Товар осуществляется Заказчиком после </w:t>
      </w:r>
      <w:r>
        <w:t xml:space="preserve">подписания Поставщиком и Заказчиком Акта </w:t>
      </w:r>
      <w:r>
        <w:t>приемки ТРУ по форме ОКУД 0510452 (Приказ Минфина от 15.04.2021 №61н),</w:t>
      </w:r>
      <w:r>
        <w:rPr>
          <w:color w:val="FF0000"/>
        </w:rPr>
        <w:t xml:space="preserve"> </w:t>
      </w:r>
      <w:r>
        <w:t>Акта приема-передачи Товара по Контракту,</w:t>
      </w:r>
      <w:r>
        <w:rPr>
          <w:color w:val="FF0000"/>
        </w:rPr>
        <w:t xml:space="preserve"> </w:t>
      </w:r>
      <w:r>
        <w:t xml:space="preserve">а также представления Поставщиком документов в день поставки товара, предусмотренных </w:t>
      </w:r>
      <w:r>
        <w:t xml:space="preserve">пунктом 5.3 </w:t>
      </w:r>
      <w:r>
        <w:t>Контракта и документов на оплату:</w:t>
      </w:r>
    </w:p>
    <w:p w14:paraId="76000000">
      <w:pPr>
        <w:spacing w:after="0"/>
        <w:ind/>
      </w:pPr>
      <w:bookmarkStart w:id="65" w:name="sub_1903"/>
      <w:bookmarkEnd w:id="65"/>
      <w:r>
        <w:t>а) счета;</w:t>
      </w:r>
    </w:p>
    <w:p w14:paraId="77000000">
      <w:pPr>
        <w:spacing w:after="0"/>
        <w:ind/>
      </w:pPr>
      <w:bookmarkStart w:id="66" w:name="sub_1931"/>
      <w:bookmarkEnd w:id="66"/>
      <w:r>
        <w:t>б) счета-фактуры;</w:t>
      </w:r>
    </w:p>
    <w:p w14:paraId="78000000">
      <w:pPr>
        <w:spacing w:after="0"/>
        <w:ind/>
      </w:pPr>
      <w:bookmarkStart w:id="67" w:name="sub_1932"/>
      <w:bookmarkEnd w:id="67"/>
      <w:r>
        <w:t>в) товарной накладной (товарных накладных, подписанных Получателями);</w:t>
      </w:r>
    </w:p>
    <w:p w14:paraId="79000000">
      <w:pPr>
        <w:spacing w:after="0"/>
        <w:ind/>
      </w:pPr>
      <w:bookmarkStart w:id="68" w:name="sub_1933"/>
      <w:bookmarkEnd w:id="68"/>
      <w:r>
        <w:t>г) Актов приема-передачи Товара (</w:t>
      </w:r>
      <w:r>
        <w:fldChar w:fldCharType="begin"/>
      </w:r>
      <w:r>
        <w:instrText>HYPERLINK \l "sub_4000"</w:instrText>
      </w:r>
      <w:r>
        <w:fldChar w:fldCharType="separate"/>
      </w:r>
      <w:r>
        <w:t>приложение N </w:t>
      </w:r>
      <w:r>
        <w:fldChar w:fldCharType="end"/>
      </w:r>
      <w:r>
        <w:t xml:space="preserve">2 к </w:t>
      </w:r>
      <w:r>
        <w:t>Контракт</w:t>
      </w:r>
      <w:r>
        <w:t>у</w:t>
      </w:r>
      <w:r>
        <w:t>), подписанных с двух сторон;</w:t>
      </w:r>
    </w:p>
    <w:p w14:paraId="7A000000">
      <w:pPr>
        <w:spacing w:after="0"/>
        <w:ind/>
      </w:pPr>
      <w:bookmarkStart w:id="69" w:name="sub_1934"/>
      <w:bookmarkEnd w:id="69"/>
      <w:bookmarkStart w:id="70" w:name="sub_1935"/>
      <w:r>
        <w:t xml:space="preserve">д) </w:t>
      </w:r>
      <w:bookmarkStart w:id="71" w:name="sub_1936"/>
      <w:bookmarkEnd w:id="70"/>
      <w:r>
        <w:t>копий регистрационных удостоверений на Товар;</w:t>
      </w:r>
      <w:bookmarkEnd w:id="71"/>
    </w:p>
    <w:p w14:paraId="7B000000">
      <w:pPr>
        <w:spacing w:after="0"/>
        <w:ind/>
      </w:pPr>
      <w:r>
        <w:t xml:space="preserve">е) электронной товарной накладной в формате </w:t>
      </w:r>
      <w:r>
        <w:t>Excel</w:t>
      </w:r>
      <w:r>
        <w:t>, на электронном носителе</w:t>
      </w:r>
    </w:p>
    <w:p w14:paraId="7C000000">
      <w:pPr>
        <w:spacing w:after="0"/>
        <w:ind/>
      </w:pPr>
      <w:bookmarkStart w:id="72" w:name="sub_1937"/>
      <w:bookmarkEnd w:id="72"/>
      <w:r>
        <w:t>ж) копии документа о соответствии товара, выданного уполномоченными органами (организациями);</w:t>
      </w:r>
    </w:p>
    <w:p w14:paraId="7D000000">
      <w:pPr>
        <w:spacing w:after="0"/>
        <w:ind/>
      </w:pPr>
      <w:r>
        <w:t>з) копии сертификата или декларации соответствия, выданного уполномоченными органами (организациями), по товарам, подлежащим обязательной сертификации;</w:t>
      </w:r>
    </w:p>
    <w:p w14:paraId="7E000000">
      <w:pPr>
        <w:spacing w:after="0"/>
        <w:ind/>
      </w:pPr>
      <w:bookmarkStart w:id="73" w:name="sub_1938"/>
      <w:r>
        <w:t xml:space="preserve">и) копии санитарно-эпидемиологического заключения на товар, выданного </w:t>
      </w:r>
      <w:r>
        <w:t>Роспотребнадзором</w:t>
      </w:r>
      <w:r>
        <w:t xml:space="preserve">  (</w:t>
      </w:r>
      <w:r>
        <w:t>по товарам, требующим указанных заключений);</w:t>
      </w:r>
      <w:bookmarkEnd w:id="73"/>
    </w:p>
    <w:p w14:paraId="7F000000">
      <w:pPr>
        <w:spacing w:after="0"/>
        <w:ind/>
      </w:pPr>
      <w:bookmarkStart w:id="74" w:name="sub_1904"/>
      <w:r>
        <w:t xml:space="preserve">8.4. </w:t>
      </w:r>
      <w:bookmarkStart w:id="75" w:name="sub_1905"/>
      <w:bookmarkEnd w:id="74"/>
      <w:r>
        <w:t xml:space="preserve">На всех документах, перечисленных в </w:t>
      </w:r>
      <w:r>
        <w:fldChar w:fldCharType="begin"/>
      </w:r>
      <w:r>
        <w:instrText>HYPERLINK \l "sub_1931"</w:instrText>
      </w:r>
      <w:r>
        <w:fldChar w:fldCharType="separate"/>
      </w:r>
      <w:r>
        <w:t>подпунктах "а"</w:t>
      </w:r>
      <w:r>
        <w:fldChar w:fldCharType="end"/>
      </w:r>
      <w:r>
        <w:t xml:space="preserve">, </w:t>
      </w:r>
      <w:r>
        <w:fldChar w:fldCharType="begin"/>
      </w:r>
      <w:r>
        <w:instrText>HYPERLINK \l "sub_1932"</w:instrText>
      </w:r>
      <w:r>
        <w:fldChar w:fldCharType="separate"/>
      </w:r>
      <w:r>
        <w:t>"б"</w:t>
      </w:r>
      <w:r>
        <w:fldChar w:fldCharType="end"/>
      </w:r>
      <w:r>
        <w:t xml:space="preserve">, </w:t>
      </w:r>
      <w:r>
        <w:fldChar w:fldCharType="begin"/>
      </w:r>
      <w:r>
        <w:instrText>HYPERLINK \l "sub_1933"</w:instrText>
      </w:r>
      <w:r>
        <w:fldChar w:fldCharType="separate"/>
      </w:r>
      <w:r>
        <w:t>"в"</w:t>
      </w:r>
      <w:r>
        <w:fldChar w:fldCharType="end"/>
      </w:r>
      <w:r>
        <w:t xml:space="preserve">, </w:t>
      </w:r>
      <w:r>
        <w:fldChar w:fldCharType="begin"/>
      </w:r>
      <w:r>
        <w:instrText>HYPERLINK \l "sub_1934"</w:instrText>
      </w:r>
      <w:r>
        <w:fldChar w:fldCharType="separate"/>
      </w:r>
      <w:r>
        <w:t>"г"</w:t>
      </w:r>
      <w:r>
        <w:fldChar w:fldCharType="end"/>
      </w:r>
      <w:r>
        <w:t xml:space="preserve">, </w:t>
      </w:r>
      <w:r>
        <w:fldChar w:fldCharType="begin"/>
      </w:r>
      <w:r>
        <w:instrText>HYPERLINK \l "sub_1935"</w:instrText>
      </w:r>
      <w:r>
        <w:fldChar w:fldCharType="separate"/>
      </w:r>
      <w:r>
        <w:t>"е"</w:t>
      </w:r>
      <w:r>
        <w:fldChar w:fldCharType="end"/>
      </w:r>
      <w:r>
        <w:t xml:space="preserve"> пункта 8.3 </w:t>
      </w:r>
      <w:r>
        <w:t>Контракт</w:t>
      </w:r>
      <w:r>
        <w:t>а</w:t>
      </w:r>
      <w:r>
        <w:t xml:space="preserve"> обязательно должны быть указаны наименование Заказчика (Получателя), Поставщика, номер и дата </w:t>
      </w:r>
      <w:r>
        <w:t>Контракт</w:t>
      </w:r>
      <w:r>
        <w:t>а</w:t>
      </w:r>
      <w:r>
        <w:t>, даты оформления и подписания документов.</w:t>
      </w:r>
      <w:bookmarkEnd w:id="75"/>
    </w:p>
    <w:p w14:paraId="80000000">
      <w:pPr>
        <w:spacing w:after="0"/>
        <w:ind/>
      </w:pPr>
      <w:r>
        <w:t xml:space="preserve">8.5. </w:t>
      </w:r>
      <w:bookmarkStart w:id="76" w:name="sub_1906"/>
      <w:r>
        <w:t>Оплата по Контракту осуществляется по факту поставки Товара по каждому этапу поставки, предусмотренного Спецификацией (</w:t>
      </w:r>
      <w:r>
        <w:fldChar w:fldCharType="begin"/>
      </w:r>
      <w:r>
        <w:instrText>HYPERLINK \l "sub_10000"</w:instrText>
      </w:r>
      <w:r>
        <w:fldChar w:fldCharType="separate"/>
      </w:r>
      <w:r>
        <w:t>приложение N 1</w:t>
      </w:r>
      <w:r>
        <w:fldChar w:fldCharType="end"/>
      </w:r>
      <w:r>
        <w:t xml:space="preserve"> к Контракту), в течение 7-и рабочих дней с даты </w:t>
      </w:r>
      <w:r>
        <w:t xml:space="preserve">подписания Сторонами Акта </w:t>
      </w:r>
      <w:r>
        <w:t>приемки ТРУ по форме ОКУД 0510452 (Приказ Минфина от 15.04.2021 №61н),</w:t>
      </w:r>
      <w:r>
        <w:rPr>
          <w:color w:val="FF0000"/>
        </w:rPr>
        <w:t xml:space="preserve"> </w:t>
      </w:r>
      <w:r>
        <w:t xml:space="preserve">Акта приема-передачи Товара по Контракту и на основании документов, предусмотренных </w:t>
      </w:r>
      <w:r>
        <w:t xml:space="preserve">пунктом 8.3 </w:t>
      </w:r>
      <w:r>
        <w:t>Контракт.</w:t>
      </w:r>
    </w:p>
    <w:p w14:paraId="81000000">
      <w:pPr>
        <w:spacing w:after="0"/>
        <w:ind/>
      </w:pPr>
      <w:r>
        <w:t xml:space="preserve">8.6. По окончании исполнения Сторонами обязательств по </w:t>
      </w:r>
      <w:r>
        <w:t>Контракт</w:t>
      </w:r>
      <w:r>
        <w:t>у</w:t>
      </w:r>
      <w:r>
        <w:t xml:space="preserve"> в течение 10 дней, Стороны подписывают Акт сверки расчетов</w:t>
      </w:r>
      <w:r>
        <w:t xml:space="preserve"> </w:t>
      </w:r>
      <w:r>
        <w:t>(</w:t>
      </w:r>
      <w:r>
        <w:rPr>
          <w:color w:themeColor="text1" w:val="000000"/>
        </w:rPr>
        <w:fldChar w:fldCharType="begin"/>
      </w:r>
      <w:r>
        <w:rPr>
          <w:color w:themeColor="text1" w:val="000000"/>
        </w:rPr>
        <w:instrText>HYPERLINK \l "Par921" \o "                         АКТ СВЕРКИ РАСЧЕТОВ &lt;213&gt;"</w:instrText>
      </w:r>
      <w:r>
        <w:rPr>
          <w:color w:themeColor="text1" w:val="000000"/>
        </w:rPr>
        <w:fldChar w:fldCharType="separate"/>
      </w:r>
      <w:r>
        <w:rPr>
          <w:color w:themeColor="text1" w:val="000000"/>
        </w:rPr>
        <w:t>приложение</w:t>
      </w:r>
      <w:r>
        <w:rPr>
          <w:color w:themeColor="text1" w:val="000000"/>
        </w:rPr>
        <w:fldChar w:fldCharType="end"/>
      </w:r>
      <w:r>
        <w:rPr>
          <w:color w:themeColor="text1" w:val="000000"/>
        </w:rPr>
        <w:t xml:space="preserve"> </w:t>
      </w:r>
      <w:r>
        <w:t>№3 к Контракту)</w:t>
      </w:r>
      <w:r>
        <w:t>.</w:t>
      </w:r>
      <w:bookmarkEnd w:id="76"/>
    </w:p>
    <w:p w14:paraId="82000000">
      <w:pPr>
        <w:keepNext w:val="1"/>
        <w:spacing w:before="240"/>
        <w:ind w:firstLine="0" w:left="432"/>
        <w:jc w:val="center"/>
        <w:outlineLvl w:val="0"/>
        <w:rPr>
          <w:b w:val="1"/>
        </w:rPr>
      </w:pPr>
      <w:bookmarkStart w:id="77" w:name="sub_11100"/>
      <w:r>
        <w:rPr>
          <w:b w:val="1"/>
        </w:rPr>
        <w:t>9. Ответственность Сторон</w:t>
      </w:r>
      <w:bookmarkEnd w:id="77"/>
    </w:p>
    <w:p w14:paraId="83000000">
      <w:pPr>
        <w:spacing w:after="0"/>
        <w:ind/>
      </w:pPr>
      <w:r>
        <w:t xml:space="preserve">9.1. За неисполнение или ненадлежащее исполнение условий </w:t>
      </w:r>
      <w:r>
        <w:t>Контракт</w:t>
      </w:r>
      <w:r>
        <w:t>а</w:t>
      </w:r>
      <w:r>
        <w:t xml:space="preserve"> Стороны несут ответственность в соответствии с законодательством Российской Федерации.</w:t>
      </w:r>
    </w:p>
    <w:p w14:paraId="84000000">
      <w:pPr>
        <w:spacing w:after="0"/>
        <w:ind/>
      </w:pPr>
      <w:r>
        <w:t xml:space="preserve">9.2. В случае просрочки исполнения Заказчиком обязательств, предусмотренных </w:t>
      </w:r>
      <w:r>
        <w:t>Контракт</w:t>
      </w:r>
      <w:r>
        <w:t>ом</w:t>
      </w:r>
      <w:r>
        <w:t xml:space="preserve">, а также в иных случаях неисполнения или ненадлежащего исполнения Заказчиком обязательств, предусмотренных </w:t>
      </w:r>
      <w:r>
        <w:t>Контракт</w:t>
      </w:r>
      <w:r>
        <w:t>ом</w:t>
      </w:r>
      <w:r>
        <w:t>, Поставщик вправе потребовать уплаты неустоек (штрафов, пеней).</w:t>
      </w:r>
    </w:p>
    <w:p w14:paraId="85000000">
      <w:pPr>
        <w:spacing w:after="0"/>
        <w:ind/>
      </w:pPr>
      <w:r>
        <w:t xml:space="preserve">9.3. Пеня начисляется за каждый день просрочки исполнения Заказчиком обязательства, предусмотренного </w:t>
      </w:r>
      <w:r>
        <w:t>Контракт</w:t>
      </w:r>
      <w:r>
        <w:t>ом</w:t>
      </w:r>
      <w:r>
        <w:t xml:space="preserve">, начиная со дня, следующего после дня истечения установленного </w:t>
      </w:r>
      <w:r>
        <w:t>Контракт</w:t>
      </w:r>
      <w:r>
        <w:t>ом</w:t>
      </w:r>
      <w:r>
        <w:t xml:space="preserve"> срока исполнения обязательства. При этом размер пени устанавливается в размере одной трехсотой действующей на дату уплаты пеней ключевой ставки Центрального банка Российской Федерации от неуплаченной в срок суммы.</w:t>
      </w:r>
    </w:p>
    <w:p w14:paraId="86000000">
      <w:pPr>
        <w:spacing w:after="0"/>
        <w:ind/>
      </w:pPr>
      <w:r>
        <w:t xml:space="preserve">9.4.  За каждый факт неисполнения Заказчиком обязательств, предусмотренных </w:t>
      </w:r>
      <w:r>
        <w:t>Контракт</w:t>
      </w:r>
      <w:r>
        <w:t>ом</w:t>
      </w:r>
      <w:r>
        <w:t xml:space="preserve">, за исключением просрочки исполнения обязательств, предусмотренных </w:t>
      </w:r>
      <w:r>
        <w:t>Контракт</w:t>
      </w:r>
      <w:r>
        <w:t>ом</w:t>
      </w:r>
      <w:r>
        <w:t>, Поставщик вправе взыскать с Заказчика штраф в следующем порядке:</w:t>
      </w:r>
    </w:p>
    <w:p w14:paraId="87000000">
      <w:pPr>
        <w:spacing w:after="0"/>
        <w:ind/>
      </w:pPr>
      <w:r>
        <w:t xml:space="preserve">а) 1000 рублей, если цена </w:t>
      </w:r>
      <w:r>
        <w:t>Контракт</w:t>
      </w:r>
      <w:r>
        <w:t>а</w:t>
      </w:r>
      <w:r>
        <w:t xml:space="preserve"> не превышает 3 млн. рублей (включительно);</w:t>
      </w:r>
    </w:p>
    <w:p w14:paraId="88000000">
      <w:pPr>
        <w:spacing w:after="0"/>
        <w:ind/>
      </w:pPr>
      <w:r>
        <w:t xml:space="preserve">9.5 Общая сумма штрафов за ненадлежащее исполнение Заказчиком обязательств, предусмотренных </w:t>
      </w:r>
      <w:r>
        <w:t>Контракт</w:t>
      </w:r>
      <w:r>
        <w:t>ом</w:t>
      </w:r>
      <w:r>
        <w:t xml:space="preserve">, не может превышать цену </w:t>
      </w:r>
      <w:r>
        <w:t>Контракт</w:t>
      </w:r>
      <w:r>
        <w:t>а</w:t>
      </w:r>
      <w:r>
        <w:t>.</w:t>
      </w:r>
    </w:p>
    <w:p w14:paraId="89000000">
      <w:pPr>
        <w:spacing w:after="0"/>
        <w:ind/>
      </w:pPr>
      <w:r>
        <w:t xml:space="preserve">9.6. В случае просрочки исполнения Поставщиком обязательств, предусмотренных </w:t>
      </w:r>
      <w:r>
        <w:t>Контракт</w:t>
      </w:r>
      <w:r>
        <w:t>ом</w:t>
      </w:r>
      <w:r>
        <w:t xml:space="preserve">, а также в иных случаях неисполнения или ненадлежащего исполнения Поставщиком обязательств, предусмотренных </w:t>
      </w:r>
      <w:r>
        <w:t>Контракт</w:t>
      </w:r>
      <w:r>
        <w:t>ом</w:t>
      </w:r>
      <w:r>
        <w:t>, Заказчик направляет Поставщику требование об уплате неустоек (штрафов, пеней).</w:t>
      </w:r>
    </w:p>
    <w:p w14:paraId="8A000000">
      <w:pPr>
        <w:spacing w:after="0"/>
        <w:ind/>
      </w:pPr>
      <w:r>
        <w:t xml:space="preserve">9.7. Пеня начисляется за каждый день просрочки исполнения Поставщиком обязательства, предусмотренного </w:t>
      </w:r>
      <w:r>
        <w:t>Контракт</w:t>
      </w:r>
      <w:r>
        <w:t>ом</w:t>
      </w:r>
      <w:r>
        <w:t xml:space="preserve">, начиная со дня, следующего после дня истечения установленного </w:t>
      </w:r>
      <w:r>
        <w:t>Контракт</w:t>
      </w:r>
      <w:r>
        <w:t>ом</w:t>
      </w:r>
      <w:r>
        <w:t xml:space="preserve"> срока исполнения обязательства, и устанавливается </w:t>
      </w:r>
      <w:r>
        <w:t>Контракт</w:t>
      </w:r>
      <w:r>
        <w:t>ом</w:t>
      </w:r>
      <w:r>
        <w:t xml:space="preserve"> в размере одной трехсотой действующей на дату уплаты пени ключевой ставки Центрального банка Российской Федерации от цены</w:t>
      </w:r>
      <w:r>
        <w:t xml:space="preserve"> </w:t>
      </w:r>
      <w:r>
        <w:t>Контракт</w:t>
      </w:r>
      <w:r>
        <w:t>а</w:t>
      </w:r>
      <w:r>
        <w:t xml:space="preserve">, уменьшенной на сумму, пропорциональную объему обязательств, предусмотренных </w:t>
      </w:r>
      <w:r>
        <w:t>Контракт</w:t>
      </w:r>
      <w:r>
        <w:t>ом</w:t>
      </w:r>
      <w:r>
        <w:t xml:space="preserve"> и фактически исполненных Поставщиком, за исключением случаев, если законодательством Российской Федерации установлен иной порядок начисления пени.</w:t>
      </w:r>
    </w:p>
    <w:p w14:paraId="8B000000">
      <w:pPr>
        <w:spacing w:after="0"/>
        <w:ind/>
      </w:pPr>
      <w:r>
        <w:t xml:space="preserve">9.8. За каждый факт неисполнения или ненадлежащего исполнения Поставщиком обязательств, предусмотренных </w:t>
      </w:r>
      <w:r>
        <w:t>Контракто</w:t>
      </w:r>
      <w:r>
        <w:t>м</w:t>
      </w:r>
      <w:r>
        <w:t>, за исключением просрочки исполнения обязательств (в том числе гарантийного обязательства), предусмотренных</w:t>
      </w:r>
      <w:r>
        <w:t xml:space="preserve"> </w:t>
      </w:r>
      <w:r>
        <w:t>Контракт</w:t>
      </w:r>
      <w:r>
        <w:t>ом</w:t>
      </w:r>
      <w:r>
        <w:t>, Поставщик выплачивает Заказчику штраф в следующем порядке:</w:t>
      </w:r>
    </w:p>
    <w:p w14:paraId="8C000000">
      <w:pPr>
        <w:spacing w:after="0"/>
        <w:ind/>
      </w:pPr>
      <w:r>
        <w:t xml:space="preserve">а) 10 процентов цены </w:t>
      </w:r>
      <w:r>
        <w:t>Контракт</w:t>
      </w:r>
      <w:r>
        <w:t>а</w:t>
      </w:r>
      <w:r>
        <w:t xml:space="preserve"> (этапа) в случае, если цена </w:t>
      </w:r>
      <w:r>
        <w:t>Контракт</w:t>
      </w:r>
      <w:r>
        <w:t>а</w:t>
      </w:r>
      <w:r>
        <w:t xml:space="preserve"> (этапа) не превышает 3 млн. рублей;</w:t>
      </w:r>
    </w:p>
    <w:p w14:paraId="8D000000">
      <w:pPr>
        <w:spacing w:after="0"/>
        <w:ind/>
      </w:pPr>
      <w:r>
        <w:t xml:space="preserve">9.9. За каждый факт неисполнения или ненадлежащего исполнения Поставщиком обязательства, предусмотренного </w:t>
      </w:r>
      <w:r>
        <w:t>Контракт</w:t>
      </w:r>
      <w:r>
        <w:t>ом</w:t>
      </w:r>
      <w:r>
        <w:t>, которое не имеет стоимостного выражения, Поставщик выплачивает Заказчику штраф в следующем порядке:</w:t>
      </w:r>
    </w:p>
    <w:p w14:paraId="8E000000">
      <w:pPr>
        <w:spacing w:after="0"/>
        <w:ind/>
      </w:pPr>
      <w:r>
        <w:t xml:space="preserve">а) 1000 рублей, если цена </w:t>
      </w:r>
      <w:r>
        <w:t>Контракт</w:t>
      </w:r>
      <w:r>
        <w:t>а</w:t>
      </w:r>
      <w:r>
        <w:t xml:space="preserve"> не превышает 3 млн. рублей;</w:t>
      </w:r>
    </w:p>
    <w:p w14:paraId="8F000000">
      <w:pPr>
        <w:spacing w:after="0"/>
        <w:ind/>
      </w:pPr>
      <w:r>
        <w:t xml:space="preserve">9.10. Общая сумма начисленных штрафов за неисполнение или ненадлежащее исполнение Поставщиком обязательств, предусмотренных </w:t>
      </w:r>
      <w:r>
        <w:t>Контракт</w:t>
      </w:r>
      <w:r>
        <w:t>ом</w:t>
      </w:r>
      <w:r>
        <w:t>, не может превышать цену</w:t>
      </w:r>
      <w:r>
        <w:t xml:space="preserve"> </w:t>
      </w:r>
      <w:r>
        <w:t>Контракт</w:t>
      </w:r>
      <w:r>
        <w:t>а</w:t>
      </w:r>
      <w:r>
        <w:t>.</w:t>
      </w:r>
    </w:p>
    <w:p w14:paraId="90000000">
      <w:pPr>
        <w:spacing w:after="0"/>
        <w:ind/>
      </w:pPr>
      <w:r>
        <w:t>9.11. Поставщик не имеет права на получение с Заказчика предусмотренных ст.317.1. ГК РФ процентов за пользование суммой отсрочки оплаты.</w:t>
      </w:r>
    </w:p>
    <w:p w14:paraId="91000000">
      <w:pPr>
        <w:keepNext w:val="1"/>
        <w:spacing w:before="240"/>
        <w:ind w:firstLine="0" w:left="432"/>
        <w:jc w:val="center"/>
        <w:outlineLvl w:val="0"/>
        <w:rPr>
          <w:b w:val="1"/>
        </w:rPr>
      </w:pPr>
      <w:bookmarkStart w:id="78" w:name="sub_11172"/>
      <w:bookmarkEnd w:id="78"/>
      <w:bookmarkStart w:id="79" w:name="sub_11200"/>
      <w:r>
        <w:rPr>
          <w:b w:val="1"/>
        </w:rPr>
        <w:t xml:space="preserve">10. Срок действия </w:t>
      </w:r>
      <w:r>
        <w:rPr>
          <w:b w:val="1"/>
        </w:rPr>
        <w:t>Контракт</w:t>
      </w:r>
      <w:r>
        <w:rPr>
          <w:b w:val="1"/>
        </w:rPr>
        <w:t>а</w:t>
      </w:r>
      <w:r>
        <w:rPr>
          <w:b w:val="1"/>
        </w:rPr>
        <w:t xml:space="preserve">, изменение и расторжение </w:t>
      </w:r>
      <w:bookmarkEnd w:id="79"/>
      <w:r>
        <w:rPr>
          <w:b w:val="1"/>
        </w:rPr>
        <w:t>Контракт</w:t>
      </w:r>
      <w:r>
        <w:rPr>
          <w:b w:val="1"/>
        </w:rPr>
        <w:t>а</w:t>
      </w:r>
    </w:p>
    <w:p w14:paraId="92000000">
      <w:pPr>
        <w:spacing w:after="0"/>
        <w:ind/>
      </w:pPr>
      <w:r>
        <w:t xml:space="preserve">10.1. </w:t>
      </w:r>
      <w:r>
        <w:t xml:space="preserve">Контракт вступает в силу с момента подписания и действует до 01.12.2026. Окончание срока действия Контракта влечет прекращение обязательств сторон по Контракту с 01.12.2026, за исключением обязательств по </w:t>
      </w:r>
      <w:r>
        <w:t>оплате, возникших на 30.11.2026 г</w:t>
      </w:r>
      <w:r>
        <w:t>.</w:t>
      </w:r>
    </w:p>
    <w:p w14:paraId="93000000">
      <w:pPr>
        <w:pStyle w:val="Style_6"/>
        <w:rPr>
          <w:sz w:val="24"/>
        </w:rPr>
      </w:pPr>
      <w:bookmarkStart w:id="80" w:name="sub_11201"/>
      <w:r>
        <w:rPr>
          <w:sz w:val="24"/>
        </w:rPr>
        <w:t>10</w:t>
      </w:r>
      <w:r>
        <w:rPr>
          <w:rFonts w:ascii="Times New Roman" w:hAnsi="Times New Roman"/>
          <w:sz w:val="24"/>
        </w:rPr>
        <w:t xml:space="preserve">.2. Настоящий </w:t>
      </w:r>
      <w:r>
        <w:t>Контракт</w:t>
      </w:r>
      <w:r>
        <w:rPr>
          <w:rFonts w:ascii="Times New Roman" w:hAnsi="Times New Roman"/>
          <w:sz w:val="24"/>
        </w:rPr>
        <w:t>, может быть, расторгнут по решению суда, по соглашению сторон, либо в одностороннем порядке одной из сторон по основаниям, предусмотренным действующим законодательством РФ.</w:t>
      </w:r>
      <w:bookmarkStart w:id="81" w:name="sub_11202"/>
      <w:bookmarkEnd w:id="80"/>
    </w:p>
    <w:p w14:paraId="94000000">
      <w:pPr>
        <w:spacing w:after="200" w:line="276" w:lineRule="auto"/>
        <w:ind/>
      </w:pPr>
      <w:r>
        <w:t xml:space="preserve">10.3. Все изменения </w:t>
      </w:r>
      <w:r>
        <w:t>Контракт</w:t>
      </w:r>
      <w:r>
        <w:t>а</w:t>
      </w:r>
      <w:r>
        <w:t xml:space="preserve"> должны быть совершены в письменном виде и оформлены дополнительными соглашениями </w:t>
      </w:r>
      <w:r>
        <w:t>к Контракту</w:t>
      </w:r>
      <w:r>
        <w:t>.</w:t>
      </w:r>
    </w:p>
    <w:p w14:paraId="95000000">
      <w:pPr>
        <w:keepNext w:val="1"/>
        <w:spacing w:before="240"/>
        <w:ind w:firstLine="0" w:left="432"/>
        <w:jc w:val="center"/>
        <w:outlineLvl w:val="0"/>
        <w:rPr>
          <w:b w:val="1"/>
        </w:rPr>
      </w:pPr>
      <w:bookmarkStart w:id="82" w:name="sub_11300"/>
      <w:bookmarkEnd w:id="81"/>
      <w:r>
        <w:rPr>
          <w:b w:val="1"/>
        </w:rPr>
        <w:t>11. Исключительные права</w:t>
      </w:r>
      <w:bookmarkEnd w:id="82"/>
    </w:p>
    <w:p w14:paraId="96000000">
      <w:r>
        <w:t xml:space="preserve">11.1. Поставщик гарантирует отсутствие нарушения исключительных прав третьих лиц, связанных с поставкой и использованием Товара в рамках </w:t>
      </w:r>
      <w:r>
        <w:t>Контракт</w:t>
      </w:r>
      <w:r>
        <w:t>а</w:t>
      </w:r>
      <w:r>
        <w:t>.</w:t>
      </w:r>
    </w:p>
    <w:p w14:paraId="97000000">
      <w:bookmarkStart w:id="83" w:name="sub_11301"/>
      <w:bookmarkEnd w:id="83"/>
      <w:r>
        <w:t>11.2. Все убытки, понесенные Заказчиком при нарушении исключительных прав третьих лиц при использовании Товара, включая судебные расходы и материальный ущерб, возмещаются Поставщиком.</w:t>
      </w:r>
    </w:p>
    <w:p w14:paraId="98000000">
      <w:pPr>
        <w:keepNext w:val="1"/>
        <w:spacing w:before="240"/>
        <w:ind/>
        <w:jc w:val="center"/>
        <w:outlineLvl w:val="0"/>
        <w:rPr>
          <w:b w:val="1"/>
        </w:rPr>
      </w:pPr>
      <w:bookmarkStart w:id="84" w:name="sub_11302"/>
      <w:bookmarkEnd w:id="84"/>
      <w:bookmarkStart w:id="85" w:name="sub_11400"/>
      <w:r>
        <w:rPr>
          <w:b w:val="1"/>
        </w:rPr>
        <w:t>12. Обстоятельства непреодолимой силы</w:t>
      </w:r>
      <w:bookmarkEnd w:id="85"/>
    </w:p>
    <w:p w14:paraId="99000000">
      <w:r>
        <w:t xml:space="preserve">12.1. Стороны освобождаются от ответственности за полное или частичное неисполнение своих обязательств по </w:t>
      </w:r>
      <w:r>
        <w:t>Контракт</w:t>
      </w:r>
      <w:r>
        <w:t>у</w:t>
      </w:r>
      <w:r>
        <w:t>, если их неисполнение явилось следствием обстоятельств непреодолимой силы.</w:t>
      </w:r>
    </w:p>
    <w:p w14:paraId="9A000000">
      <w:bookmarkStart w:id="86" w:name="sub_11401"/>
      <w:bookmarkEnd w:id="86"/>
      <w:r>
        <w:t>12.2. Под обстоятельствами непреодолимой силы понимают такие обстоятельства, ко</w:t>
      </w:r>
      <w:r>
        <w:t>торые возникли после заключения Контракт</w:t>
      </w:r>
      <w:r>
        <w:t xml:space="preserve">а </w:t>
      </w:r>
      <w:r>
        <w:t xml:space="preserve">в результате непредвиденных и непредотвратимых событий, неподвластных Сторонам, включая, но не ограничиваясь: пожар, наводнение, землетрясение, другие стихийные бедствия, запрещение властей, террористический акт при условии, что эти обстоятельства оказывают воздействие на выполнение обязательств по </w:t>
      </w:r>
      <w:r>
        <w:t>Контракт</w:t>
      </w:r>
      <w:r>
        <w:t xml:space="preserve">у </w:t>
      </w:r>
      <w:r>
        <w:t>и подтверждены соответствующими уполномоченными органами.</w:t>
      </w:r>
    </w:p>
    <w:p w14:paraId="9B000000">
      <w:bookmarkStart w:id="87" w:name="sub_11402"/>
      <w:bookmarkEnd w:id="87"/>
      <w:r>
        <w:t>12.3. Сторона, у которой возникли обстоятельства непреодолимой силы, обязана в течение 10 (десяти) дней письменно информировать другую Сторону о случившемся и его причинах.</w:t>
      </w:r>
    </w:p>
    <w:p w14:paraId="9C000000">
      <w:bookmarkStart w:id="88" w:name="sub_11403"/>
      <w:bookmarkEnd w:id="88"/>
      <w:bookmarkStart w:id="89" w:name="sub_11404"/>
      <w:r>
        <w:t xml:space="preserve">12.4. Если, по мнению Сторон, исполнение </w:t>
      </w:r>
      <w:r>
        <w:t>Контракт</w:t>
      </w:r>
      <w:r>
        <w:t>а</w:t>
      </w:r>
      <w:r>
        <w:t xml:space="preserve"> может быть продолжено в порядке, действовавшем до возникновения обстоятельств непреодолимой силы, то срок исполнения обязательств по </w:t>
      </w:r>
      <w:r>
        <w:t>Контракт</w:t>
      </w:r>
      <w:r>
        <w:t xml:space="preserve">у </w:t>
      </w:r>
      <w:r>
        <w:t>продлевается соразмерно времени, которое необходимо для учета действия этих обстоятельств и их последствий.</w:t>
      </w:r>
      <w:bookmarkEnd w:id="89"/>
    </w:p>
    <w:p w14:paraId="9D000000">
      <w:pPr>
        <w:keepNext w:val="1"/>
        <w:spacing w:before="240"/>
        <w:ind w:firstLine="0" w:left="432"/>
        <w:jc w:val="center"/>
        <w:outlineLvl w:val="0"/>
        <w:rPr>
          <w:b w:val="1"/>
        </w:rPr>
      </w:pPr>
      <w:r>
        <w:rPr>
          <w:b w:val="1"/>
        </w:rPr>
        <w:t>13. Уведомления</w:t>
      </w:r>
    </w:p>
    <w:p w14:paraId="9E000000">
      <w:pPr>
        <w:spacing w:after="0"/>
        <w:ind/>
      </w:pPr>
      <w:bookmarkStart w:id="90" w:name="sub_11501"/>
      <w:r>
        <w:t xml:space="preserve">13.1. </w:t>
      </w:r>
      <w:bookmarkStart w:id="91" w:name="sub_11502"/>
      <w:bookmarkEnd w:id="90"/>
      <w:r>
        <w:t xml:space="preserve">Все изменения и дополнения к настоящему </w:t>
      </w:r>
      <w:r>
        <w:t>Контракт</w:t>
      </w:r>
      <w:r>
        <w:t xml:space="preserve">у </w:t>
      </w:r>
      <w:r>
        <w:t>имеют силу только</w:t>
      </w:r>
      <w:r>
        <w:br/>
      </w:r>
      <w:r>
        <w:t>в случае, если они оформлены в письменной форме и подписаны</w:t>
      </w:r>
      <w:r>
        <w:br/>
      </w:r>
      <w:r>
        <w:t>уполномоченными представителями сторон.</w:t>
      </w:r>
      <w:bookmarkEnd w:id="91"/>
    </w:p>
    <w:p w14:paraId="9F000000">
      <w:pPr>
        <w:spacing w:after="0"/>
        <w:ind/>
        <w:rPr>
          <w:spacing w:val="-5"/>
        </w:rPr>
      </w:pPr>
    </w:p>
    <w:p w14:paraId="A0000000">
      <w:pPr>
        <w:spacing w:after="0" w:line="276" w:lineRule="auto"/>
        <w:ind/>
        <w:jc w:val="center"/>
        <w:rPr>
          <w:b w:val="1"/>
        </w:rPr>
      </w:pPr>
      <w:r>
        <w:rPr>
          <w:b w:val="1"/>
        </w:rPr>
        <w:t>14. Порядок разрешения споров, претензии Сторон</w:t>
      </w:r>
    </w:p>
    <w:p w14:paraId="A1000000">
      <w:pPr>
        <w:spacing w:after="0"/>
        <w:ind/>
      </w:pPr>
      <w:r>
        <w:t xml:space="preserve">14.1. Все споры и разногласия, которые могут возникнуть из настоящего </w:t>
      </w:r>
      <w:r>
        <w:t>Контракт</w:t>
      </w:r>
      <w:r>
        <w:t xml:space="preserve">а </w:t>
      </w:r>
      <w:r>
        <w:t>между Сторонами, разрешаются путем переговоров.</w:t>
      </w:r>
    </w:p>
    <w:p w14:paraId="A2000000">
      <w:pPr>
        <w:spacing w:after="0"/>
        <w:ind/>
      </w:pPr>
      <w:r>
        <w:t>14.2. В случае невозможности разрешения разногласий путем переговоров, они решаются в претензионном порядке. Срок ответа на претензию – 10 календарных дней.</w:t>
      </w:r>
    </w:p>
    <w:p w14:paraId="A3000000">
      <w:pPr>
        <w:spacing w:after="0"/>
        <w:ind/>
      </w:pPr>
      <w:r>
        <w:t>14.3. Переписка Сторон может осуществляться в виде письма или телеграммы, а в случаях направления телекса, факса, иного электронного сообщения с последующим предоставлением оригинала документа.</w:t>
      </w:r>
    </w:p>
    <w:p w14:paraId="A4000000">
      <w:pPr>
        <w:spacing w:after="0"/>
        <w:ind/>
      </w:pPr>
      <w:r>
        <w:t>14.4. При не урегулировании Сторонами спора в досудебном порядке, спор передается на разрешении в Арбитражный суд Ростовской области.</w:t>
      </w:r>
    </w:p>
    <w:p w14:paraId="A5000000">
      <w:pPr>
        <w:pStyle w:val="Style_6"/>
      </w:pPr>
    </w:p>
    <w:p w14:paraId="A6000000">
      <w:pPr>
        <w:tabs>
          <w:tab w:leader="none" w:pos="720" w:val="left"/>
        </w:tabs>
        <w:spacing w:after="0" w:line="276" w:lineRule="auto"/>
        <w:ind w:hanging="360" w:left="360"/>
        <w:jc w:val="center"/>
        <w:rPr>
          <w:b w:val="1"/>
        </w:rPr>
      </w:pPr>
      <w:r>
        <w:rPr>
          <w:b w:val="1"/>
        </w:rPr>
        <w:t>15. Прочие условия.</w:t>
      </w:r>
    </w:p>
    <w:p w14:paraId="A7000000">
      <w:pPr>
        <w:spacing w:after="0"/>
        <w:ind/>
      </w:pPr>
      <w:r>
        <w:t xml:space="preserve">15.1. Настоящий </w:t>
      </w:r>
      <w:r>
        <w:t>Контракт</w:t>
      </w:r>
      <w:r>
        <w:t xml:space="preserve"> </w:t>
      </w:r>
      <w:r>
        <w:t>составлен в 2 (двух) экземплярах, один из которых находится у Исполнителя, другой – у Заказчика.</w:t>
      </w:r>
    </w:p>
    <w:p w14:paraId="A8000000">
      <w:pPr>
        <w:spacing w:after="0"/>
        <w:ind/>
      </w:pPr>
      <w:r>
        <w:t xml:space="preserve">15.2. Стороны обязуются соблюдать применимое законодательство по противодействию коррупции и противодействию легализации (отмыванию) доходов, полученных преступным путем, включая, помимо прочего, любые и </w:t>
      </w:r>
      <w:r>
        <w:t>все следующие законы</w:t>
      </w:r>
      <w:r>
        <w:t xml:space="preserve"> и постановления, принятые во исполнение таких законов (с учетом изменений и дополнений, периодически вносимых в такие законодательные акты) («Антикоррупционное законодательство»):</w:t>
      </w:r>
    </w:p>
    <w:p w14:paraId="A9000000">
      <w:pPr>
        <w:spacing w:after="0"/>
        <w:ind/>
      </w:pPr>
      <w:r>
        <w:t>(a)Федеральный закон № 273-ФЗ от 25 декабря 2008 г. «О противодействии коррупции».</w:t>
      </w:r>
    </w:p>
    <w:p w14:paraId="AA000000">
      <w:pPr>
        <w:spacing w:after="0"/>
        <w:ind/>
      </w:pPr>
      <w:r>
        <w:t>(b)Федеральный закон от 7 августа 2001 г. N 115-ФЗ «О противодействии легализации (отмыванию) доходов, полученных преступным путем, и финансированию терроризма».</w:t>
      </w:r>
    </w:p>
    <w:p w14:paraId="AB000000">
      <w:pPr>
        <w:spacing w:after="0"/>
        <w:ind/>
      </w:pPr>
      <w:r>
        <w:t>15.3. При исполнении своих обязательств Стороны, их аффилированные лица, работники или посредники обязуются не совершать каких-либо действий (отказываются от бездействия), которые противоречат требованиям Антикоррупционного законодательства, в том числе, воздерживаются от прямого или косвенного, лично или через третьих лип предложения, обещания, дачи, вымогательства, просьбы, согласия получить, и получения взяток в любой форме (в том числе, в форме денежных средств, иных ценностей, имущества, имущественных прав или иной материальной и/или нематериальной выгоды) в пользу или от каких-либо лиц для оказания влияния на их действия или решения с целью получения любых неправомерных преимуществ или с иной неправомерной целью.</w:t>
      </w:r>
    </w:p>
    <w:p w14:paraId="AC000000">
      <w:pPr>
        <w:spacing w:after="0"/>
        <w:ind/>
      </w:pPr>
      <w:r>
        <w:t xml:space="preserve">15.4. При выявлении одной из Сторон случаев личной заинтересованности аффилированных лиц или работников Сторон, приводящей или могущей привести к конфликту интересов той или иной стороны настоящего </w:t>
      </w:r>
      <w:r>
        <w:t>Контракт</w:t>
      </w:r>
      <w:r>
        <w:t>а</w:t>
      </w:r>
      <w:r>
        <w:t>, она обязуется в письменной форме уведомить об этих нарушениях другую Сторону.</w:t>
      </w:r>
    </w:p>
    <w:p w14:paraId="AD000000">
      <w:pPr>
        <w:spacing w:after="0"/>
        <w:ind/>
      </w:pPr>
      <w:bookmarkStart w:id="92" w:name="sub_11704"/>
      <w:r>
        <w:t xml:space="preserve">16. Приложения к </w:t>
      </w:r>
      <w:r>
        <w:t>Контракт</w:t>
      </w:r>
      <w:r>
        <w:t xml:space="preserve">у </w:t>
      </w:r>
      <w:r>
        <w:t>являются его неотъемлемой частью.</w:t>
      </w:r>
      <w:bookmarkEnd w:id="92"/>
    </w:p>
    <w:p w14:paraId="AE000000">
      <w:pPr>
        <w:spacing w:after="0"/>
        <w:ind/>
      </w:pPr>
      <w:r>
        <w:t xml:space="preserve">Приложения к </w:t>
      </w:r>
      <w:r>
        <w:t>Контракт</w:t>
      </w:r>
      <w:r>
        <w:t>у</w:t>
      </w:r>
      <w:r>
        <w:t>:</w:t>
      </w:r>
    </w:p>
    <w:p w14:paraId="AF000000">
      <w:pPr>
        <w:spacing w:after="0"/>
        <w:ind/>
      </w:pPr>
      <w:r>
        <w:fldChar w:fldCharType="begin"/>
      </w:r>
      <w:r>
        <w:instrText>HYPERLINK \l "sub_10000"</w:instrText>
      </w:r>
      <w:r>
        <w:fldChar w:fldCharType="separate"/>
      </w:r>
      <w:r>
        <w:t>Приложение N 1</w:t>
      </w:r>
      <w:r>
        <w:fldChar w:fldCharType="end"/>
      </w:r>
      <w:r>
        <w:t xml:space="preserve"> - Спецификация;</w:t>
      </w:r>
    </w:p>
    <w:p w14:paraId="B0000000">
      <w:pPr>
        <w:spacing w:after="0"/>
        <w:ind/>
      </w:pPr>
      <w:r>
        <w:t>Приложение N 2</w:t>
      </w:r>
      <w:r>
        <w:t xml:space="preserve"> - Акт приема-передачи Товара </w:t>
      </w:r>
    </w:p>
    <w:p w14:paraId="B1000000">
      <w:pPr>
        <w:spacing w:after="0"/>
        <w:ind/>
      </w:pPr>
      <w:r>
        <w:t>Приложение № 3 - Акт сверки расчетов</w:t>
      </w:r>
    </w:p>
    <w:p w14:paraId="B2000000">
      <w:pPr>
        <w:rPr>
          <w:b w:val="1"/>
        </w:rPr>
      </w:pPr>
    </w:p>
    <w:p w14:paraId="B3000000">
      <w:pPr>
        <w:rPr>
          <w:b w:val="1"/>
        </w:rPr>
      </w:pPr>
    </w:p>
    <w:p w14:paraId="B4000000">
      <w:pPr>
        <w:rPr>
          <w:b w:val="1"/>
        </w:rPr>
      </w:pPr>
    </w:p>
    <w:p w14:paraId="B5000000">
      <w:pPr>
        <w:rPr>
          <w:b w:val="1"/>
        </w:rPr>
      </w:pPr>
    </w:p>
    <w:p w14:paraId="B6000000">
      <w:pPr>
        <w:rPr>
          <w:b w:val="1"/>
        </w:rPr>
      </w:pPr>
    </w:p>
    <w:p w14:paraId="B7000000">
      <w:pPr>
        <w:rPr>
          <w:b w:val="1"/>
        </w:rPr>
      </w:pPr>
    </w:p>
    <w:p w14:paraId="B8000000">
      <w:pPr>
        <w:rPr>
          <w:b w:val="1"/>
        </w:rPr>
      </w:pPr>
    </w:p>
    <w:p w14:paraId="B9000000">
      <w:pPr>
        <w:rPr>
          <w:b w:val="1"/>
        </w:rPr>
      </w:pPr>
    </w:p>
    <w:p w14:paraId="BA000000">
      <w:pPr>
        <w:ind/>
        <w:jc w:val="center"/>
        <w:rPr>
          <w:b w:val="1"/>
        </w:rPr>
      </w:pPr>
    </w:p>
    <w:p w14:paraId="BB000000">
      <w:pPr>
        <w:ind/>
        <w:jc w:val="center"/>
        <w:rPr>
          <w:b w:val="1"/>
        </w:rPr>
      </w:pPr>
    </w:p>
    <w:p w14:paraId="BC000000">
      <w:pPr>
        <w:ind/>
        <w:jc w:val="center"/>
        <w:rPr>
          <w:b w:val="1"/>
        </w:rPr>
      </w:pPr>
    </w:p>
    <w:p w14:paraId="BD000000">
      <w:pPr>
        <w:ind/>
        <w:jc w:val="center"/>
        <w:rPr>
          <w:b w:val="1"/>
        </w:rPr>
      </w:pPr>
      <w:r>
        <w:rPr>
          <w:b w:val="1"/>
        </w:rPr>
        <w:t>17. Юридические адреса и реквизиты сторон</w:t>
      </w:r>
    </w:p>
    <w:tbl>
      <w:tblPr>
        <w:tblStyle w:val="Style_7"/>
        <w:tblW w:type="auto" w:w="0"/>
        <w:tblInd w:type="dxa" w:w="25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4594"/>
        <w:gridCol w:w="5067"/>
      </w:tblGrid>
      <w:tr>
        <w:trPr>
          <w:trHeight w:hRule="atLeast" w:val="390"/>
        </w:trPr>
        <w:tc>
          <w:tcPr>
            <w:tcW w:type="dxa" w:w="45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E000000">
            <w:pPr>
              <w:spacing w:after="0"/>
              <w:ind/>
              <w:jc w:val="center"/>
              <w:rPr>
                <w:b w:val="1"/>
              </w:rPr>
            </w:pPr>
            <w:r>
              <w:rPr>
                <w:b w:val="1"/>
              </w:rPr>
              <w:t>«Заказчик»</w:t>
            </w:r>
          </w:p>
          <w:p w14:paraId="BF000000">
            <w:pPr>
              <w:widowControl w:val="0"/>
              <w:tabs>
                <w:tab w:leader="none" w:pos="708" w:val="left"/>
                <w:tab w:leader="none" w:pos="4677" w:val="center"/>
                <w:tab w:leader="none" w:pos="9355" w:val="right"/>
              </w:tabs>
              <w:spacing w:after="0"/>
              <w:ind/>
              <w:jc w:val="left"/>
              <w:rPr>
                <w:b w:val="1"/>
                <w:color w:val="000000"/>
              </w:rPr>
            </w:pPr>
            <w:r>
              <w:rPr>
                <w:b w:val="1"/>
                <w:color w:val="000000"/>
              </w:rPr>
              <w:t xml:space="preserve">ФГБОУ ВО </w:t>
            </w:r>
            <w:r>
              <w:rPr>
                <w:b w:val="1"/>
                <w:color w:val="000000"/>
              </w:rPr>
              <w:t>РостГМУ</w:t>
            </w:r>
            <w:r>
              <w:rPr>
                <w:b w:val="1"/>
                <w:color w:val="000000"/>
              </w:rPr>
              <w:t xml:space="preserve"> Минздрава России</w:t>
            </w:r>
          </w:p>
          <w:p w14:paraId="C0000000">
            <w:pPr>
              <w:spacing w:after="0"/>
              <w:ind/>
              <w:rPr>
                <w:color w:val="000000"/>
              </w:rPr>
            </w:pPr>
            <w:r>
              <w:rPr>
                <w:color w:val="000000"/>
              </w:rPr>
              <w:t>344022 Ростовская область, г. Ростов-на-Дону, пер.</w:t>
            </w:r>
          </w:p>
          <w:p w14:paraId="C1000000">
            <w:pPr>
              <w:widowControl w:val="0"/>
              <w:spacing w:after="0"/>
              <w:ind/>
              <w:rPr>
                <w:color w:val="000000"/>
              </w:rPr>
            </w:pPr>
            <w:r>
              <w:rPr>
                <w:color w:val="000000"/>
              </w:rPr>
              <w:t>Нахичеванский, 29</w:t>
            </w:r>
          </w:p>
          <w:p w14:paraId="C2000000">
            <w:pPr>
              <w:widowControl w:val="0"/>
              <w:spacing w:after="0"/>
              <w:ind/>
              <w:rPr>
                <w:color w:val="000000"/>
              </w:rPr>
            </w:pPr>
            <w:r>
              <w:rPr>
                <w:color w:val="000000"/>
              </w:rPr>
              <w:t>ИНН 6163032850    КПП 616301001</w:t>
            </w:r>
          </w:p>
          <w:p w14:paraId="C3000000">
            <w:pPr>
              <w:widowControl w:val="0"/>
              <w:spacing w:after="0"/>
              <w:ind/>
              <w:rPr>
                <w:color w:val="000000"/>
              </w:rPr>
            </w:pPr>
            <w:r>
              <w:rPr>
                <w:color w:val="000000"/>
              </w:rPr>
              <w:t xml:space="preserve">УФК по Нижегородской области (ФГБОУ ВО </w:t>
            </w:r>
            <w:r>
              <w:rPr>
                <w:color w:val="000000"/>
              </w:rPr>
              <w:t>РостГМУ</w:t>
            </w:r>
            <w:r>
              <w:rPr>
                <w:color w:val="000000"/>
              </w:rPr>
              <w:t xml:space="preserve"> Минздрава России,</w:t>
            </w:r>
          </w:p>
          <w:p w14:paraId="C4000000">
            <w:pPr>
              <w:widowControl w:val="0"/>
              <w:spacing w:after="0"/>
              <w:ind/>
              <w:rPr>
                <w:color w:val="000000"/>
              </w:rPr>
            </w:pPr>
            <w:r>
              <w:rPr>
                <w:color w:val="000000"/>
              </w:rPr>
              <w:t>л/сч.20586У68420; л/сч.22586У68420).</w:t>
            </w:r>
          </w:p>
          <w:p w14:paraId="C5000000">
            <w:pPr>
              <w:widowControl w:val="0"/>
              <w:spacing w:after="0"/>
              <w:ind/>
              <w:rPr>
                <w:color w:val="000000"/>
              </w:rPr>
            </w:pPr>
            <w:r>
              <w:rPr>
                <w:color w:val="000000"/>
              </w:rPr>
              <w:t xml:space="preserve">ОКЦ №1 ВВГУ Банка России//УФК по Нижегородской области, г. Нижний Новгород </w:t>
            </w:r>
          </w:p>
          <w:p w14:paraId="C6000000">
            <w:pPr>
              <w:widowControl w:val="0"/>
              <w:spacing w:after="0"/>
              <w:ind/>
              <w:rPr>
                <w:color w:val="000000"/>
              </w:rPr>
            </w:pPr>
            <w:r>
              <w:rPr>
                <w:color w:val="000000"/>
              </w:rPr>
              <w:t>ЕКС 40102810745370000024</w:t>
            </w:r>
          </w:p>
          <w:p w14:paraId="C7000000">
            <w:pPr>
              <w:widowControl w:val="0"/>
              <w:spacing w:after="0"/>
              <w:ind/>
              <w:rPr>
                <w:color w:val="000000"/>
              </w:rPr>
            </w:pPr>
            <w:r>
              <w:rPr>
                <w:color w:val="000000"/>
              </w:rPr>
              <w:t>БИК 012202102</w:t>
            </w:r>
          </w:p>
          <w:p w14:paraId="C8000000">
            <w:pPr>
              <w:widowControl w:val="0"/>
              <w:spacing w:after="0"/>
              <w:ind/>
              <w:rPr>
                <w:color w:val="000000"/>
              </w:rPr>
            </w:pPr>
            <w:r>
              <w:rPr>
                <w:color w:val="000000"/>
              </w:rPr>
              <w:t>Номер счета 03214643000000013230</w:t>
            </w:r>
          </w:p>
          <w:p w14:paraId="C9000000">
            <w:pPr>
              <w:widowControl w:val="0"/>
              <w:spacing w:after="0"/>
              <w:ind/>
              <w:rPr>
                <w:color w:val="000000"/>
              </w:rPr>
            </w:pPr>
            <w:r>
              <w:rPr>
                <w:color w:val="000000"/>
              </w:rPr>
              <w:t>ОГРН 1026103165736 от 11.11.2002 г.</w:t>
            </w:r>
          </w:p>
          <w:p w14:paraId="CA000000">
            <w:pPr>
              <w:widowControl w:val="0"/>
              <w:spacing w:after="0"/>
              <w:ind/>
              <w:rPr>
                <w:color w:val="000000"/>
              </w:rPr>
            </w:pPr>
            <w:r>
              <w:rPr>
                <w:color w:val="000000"/>
              </w:rPr>
              <w:t>ОКПО 01896857</w:t>
            </w:r>
          </w:p>
          <w:p w14:paraId="CB000000">
            <w:pPr>
              <w:widowControl w:val="0"/>
              <w:spacing w:after="0"/>
              <w:ind/>
              <w:rPr>
                <w:color w:val="000000"/>
              </w:rPr>
            </w:pPr>
            <w:r>
              <w:rPr>
                <w:color w:val="000000"/>
              </w:rPr>
              <w:t xml:space="preserve">ОКТМО 60701000   </w:t>
            </w:r>
          </w:p>
          <w:p w14:paraId="CC000000">
            <w:pPr>
              <w:widowControl w:val="0"/>
              <w:spacing w:after="0"/>
              <w:ind/>
              <w:rPr>
                <w:color w:val="000000"/>
              </w:rPr>
            </w:pPr>
            <w:r>
              <w:rPr>
                <w:color w:val="000000"/>
              </w:rPr>
              <w:t>ОКВЭД 85.22</w:t>
            </w:r>
          </w:p>
          <w:p w14:paraId="CD000000">
            <w:pPr>
              <w:widowControl w:val="0"/>
              <w:spacing w:after="0"/>
              <w:ind/>
              <w:rPr>
                <w:color w:val="000000"/>
              </w:rPr>
            </w:pPr>
            <w:r>
              <w:rPr>
                <w:color w:val="000000"/>
              </w:rPr>
              <w:t>ОКОПФ 20903</w:t>
            </w:r>
          </w:p>
          <w:p w14:paraId="CE000000">
            <w:pPr>
              <w:widowControl w:val="0"/>
              <w:spacing w:after="0"/>
              <w:ind/>
              <w:rPr>
                <w:color w:val="000000"/>
              </w:rPr>
            </w:pPr>
            <w:r>
              <w:rPr>
                <w:color w:val="000000"/>
              </w:rPr>
              <w:t>ОКФС 12</w:t>
            </w:r>
          </w:p>
          <w:p w14:paraId="CF000000">
            <w:pPr>
              <w:widowControl w:val="0"/>
              <w:spacing w:after="0"/>
              <w:ind/>
              <w:rPr>
                <w:color w:val="000000"/>
              </w:rPr>
            </w:pPr>
            <w:r>
              <w:rPr>
                <w:color w:val="000000"/>
              </w:rPr>
              <w:t>ОКОГУ 1320700</w:t>
            </w:r>
          </w:p>
          <w:p w14:paraId="D0000000">
            <w:pPr>
              <w:widowControl w:val="0"/>
              <w:spacing w:after="0"/>
              <w:ind/>
              <w:rPr>
                <w:color w:val="000000"/>
              </w:rPr>
            </w:pPr>
          </w:p>
          <w:p w14:paraId="D1000000">
            <w:pPr>
              <w:widowControl w:val="0"/>
              <w:spacing w:after="0"/>
              <w:ind/>
              <w:rPr>
                <w:color w:val="000000"/>
              </w:rPr>
            </w:pPr>
          </w:p>
          <w:p w14:paraId="D2000000">
            <w:pPr>
              <w:spacing w:after="0"/>
              <w:ind/>
              <w:rPr>
                <w:color w:val="000000"/>
              </w:rPr>
            </w:pPr>
          </w:p>
          <w:p w14:paraId="D3000000">
            <w:pPr>
              <w:spacing w:after="0"/>
              <w:ind/>
              <w:jc w:val="left"/>
              <w:rPr>
                <w:b w:val="1"/>
                <w:color w:val="000000"/>
              </w:rPr>
            </w:pPr>
            <w:r>
              <w:rPr>
                <w:b w:val="1"/>
                <w:color w:val="000000"/>
              </w:rPr>
              <w:t>И.о</w:t>
            </w:r>
            <w:r>
              <w:rPr>
                <w:b w:val="1"/>
                <w:color w:val="000000"/>
              </w:rPr>
              <w:t xml:space="preserve">. ректора ФГБОУ ВО </w:t>
            </w:r>
            <w:r>
              <w:rPr>
                <w:b w:val="1"/>
                <w:color w:val="000000"/>
              </w:rPr>
              <w:t>РостГМУ</w:t>
            </w:r>
            <w:r>
              <w:rPr>
                <w:b w:val="1"/>
                <w:color w:val="000000"/>
              </w:rPr>
              <w:t xml:space="preserve"> </w:t>
            </w:r>
          </w:p>
          <w:p w14:paraId="D4000000">
            <w:pPr>
              <w:spacing w:after="0"/>
              <w:ind/>
              <w:jc w:val="left"/>
              <w:rPr>
                <w:b w:val="1"/>
                <w:color w:val="000000"/>
              </w:rPr>
            </w:pPr>
            <w:r>
              <w:rPr>
                <w:b w:val="1"/>
                <w:color w:val="000000"/>
              </w:rPr>
              <w:t>Минздрава России</w:t>
            </w:r>
          </w:p>
          <w:p w14:paraId="D5000000">
            <w:pPr>
              <w:spacing w:after="0"/>
              <w:ind/>
              <w:jc w:val="left"/>
              <w:rPr>
                <w:b w:val="1"/>
                <w:color w:val="000000"/>
              </w:rPr>
            </w:pPr>
          </w:p>
          <w:p w14:paraId="D6000000">
            <w:pPr>
              <w:spacing w:after="0"/>
              <w:ind/>
              <w:jc w:val="left"/>
              <w:rPr>
                <w:b w:val="1"/>
                <w:color w:val="000000"/>
              </w:rPr>
            </w:pPr>
          </w:p>
          <w:p w14:paraId="D7000000">
            <w:pPr>
              <w:spacing w:after="0"/>
              <w:ind/>
              <w:rPr>
                <w:b w:val="1"/>
                <w:color w:val="000000"/>
              </w:rPr>
            </w:pPr>
            <w:r>
              <w:rPr>
                <w:b w:val="1"/>
                <w:color w:val="000000"/>
              </w:rPr>
              <w:t>___________________ /</w:t>
            </w:r>
            <w:r>
              <w:rPr>
                <w:b w:val="1"/>
                <w:color w:val="000000"/>
              </w:rPr>
              <w:t>М.А.Шишов</w:t>
            </w:r>
          </w:p>
          <w:p w14:paraId="D8000000">
            <w:pPr>
              <w:spacing w:after="0"/>
              <w:ind/>
              <w:rPr>
                <w:b w:val="1"/>
              </w:rPr>
            </w:pPr>
            <w:r>
              <w:rPr>
                <w:b w:val="1"/>
                <w:color w:val="000000"/>
              </w:rPr>
              <w:t xml:space="preserve">э.ц.п.  </w:t>
            </w:r>
          </w:p>
          <w:p w14:paraId="D9000000">
            <w:pPr>
              <w:spacing w:after="0"/>
              <w:ind/>
            </w:pPr>
          </w:p>
        </w:tc>
        <w:tc>
          <w:tcPr>
            <w:tcW w:type="dxa" w:w="50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A000000">
            <w:pPr>
              <w:spacing w:after="0"/>
              <w:ind/>
              <w:jc w:val="center"/>
              <w:rPr>
                <w:b w:val="1"/>
              </w:rPr>
            </w:pPr>
            <w:r>
              <w:rPr>
                <w:b w:val="1"/>
              </w:rPr>
              <w:t>«Поставщик»</w:t>
            </w:r>
          </w:p>
          <w:p w14:paraId="DB000000">
            <w:pPr>
              <w:spacing w:after="0"/>
              <w:ind/>
              <w:jc w:val="left"/>
              <w:rPr>
                <w:color w:val="000000"/>
              </w:rPr>
            </w:pPr>
          </w:p>
          <w:p w14:paraId="DC000000">
            <w:pPr>
              <w:spacing w:after="0"/>
              <w:ind/>
              <w:jc w:val="left"/>
              <w:rPr>
                <w:color w:val="000000"/>
              </w:rPr>
            </w:pPr>
          </w:p>
          <w:p w14:paraId="DD000000">
            <w:pPr>
              <w:spacing w:after="0"/>
              <w:ind/>
              <w:jc w:val="left"/>
              <w:rPr>
                <w:color w:val="000000"/>
              </w:rPr>
            </w:pPr>
          </w:p>
          <w:p w14:paraId="DE000000">
            <w:pPr>
              <w:spacing w:after="0"/>
              <w:ind/>
              <w:jc w:val="left"/>
              <w:rPr>
                <w:color w:val="000000"/>
              </w:rPr>
            </w:pPr>
          </w:p>
          <w:p w14:paraId="DF000000">
            <w:pPr>
              <w:spacing w:after="0"/>
              <w:ind/>
              <w:jc w:val="left"/>
              <w:rPr>
                <w:color w:val="000000"/>
              </w:rPr>
            </w:pPr>
          </w:p>
          <w:p w14:paraId="E0000000">
            <w:pPr>
              <w:spacing w:after="0"/>
              <w:ind/>
              <w:jc w:val="left"/>
              <w:rPr>
                <w:color w:val="000000"/>
              </w:rPr>
            </w:pPr>
          </w:p>
          <w:p w14:paraId="E1000000">
            <w:pPr>
              <w:spacing w:after="0"/>
              <w:ind/>
              <w:jc w:val="left"/>
              <w:rPr>
                <w:color w:val="000000"/>
              </w:rPr>
            </w:pPr>
          </w:p>
          <w:p w14:paraId="E2000000">
            <w:pPr>
              <w:spacing w:after="0"/>
              <w:ind/>
              <w:jc w:val="left"/>
              <w:rPr>
                <w:color w:val="000000"/>
              </w:rPr>
            </w:pPr>
          </w:p>
          <w:p w14:paraId="E3000000">
            <w:pPr>
              <w:spacing w:after="0"/>
              <w:ind/>
              <w:jc w:val="left"/>
              <w:rPr>
                <w:color w:val="000000"/>
              </w:rPr>
            </w:pPr>
          </w:p>
          <w:p w14:paraId="E4000000">
            <w:pPr>
              <w:spacing w:after="0"/>
              <w:ind/>
              <w:jc w:val="left"/>
              <w:rPr>
                <w:color w:val="000000"/>
              </w:rPr>
            </w:pPr>
          </w:p>
          <w:p w14:paraId="E5000000">
            <w:pPr>
              <w:spacing w:after="0"/>
              <w:ind/>
              <w:jc w:val="left"/>
              <w:rPr>
                <w:color w:val="000000"/>
              </w:rPr>
            </w:pPr>
          </w:p>
          <w:p w14:paraId="E6000000">
            <w:pPr>
              <w:spacing w:after="0"/>
              <w:ind/>
              <w:jc w:val="left"/>
              <w:rPr>
                <w:color w:val="000000"/>
              </w:rPr>
            </w:pPr>
          </w:p>
          <w:p w14:paraId="E7000000">
            <w:pPr>
              <w:spacing w:after="0"/>
              <w:ind/>
              <w:jc w:val="left"/>
              <w:rPr>
                <w:color w:val="000000"/>
              </w:rPr>
            </w:pPr>
          </w:p>
          <w:p w14:paraId="E8000000">
            <w:pPr>
              <w:spacing w:after="0"/>
              <w:ind/>
              <w:jc w:val="left"/>
              <w:rPr>
                <w:color w:val="000000"/>
              </w:rPr>
            </w:pPr>
          </w:p>
          <w:p w14:paraId="E9000000">
            <w:pPr>
              <w:spacing w:after="0"/>
              <w:ind/>
              <w:jc w:val="left"/>
              <w:rPr>
                <w:color w:val="000000"/>
              </w:rPr>
            </w:pPr>
          </w:p>
          <w:p w14:paraId="EA000000">
            <w:pPr>
              <w:spacing w:after="0"/>
              <w:ind/>
              <w:jc w:val="left"/>
              <w:rPr>
                <w:color w:val="000000"/>
              </w:rPr>
            </w:pPr>
          </w:p>
          <w:p w14:paraId="EB000000">
            <w:pPr>
              <w:spacing w:after="0"/>
              <w:ind/>
              <w:jc w:val="left"/>
              <w:rPr>
                <w:color w:val="000000"/>
              </w:rPr>
            </w:pPr>
          </w:p>
          <w:p w14:paraId="EC000000">
            <w:pPr>
              <w:spacing w:after="0"/>
              <w:ind/>
              <w:jc w:val="left"/>
              <w:rPr>
                <w:color w:val="000000"/>
              </w:rPr>
            </w:pPr>
          </w:p>
          <w:p w14:paraId="ED000000">
            <w:pPr>
              <w:spacing w:after="0"/>
              <w:ind/>
              <w:jc w:val="left"/>
              <w:rPr>
                <w:color w:val="000000"/>
              </w:rPr>
            </w:pPr>
          </w:p>
          <w:p w14:paraId="EE000000">
            <w:pPr>
              <w:spacing w:after="0"/>
              <w:ind/>
              <w:jc w:val="left"/>
              <w:rPr>
                <w:color w:val="000000"/>
              </w:rPr>
            </w:pPr>
          </w:p>
          <w:p w14:paraId="EF000000">
            <w:pPr>
              <w:spacing w:after="0"/>
              <w:ind/>
              <w:jc w:val="left"/>
              <w:rPr>
                <w:color w:val="000000"/>
              </w:rPr>
            </w:pPr>
          </w:p>
          <w:p w14:paraId="F0000000">
            <w:pPr>
              <w:spacing w:after="0"/>
              <w:ind/>
              <w:jc w:val="left"/>
              <w:rPr>
                <w:color w:val="000000"/>
              </w:rPr>
            </w:pPr>
          </w:p>
          <w:p w14:paraId="F1000000">
            <w:pPr>
              <w:spacing w:after="0"/>
              <w:ind/>
              <w:jc w:val="left"/>
              <w:rPr>
                <w:color w:val="000000"/>
              </w:rPr>
            </w:pPr>
          </w:p>
          <w:p w14:paraId="F2000000">
            <w:pPr>
              <w:spacing w:after="0"/>
              <w:ind/>
              <w:jc w:val="left"/>
              <w:rPr>
                <w:color w:val="000000"/>
              </w:rPr>
            </w:pPr>
          </w:p>
          <w:p w14:paraId="F3000000">
            <w:pPr>
              <w:spacing w:after="0"/>
              <w:ind/>
              <w:jc w:val="left"/>
              <w:rPr>
                <w:color w:val="000000"/>
              </w:rPr>
            </w:pPr>
          </w:p>
          <w:p w14:paraId="F4000000">
            <w:pPr>
              <w:spacing w:after="0"/>
              <w:ind/>
              <w:jc w:val="left"/>
              <w:rPr>
                <w:color w:val="000000"/>
              </w:rPr>
            </w:pPr>
          </w:p>
          <w:p w14:paraId="F5000000">
            <w:pPr>
              <w:spacing w:after="0"/>
              <w:ind/>
              <w:jc w:val="left"/>
              <w:rPr>
                <w:color w:val="000000"/>
              </w:rPr>
            </w:pPr>
          </w:p>
          <w:p w14:paraId="F6000000">
            <w:pPr>
              <w:spacing w:after="0"/>
              <w:ind/>
              <w:jc w:val="left"/>
              <w:rPr>
                <w:color w:val="000000"/>
              </w:rPr>
            </w:pPr>
          </w:p>
          <w:p w14:paraId="F7000000">
            <w:pPr>
              <w:spacing w:after="0"/>
              <w:ind/>
              <w:rPr>
                <w:color w:val="000000"/>
              </w:rPr>
            </w:pPr>
            <w:r>
              <w:rPr>
                <w:color w:val="000000"/>
              </w:rPr>
              <w:t>___________________/</w:t>
            </w:r>
            <w:r>
              <w:rPr>
                <w:color w:val="000000"/>
              </w:rPr>
              <w:t>______________</w:t>
            </w:r>
          </w:p>
          <w:p w14:paraId="F8000000">
            <w:pPr>
              <w:spacing w:after="0"/>
              <w:ind/>
              <w:rPr>
                <w:b w:val="1"/>
                <w:color w:val="000000"/>
              </w:rPr>
            </w:pPr>
            <w:r>
              <w:rPr>
                <w:b w:val="1"/>
                <w:color w:val="000000"/>
              </w:rPr>
              <w:t>э.ц.п.</w:t>
            </w:r>
          </w:p>
          <w:p w14:paraId="F9000000">
            <w:pPr>
              <w:spacing w:after="0"/>
              <w:ind/>
            </w:pPr>
          </w:p>
        </w:tc>
      </w:tr>
    </w:tbl>
    <w:p w14:paraId="FA000000">
      <w:pPr>
        <w:sectPr>
          <w:footerReference r:id="rId5" w:type="default"/>
          <w:footerReference r:id="rId3" w:type="even"/>
          <w:pgSz w:h="16838" w:orient="portrait" w:w="11906"/>
          <w:pgMar w:bottom="766" w:footer="709" w:gutter="0" w:header="0" w:left="1134" w:right="851" w:top="709"/>
          <w:titlePg/>
        </w:sectPr>
      </w:pPr>
    </w:p>
    <w:p w14:paraId="FB000000">
      <w:pPr>
        <w:ind/>
        <w:jc w:val="right"/>
      </w:pPr>
      <w:r>
        <w:t xml:space="preserve">                                                                                                                                                                Приложение N 1 к </w:t>
      </w:r>
      <w:r>
        <w:t>Контракту</w:t>
      </w:r>
    </w:p>
    <w:p w14:paraId="FC000000">
      <w:pPr>
        <w:ind/>
        <w:jc w:val="right"/>
      </w:pPr>
      <w:r>
        <w:t xml:space="preserve">                                                                                                                                                                        </w:t>
      </w:r>
      <w:r>
        <w:t xml:space="preserve">    от "____" ___________ 2026 г. </w:t>
      </w:r>
    </w:p>
    <w:p w14:paraId="FD000000">
      <w:pPr>
        <w:ind/>
        <w:jc w:val="right"/>
      </w:pPr>
      <w:r>
        <w:t>N РГМУ33578</w:t>
      </w:r>
    </w:p>
    <w:p w14:paraId="FE000000"/>
    <w:p w14:paraId="FF000000">
      <w:pPr>
        <w:ind/>
        <w:jc w:val="center"/>
      </w:pPr>
      <w:r>
        <w:t xml:space="preserve">Спецификация </w:t>
      </w:r>
    </w:p>
    <w:p w14:paraId="00010000">
      <w:pPr>
        <w:ind/>
        <w:jc w:val="center"/>
        <w:rPr>
          <w:color w:val="000000"/>
        </w:rPr>
      </w:pPr>
    </w:p>
    <w:tbl>
      <w:tblPr>
        <w:tblStyle w:val="Style_7"/>
        <w:tblW w:type="auto" w:w="0"/>
        <w:tblInd w:type="dxa" w:w="-712"/>
        <w:tblBorders>
          <w:top w:color="000001" w:sz="2" w:val="single"/>
          <w:left w:color="000001" w:sz="2" w:val="single"/>
          <w:bottom w:color="000001" w:sz="2" w:val="single"/>
          <w:insideH w:color="000001" w:sz="2" w:val="single"/>
        </w:tblBorders>
        <w:tblLayout w:type="fixed"/>
        <w:tblCellMar>
          <w:left w:type="dxa" w:w="25"/>
          <w:right w:type="dxa" w:w="170"/>
        </w:tblCellMar>
      </w:tblPr>
      <w:tblGrid>
        <w:gridCol w:w="567"/>
        <w:gridCol w:w="9"/>
        <w:gridCol w:w="3110"/>
        <w:gridCol w:w="6804"/>
        <w:gridCol w:w="992"/>
        <w:gridCol w:w="1134"/>
        <w:gridCol w:w="1134"/>
        <w:gridCol w:w="8"/>
        <w:gridCol w:w="843"/>
        <w:gridCol w:w="1491"/>
      </w:tblGrid>
      <w:tr>
        <w:trPr>
          <w:trHeight w:hRule="atLeast" w:val="873"/>
        </w:trPr>
        <w:tc>
          <w:tcPr>
            <w:tcW w:type="dxa" w:w="567"/>
            <w:tcBorders>
              <w:top w:color="000001" w:sz="2" w:val="single"/>
              <w:left w:color="000001" w:sz="2" w:val="single"/>
              <w:bottom w:color="000001" w:sz="2" w:val="single"/>
            </w:tcBorders>
            <w:tcMar>
              <w:left w:type="dxa" w:w="25"/>
              <w:right w:type="dxa" w:w="170"/>
            </w:tcMar>
            <w:vAlign w:val="center"/>
          </w:tcPr>
          <w:p w14:paraId="01010000">
            <w:pPr>
              <w:ind/>
              <w:jc w:val="center"/>
              <w:rPr>
                <w:b w:val="1"/>
                <w:color w:val="000000"/>
                <w:sz w:val="22"/>
              </w:rPr>
            </w:pPr>
            <w:r>
              <w:rPr>
                <w:b w:val="1"/>
                <w:color w:val="000000"/>
                <w:sz w:val="22"/>
              </w:rPr>
              <w:t>№ п/п</w:t>
            </w:r>
          </w:p>
        </w:tc>
        <w:tc>
          <w:tcPr>
            <w:tcW w:type="dxa" w:w="3119"/>
            <w:gridSpan w:val="2"/>
            <w:tcBorders>
              <w:top w:color="000001" w:sz="2" w:val="single"/>
              <w:left w:color="000001" w:sz="2" w:val="single"/>
              <w:bottom w:color="000001" w:sz="2" w:val="single"/>
            </w:tcBorders>
            <w:tcMar>
              <w:left w:type="dxa" w:w="25"/>
              <w:right w:type="dxa" w:w="170"/>
            </w:tcMar>
            <w:vAlign w:val="center"/>
          </w:tcPr>
          <w:p w14:paraId="02010000">
            <w:pPr>
              <w:widowControl w:val="0"/>
              <w:ind/>
              <w:jc w:val="center"/>
              <w:rPr>
                <w:b w:val="1"/>
                <w:color w:val="000000"/>
                <w:sz w:val="22"/>
              </w:rPr>
            </w:pPr>
            <w:r>
              <w:rPr>
                <w:b w:val="1"/>
                <w:color w:val="000000"/>
                <w:sz w:val="22"/>
              </w:rPr>
              <w:t>Наименование</w:t>
            </w:r>
          </w:p>
          <w:p w14:paraId="03010000">
            <w:pPr>
              <w:ind/>
              <w:jc w:val="center"/>
              <w:rPr>
                <w:b w:val="1"/>
                <w:color w:val="000000"/>
                <w:sz w:val="22"/>
              </w:rPr>
            </w:pPr>
            <w:r>
              <w:rPr>
                <w:b w:val="1"/>
                <w:color w:val="000000"/>
                <w:sz w:val="22"/>
              </w:rPr>
              <w:t>ОКПД2/КТРУ</w:t>
            </w:r>
          </w:p>
        </w:tc>
        <w:tc>
          <w:tcPr>
            <w:tcW w:type="dxa" w:w="6804"/>
            <w:tcBorders>
              <w:top w:color="000001" w:sz="2" w:val="single"/>
              <w:left w:color="000001" w:sz="2" w:val="single"/>
              <w:bottom w:color="000001" w:sz="2" w:val="single"/>
            </w:tcBorders>
            <w:tcMar>
              <w:left w:type="dxa" w:w="25"/>
              <w:right w:type="dxa" w:w="170"/>
            </w:tcMar>
            <w:vAlign w:val="center"/>
          </w:tcPr>
          <w:p w14:paraId="04010000">
            <w:pPr>
              <w:ind/>
              <w:jc w:val="center"/>
              <w:rPr>
                <w:b w:val="1"/>
                <w:color w:val="000000"/>
                <w:sz w:val="22"/>
              </w:rPr>
            </w:pPr>
            <w:r>
              <w:rPr>
                <w:b w:val="1"/>
                <w:color w:val="000000"/>
                <w:sz w:val="22"/>
              </w:rPr>
              <w:t>Технические характеристики</w:t>
            </w:r>
          </w:p>
        </w:tc>
        <w:tc>
          <w:tcPr>
            <w:tcW w:type="dxa" w:w="992"/>
            <w:tcBorders>
              <w:top w:color="000001" w:sz="2" w:val="single"/>
              <w:left w:color="000001" w:sz="2" w:val="single"/>
              <w:bottom w:color="000001" w:sz="2" w:val="single"/>
              <w:right w:color="000001" w:sz="2" w:val="single"/>
            </w:tcBorders>
            <w:tcMar>
              <w:left w:type="dxa" w:w="25"/>
              <w:right w:type="dxa" w:w="170"/>
            </w:tcMar>
            <w:vAlign w:val="center"/>
          </w:tcPr>
          <w:p w14:paraId="05010000">
            <w:pPr>
              <w:ind/>
              <w:jc w:val="center"/>
              <w:rPr>
                <w:b w:val="1"/>
                <w:color w:val="000000"/>
                <w:sz w:val="22"/>
              </w:rPr>
            </w:pPr>
            <w:r>
              <w:rPr>
                <w:b w:val="1"/>
                <w:color w:val="000000"/>
                <w:sz w:val="22"/>
              </w:rPr>
              <w:t>Ед. изм.</w:t>
            </w:r>
          </w:p>
        </w:tc>
        <w:tc>
          <w:tcPr>
            <w:tcW w:type="dxa" w:w="1134"/>
            <w:tcBorders>
              <w:top w:color="000001" w:sz="2" w:val="single"/>
              <w:left w:color="000001" w:sz="2" w:val="single"/>
              <w:bottom w:color="000001" w:sz="2" w:val="single"/>
            </w:tcBorders>
            <w:tcMar>
              <w:left w:type="dxa" w:w="25"/>
              <w:right w:type="dxa" w:w="170"/>
            </w:tcMar>
            <w:vAlign w:val="center"/>
          </w:tcPr>
          <w:p w14:paraId="06010000">
            <w:pPr>
              <w:ind/>
              <w:jc w:val="center"/>
              <w:rPr>
                <w:b w:val="1"/>
                <w:color w:val="000000"/>
                <w:sz w:val="22"/>
              </w:rPr>
            </w:pPr>
            <w:r>
              <w:rPr>
                <w:b w:val="1"/>
                <w:color w:val="000000"/>
                <w:sz w:val="22"/>
              </w:rPr>
              <w:t>Кол-во общ.</w:t>
            </w:r>
          </w:p>
        </w:tc>
        <w:tc>
          <w:tcPr>
            <w:tcW w:type="dxa" w:w="1134"/>
            <w:tcBorders>
              <w:top w:color="000001" w:sz="2" w:val="single"/>
              <w:left w:color="000001" w:sz="2" w:val="single"/>
              <w:bottom w:color="000001" w:sz="2" w:val="single"/>
            </w:tcBorders>
            <w:tcMar>
              <w:left w:type="dxa" w:w="25"/>
              <w:right w:type="dxa" w:w="170"/>
            </w:tcMar>
            <w:vAlign w:val="center"/>
          </w:tcPr>
          <w:p w14:paraId="07010000">
            <w:pPr>
              <w:widowControl w:val="0"/>
              <w:ind/>
              <w:jc w:val="center"/>
              <w:rPr>
                <w:b w:val="1"/>
                <w:color w:val="000000"/>
                <w:sz w:val="22"/>
              </w:rPr>
            </w:pPr>
            <w:r>
              <w:rPr>
                <w:b w:val="1"/>
                <w:color w:val="000000"/>
                <w:sz w:val="22"/>
              </w:rPr>
              <w:t>Цена, руб., коп.</w:t>
            </w:r>
          </w:p>
        </w:tc>
        <w:tc>
          <w:tcPr>
            <w:tcW w:type="dxa" w:w="851"/>
            <w:gridSpan w:val="2"/>
            <w:tcBorders>
              <w:top w:color="000001" w:sz="2" w:val="single"/>
              <w:left w:color="000001" w:sz="2" w:val="single"/>
              <w:bottom w:color="000001" w:sz="2" w:val="single"/>
            </w:tcBorders>
            <w:tcMar>
              <w:left w:type="dxa" w:w="25"/>
              <w:right w:type="dxa" w:w="170"/>
            </w:tcMar>
            <w:vAlign w:val="center"/>
          </w:tcPr>
          <w:p w14:paraId="08010000">
            <w:pPr>
              <w:widowControl w:val="0"/>
              <w:ind/>
              <w:jc w:val="center"/>
              <w:rPr>
                <w:b w:val="1"/>
                <w:color w:val="000000"/>
                <w:sz w:val="22"/>
              </w:rPr>
            </w:pPr>
            <w:r>
              <w:rPr>
                <w:b w:val="1"/>
                <w:color w:val="000000"/>
                <w:sz w:val="22"/>
              </w:rPr>
              <w:t>НДС</w:t>
            </w:r>
          </w:p>
        </w:tc>
        <w:tc>
          <w:tcPr>
            <w:tcW w:type="dxa" w:w="1491"/>
            <w:tcBorders>
              <w:top w:color="000001" w:sz="2" w:val="single"/>
              <w:left w:color="000001" w:sz="2" w:val="single"/>
              <w:bottom w:color="000001" w:sz="2" w:val="single"/>
              <w:right w:color="000001" w:sz="2" w:val="single"/>
            </w:tcBorders>
            <w:tcMar>
              <w:left w:type="dxa" w:w="25"/>
              <w:right w:type="dxa" w:w="170"/>
            </w:tcMar>
            <w:vAlign w:val="center"/>
          </w:tcPr>
          <w:p w14:paraId="09010000">
            <w:pPr>
              <w:widowControl w:val="0"/>
              <w:ind/>
              <w:jc w:val="center"/>
              <w:rPr>
                <w:b w:val="1"/>
                <w:color w:val="000000"/>
                <w:sz w:val="22"/>
              </w:rPr>
            </w:pPr>
            <w:r>
              <w:rPr>
                <w:b w:val="1"/>
                <w:color w:val="000000"/>
                <w:sz w:val="22"/>
              </w:rPr>
              <w:t>Сумма, руб., коп.</w:t>
            </w:r>
          </w:p>
        </w:tc>
      </w:tr>
      <w:tr>
        <w:trPr>
          <w:trHeight w:hRule="atLeast" w:val="3391"/>
        </w:trPr>
        <w:tc>
          <w:tcPr>
            <w:tcW w:type="dxa" w:w="567"/>
            <w:tcBorders>
              <w:top w:color="000001" w:sz="2" w:val="single"/>
              <w:left w:color="000001" w:sz="2" w:val="single"/>
              <w:bottom w:color="000001" w:sz="2" w:val="single"/>
            </w:tcBorders>
            <w:tcMar>
              <w:left w:type="dxa" w:w="25"/>
              <w:right w:type="dxa" w:w="170"/>
            </w:tcMar>
          </w:tcPr>
          <w:p w14:paraId="0A010000">
            <w:pPr>
              <w:ind/>
              <w:jc w:val="center"/>
              <w:rPr>
                <w:b w:val="1"/>
                <w:color w:val="000000"/>
                <w:sz w:val="22"/>
              </w:rPr>
            </w:pPr>
            <w:r>
              <w:rPr>
                <w:b w:val="1"/>
                <w:color w:val="000000"/>
                <w:sz w:val="22"/>
              </w:rPr>
              <w:t>1</w:t>
            </w:r>
          </w:p>
        </w:tc>
        <w:tc>
          <w:tcPr>
            <w:tcW w:type="dxa" w:w="3119"/>
            <w:gridSpan w:val="2"/>
            <w:tcBorders>
              <w:top w:color="000000" w:sz="6" w:val="single"/>
              <w:left w:color="000000" w:sz="6" w:val="single"/>
              <w:bottom w:color="000001" w:sz="2" w:val="single"/>
              <w:right w:color="000000" w:sz="4" w:val="single"/>
            </w:tcBorders>
            <w:tcMar>
              <w:left w:type="dxa" w:w="25"/>
              <w:right w:type="dxa" w:w="170"/>
            </w:tcMar>
          </w:tcPr>
          <w:p w14:paraId="0B010000">
            <w:pPr>
              <w:spacing w:after="0"/>
              <w:ind/>
              <w:jc w:val="left"/>
              <w:rPr>
                <w:sz w:val="20"/>
              </w:rPr>
            </w:pPr>
            <w:r>
              <w:rPr>
                <w:sz w:val="20"/>
              </w:rPr>
              <w:t>21.20.23.110-00006206</w:t>
            </w:r>
          </w:p>
          <w:p w14:paraId="0C010000">
            <w:pPr>
              <w:spacing w:after="0"/>
              <w:ind/>
              <w:jc w:val="left"/>
            </w:pPr>
            <w:r>
              <w:rPr>
                <w:sz w:val="20"/>
              </w:rPr>
              <w:t>Гликированный</w:t>
            </w:r>
            <w:r>
              <w:rPr>
                <w:sz w:val="20"/>
              </w:rPr>
              <w:t xml:space="preserve"> гемоглобин (HbA1c) ИВД, контрольный материал</w:t>
            </w:r>
          </w:p>
        </w:tc>
        <w:tc>
          <w:tcPr>
            <w:tcW w:type="dxa" w:w="6804"/>
            <w:tcBorders>
              <w:top w:color="000000" w:sz="4" w:val="single"/>
              <w:left w:color="000000" w:sz="4" w:val="single"/>
              <w:bottom w:color="000001" w:sz="2" w:val="single"/>
              <w:right w:color="000000" w:sz="4" w:val="single"/>
            </w:tcBorders>
            <w:shd w:fill="auto" w:val="clear"/>
            <w:tcMar>
              <w:left w:type="dxa" w:w="25"/>
              <w:right w:type="dxa" w:w="170"/>
            </w:tcMar>
            <w:vAlign w:val="center"/>
          </w:tcPr>
          <w:tbl>
            <w:tblPr>
              <w:tblStyle w:val="Style_7"/>
              <w:tblW w:type="auto" w:w="0"/>
              <w:tblLayout w:type="fixed"/>
            </w:tblPr>
            <w:tblGrid>
              <w:gridCol w:w="1620"/>
              <w:gridCol w:w="2036"/>
              <w:gridCol w:w="3118"/>
            </w:tblGrid>
            <w:tr>
              <w:trPr>
                <w:trHeight w:hRule="atLeast" w:val="630"/>
              </w:trPr>
              <w:tc>
                <w:tcPr>
                  <w:tcW w:type="dxa" w:w="1620"/>
                  <w:tcBorders>
                    <w:top w:color="000000" w:sz="4" w:val="single"/>
                    <w:left w:color="000000" w:sz="4" w:val="single"/>
                    <w:bottom w:sz="4" w:val="nil"/>
                    <w:right w:color="000000" w:sz="4" w:val="single"/>
                  </w:tcBorders>
                  <w:shd w:fill="D9D9D9" w:val="clear"/>
                  <w:vAlign w:val="center"/>
                </w:tcPr>
                <w:p w14:paraId="0D010000">
                  <w:pPr>
                    <w:spacing w:after="0"/>
                    <w:ind/>
                    <w:jc w:val="center"/>
                    <w:rPr>
                      <w:rFonts w:ascii="Calibri" w:hAnsi="Calibri"/>
                      <w:b w:val="1"/>
                      <w:color w:val="000000"/>
                      <w:sz w:val="16"/>
                    </w:rPr>
                  </w:pPr>
                  <w:r>
                    <w:rPr>
                      <w:rFonts w:ascii="Calibri" w:hAnsi="Calibri"/>
                      <w:b w:val="1"/>
                      <w:color w:val="000000"/>
                      <w:sz w:val="16"/>
                    </w:rPr>
                    <w:t>Тип характеристики</w:t>
                  </w:r>
                </w:p>
              </w:tc>
              <w:tc>
                <w:tcPr>
                  <w:tcW w:type="dxa" w:w="2036"/>
                  <w:tcBorders>
                    <w:top w:color="000000" w:sz="4" w:val="single"/>
                    <w:left w:sz="4" w:val="nil"/>
                    <w:bottom w:sz="4" w:val="nil"/>
                    <w:right w:color="000000" w:sz="4" w:val="single"/>
                  </w:tcBorders>
                  <w:shd w:fill="D9D9D9" w:val="clear"/>
                  <w:vAlign w:val="center"/>
                </w:tcPr>
                <w:p w14:paraId="0E010000">
                  <w:pPr>
                    <w:spacing w:after="0"/>
                    <w:ind/>
                    <w:jc w:val="center"/>
                    <w:rPr>
                      <w:rFonts w:ascii="Calibri" w:hAnsi="Calibri"/>
                      <w:b w:val="1"/>
                      <w:color w:val="000000"/>
                      <w:sz w:val="16"/>
                    </w:rPr>
                  </w:pPr>
                  <w:r>
                    <w:rPr>
                      <w:rFonts w:ascii="Calibri" w:hAnsi="Calibri"/>
                      <w:b w:val="1"/>
                      <w:color w:val="000000"/>
                      <w:sz w:val="16"/>
                    </w:rPr>
                    <w:t>Наименование характеристики</w:t>
                  </w:r>
                </w:p>
              </w:tc>
              <w:tc>
                <w:tcPr>
                  <w:tcW w:type="dxa" w:w="3118"/>
                  <w:tcBorders>
                    <w:top w:color="000000" w:sz="4" w:val="single"/>
                    <w:left w:sz="4" w:val="nil"/>
                    <w:bottom w:sz="4" w:val="nil"/>
                    <w:right w:color="000000" w:sz="4" w:val="single"/>
                  </w:tcBorders>
                  <w:shd w:fill="D9D9D9" w:val="clear"/>
                  <w:vAlign w:val="center"/>
                </w:tcPr>
                <w:p w14:paraId="0F010000">
                  <w:pPr>
                    <w:spacing w:after="0"/>
                    <w:ind/>
                    <w:jc w:val="center"/>
                    <w:rPr>
                      <w:rFonts w:ascii="Calibri" w:hAnsi="Calibri"/>
                      <w:b w:val="1"/>
                      <w:color w:val="000000"/>
                      <w:sz w:val="16"/>
                    </w:rPr>
                  </w:pPr>
                  <w:r>
                    <w:rPr>
                      <w:rFonts w:ascii="Calibri" w:hAnsi="Calibri"/>
                      <w:b w:val="1"/>
                      <w:color w:val="000000"/>
                      <w:sz w:val="16"/>
                    </w:rPr>
                    <w:t>Значение характеристики</w:t>
                  </w:r>
                </w:p>
              </w:tc>
            </w:tr>
            <w:tr>
              <w:trPr>
                <w:trHeight w:hRule="atLeast" w:val="255"/>
              </w:trPr>
              <w:tc>
                <w:tcPr>
                  <w:tcW w:type="dxa" w:w="1620"/>
                  <w:tcBorders>
                    <w:top w:color="000000" w:sz="8" w:val="single"/>
                    <w:left w:color="000000" w:sz="4" w:val="single"/>
                    <w:bottom w:color="000000" w:sz="4" w:val="single"/>
                    <w:right w:sz="4" w:val="nil"/>
                  </w:tcBorders>
                  <w:shd w:fill="auto" w:val="clear"/>
                  <w:vAlign w:val="center"/>
                </w:tcPr>
                <w:p w14:paraId="10010000">
                  <w:pPr>
                    <w:spacing w:after="0"/>
                    <w:ind/>
                    <w:jc w:val="center"/>
                    <w:rPr>
                      <w:rFonts w:ascii="Calibri" w:hAnsi="Calibri"/>
                      <w:b w:val="1"/>
                      <w:sz w:val="16"/>
                    </w:rPr>
                  </w:pPr>
                  <w:r>
                    <w:rPr>
                      <w:rFonts w:ascii="Calibri" w:hAnsi="Calibri"/>
                      <w:b w:val="1"/>
                      <w:sz w:val="16"/>
                    </w:rPr>
                    <w:t>В соответствии с КТРУ</w:t>
                  </w:r>
                </w:p>
              </w:tc>
              <w:tc>
                <w:tcPr>
                  <w:tcW w:type="dxa" w:w="2036"/>
                  <w:tcBorders>
                    <w:top w:color="000000" w:sz="8" w:val="single"/>
                    <w:left w:sz="4" w:val="nil"/>
                    <w:bottom w:color="000000" w:sz="4" w:val="single"/>
                    <w:right w:sz="4" w:val="nil"/>
                  </w:tcBorders>
                  <w:shd w:fill="auto" w:val="clear"/>
                  <w:vAlign w:val="center"/>
                </w:tcPr>
                <w:p w14:paraId="11010000">
                  <w:pPr>
                    <w:spacing w:after="0"/>
                    <w:ind/>
                    <w:jc w:val="center"/>
                    <w:rPr>
                      <w:rFonts w:ascii="Calibri" w:hAnsi="Calibri"/>
                      <w:b w:val="1"/>
                      <w:sz w:val="16"/>
                    </w:rPr>
                  </w:pPr>
                </w:p>
              </w:tc>
              <w:tc>
                <w:tcPr>
                  <w:tcW w:type="dxa" w:w="3118"/>
                  <w:tcBorders>
                    <w:top w:color="000000" w:sz="8" w:val="single"/>
                    <w:left w:sz="4" w:val="nil"/>
                    <w:bottom w:color="000000" w:sz="4" w:val="single"/>
                    <w:right w:sz="4" w:val="nil"/>
                  </w:tcBorders>
                  <w:shd w:fill="auto" w:val="clear"/>
                  <w:vAlign w:val="center"/>
                </w:tcPr>
                <w:p w14:paraId="12010000">
                  <w:pPr>
                    <w:spacing w:after="0"/>
                    <w:ind/>
                    <w:jc w:val="center"/>
                    <w:rPr>
                      <w:rFonts w:ascii="Calibri" w:hAnsi="Calibri"/>
                      <w:b w:val="1"/>
                      <w:sz w:val="16"/>
                    </w:rPr>
                  </w:pPr>
                </w:p>
              </w:tc>
            </w:tr>
            <w:tr>
              <w:trPr>
                <w:trHeight w:hRule="atLeast" w:val="765"/>
              </w:trPr>
              <w:tc>
                <w:tcPr>
                  <w:tcW w:type="dxa" w:w="1620"/>
                  <w:tcBorders>
                    <w:top w:sz="4" w:val="nil"/>
                    <w:left w:color="000000" w:sz="4" w:val="single"/>
                    <w:bottom w:color="000000" w:sz="4" w:val="single"/>
                    <w:right w:color="000000" w:sz="4" w:val="single"/>
                  </w:tcBorders>
                  <w:shd w:fill="auto" w:val="clear"/>
                  <w:vAlign w:val="center"/>
                </w:tcPr>
                <w:p w14:paraId="13010000">
                  <w:pPr>
                    <w:spacing w:after="0"/>
                    <w:ind/>
                    <w:jc w:val="center"/>
                    <w:rPr>
                      <w:rFonts w:ascii="Calibri" w:hAnsi="Calibri"/>
                      <w:sz w:val="16"/>
                    </w:rPr>
                  </w:pPr>
                  <w:r>
                    <w:rPr>
                      <w:rFonts w:ascii="Calibri" w:hAnsi="Calibri"/>
                      <w:sz w:val="16"/>
                    </w:rPr>
                    <w:t>Качественная</w:t>
                  </w:r>
                </w:p>
              </w:tc>
              <w:tc>
                <w:tcPr>
                  <w:tcW w:type="dxa" w:w="2036"/>
                  <w:tcBorders>
                    <w:top w:sz="4" w:val="nil"/>
                    <w:left w:sz="4" w:val="nil"/>
                    <w:bottom w:color="000000" w:sz="4" w:val="single"/>
                    <w:right w:color="000000" w:sz="4" w:val="single"/>
                  </w:tcBorders>
                  <w:shd w:fill="auto" w:val="clear"/>
                  <w:vAlign w:val="center"/>
                </w:tcPr>
                <w:p w14:paraId="14010000">
                  <w:pPr>
                    <w:spacing w:after="0"/>
                    <w:ind/>
                    <w:jc w:val="center"/>
                    <w:rPr>
                      <w:rFonts w:ascii="Calibri" w:hAnsi="Calibri"/>
                      <w:sz w:val="16"/>
                    </w:rPr>
                  </w:pPr>
                  <w:r>
                    <w:rPr>
                      <w:rFonts w:ascii="Calibri" w:hAnsi="Calibri"/>
                      <w:sz w:val="16"/>
                    </w:rPr>
                    <w:t>Назначение</w:t>
                  </w:r>
                </w:p>
              </w:tc>
              <w:tc>
                <w:tcPr>
                  <w:tcW w:type="dxa" w:w="3118"/>
                  <w:tcBorders>
                    <w:top w:sz="4" w:val="nil"/>
                    <w:left w:sz="4" w:val="nil"/>
                    <w:bottom w:color="000000" w:sz="4" w:val="single"/>
                    <w:right w:color="000000" w:sz="4" w:val="single"/>
                  </w:tcBorders>
                  <w:shd w:fill="auto" w:val="clear"/>
                  <w:vAlign w:val="center"/>
                </w:tcPr>
                <w:p w14:paraId="15010000">
                  <w:pPr>
                    <w:spacing w:after="0"/>
                    <w:ind/>
                    <w:jc w:val="center"/>
                    <w:rPr>
                      <w:rFonts w:ascii="Calibri" w:hAnsi="Calibri"/>
                      <w:sz w:val="16"/>
                    </w:rPr>
                  </w:pPr>
                  <w:r>
                    <w:rPr>
                      <w:rFonts w:ascii="Calibri" w:hAnsi="Calibri"/>
                      <w:sz w:val="16"/>
                    </w:rPr>
                    <w:t>Для ручной постановки анализа и анализаторов открытого типа</w:t>
                  </w:r>
                </w:p>
              </w:tc>
            </w:tr>
            <w:tr>
              <w:trPr>
                <w:trHeight w:hRule="atLeast" w:val="300"/>
              </w:trPr>
              <w:tc>
                <w:tcPr>
                  <w:tcW w:type="dxa" w:w="1620"/>
                  <w:tcBorders>
                    <w:top w:sz="4" w:val="nil"/>
                    <w:left w:color="000000" w:sz="4" w:val="single"/>
                    <w:bottom w:color="000000" w:sz="4" w:val="single"/>
                    <w:right w:sz="4" w:val="nil"/>
                  </w:tcBorders>
                  <w:shd w:fill="auto" w:val="clear"/>
                  <w:vAlign w:val="center"/>
                </w:tcPr>
                <w:p w14:paraId="16010000">
                  <w:pPr>
                    <w:spacing w:after="0"/>
                    <w:ind/>
                    <w:jc w:val="left"/>
                    <w:rPr>
                      <w:rFonts w:ascii="Calibri" w:hAnsi="Calibri"/>
                      <w:b w:val="1"/>
                      <w:sz w:val="16"/>
                    </w:rPr>
                  </w:pPr>
                  <w:r>
                    <w:rPr>
                      <w:rFonts w:ascii="Calibri" w:hAnsi="Calibri"/>
                      <w:b w:val="1"/>
                      <w:sz w:val="16"/>
                    </w:rPr>
                    <w:t>Дополнительные  характеристики</w:t>
                  </w:r>
                </w:p>
              </w:tc>
              <w:tc>
                <w:tcPr>
                  <w:tcW w:type="dxa" w:w="2036"/>
                  <w:tcBorders>
                    <w:top w:sz="4" w:val="nil"/>
                    <w:left w:sz="4" w:val="nil"/>
                    <w:bottom w:color="000000" w:sz="4" w:val="single"/>
                    <w:right w:sz="4" w:val="nil"/>
                  </w:tcBorders>
                  <w:shd w:fill="auto" w:val="clear"/>
                  <w:vAlign w:val="center"/>
                </w:tcPr>
                <w:p w14:paraId="17010000">
                  <w:pPr>
                    <w:spacing w:after="0"/>
                    <w:ind/>
                    <w:jc w:val="left"/>
                    <w:rPr>
                      <w:rFonts w:ascii="Calibri" w:hAnsi="Calibri"/>
                      <w:b w:val="1"/>
                      <w:sz w:val="16"/>
                    </w:rPr>
                  </w:pPr>
                  <w:r>
                    <w:rPr>
                      <w:rFonts w:ascii="Calibri" w:hAnsi="Calibri"/>
                      <w:b w:val="1"/>
                      <w:sz w:val="16"/>
                    </w:rPr>
                    <w:t> </w:t>
                  </w:r>
                </w:p>
              </w:tc>
              <w:tc>
                <w:tcPr>
                  <w:tcW w:type="dxa" w:w="3118"/>
                  <w:tcBorders>
                    <w:top w:sz="4" w:val="nil"/>
                    <w:left w:sz="4" w:val="nil"/>
                    <w:bottom w:color="000000" w:sz="4" w:val="single"/>
                    <w:right w:sz="4" w:val="nil"/>
                  </w:tcBorders>
                  <w:shd w:fill="auto" w:val="clear"/>
                  <w:vAlign w:val="center"/>
                </w:tcPr>
                <w:p w14:paraId="18010000">
                  <w:pPr>
                    <w:spacing w:after="0"/>
                    <w:ind/>
                    <w:jc w:val="left"/>
                    <w:rPr>
                      <w:rFonts w:ascii="Calibri" w:hAnsi="Calibri"/>
                      <w:b w:val="1"/>
                      <w:sz w:val="16"/>
                    </w:rPr>
                  </w:pPr>
                  <w:r>
                    <w:rPr>
                      <w:rFonts w:ascii="Calibri" w:hAnsi="Calibri"/>
                      <w:b w:val="1"/>
                      <w:sz w:val="16"/>
                    </w:rPr>
                    <w:t> </w:t>
                  </w:r>
                </w:p>
              </w:tc>
            </w:tr>
            <w:tr>
              <w:trPr>
                <w:trHeight w:hRule="atLeast" w:val="1785"/>
              </w:trPr>
              <w:tc>
                <w:tcPr>
                  <w:tcW w:type="dxa" w:w="1620"/>
                  <w:tcBorders>
                    <w:top w:sz="4" w:val="nil"/>
                    <w:left w:color="000000" w:sz="4" w:val="single"/>
                    <w:bottom w:color="000000" w:sz="4" w:val="single"/>
                    <w:right w:color="000000" w:sz="4" w:val="single"/>
                  </w:tcBorders>
                  <w:shd w:fill="auto" w:val="clear"/>
                  <w:vAlign w:val="center"/>
                </w:tcPr>
                <w:p w14:paraId="19010000">
                  <w:pPr>
                    <w:spacing w:after="0"/>
                    <w:ind/>
                    <w:jc w:val="center"/>
                    <w:rPr>
                      <w:rFonts w:ascii="Calibri" w:hAnsi="Calibri"/>
                      <w:sz w:val="16"/>
                    </w:rPr>
                  </w:pPr>
                  <w:r>
                    <w:rPr>
                      <w:rFonts w:ascii="Calibri" w:hAnsi="Calibri"/>
                      <w:sz w:val="16"/>
                    </w:rPr>
                    <w:t>качественная</w:t>
                  </w:r>
                </w:p>
              </w:tc>
              <w:tc>
                <w:tcPr>
                  <w:tcW w:type="dxa" w:w="2036"/>
                  <w:tcBorders>
                    <w:top w:sz="4" w:val="nil"/>
                    <w:left w:sz="4" w:val="nil"/>
                    <w:bottom w:color="000000" w:sz="4" w:val="single"/>
                    <w:right w:color="000000" w:sz="4" w:val="single"/>
                  </w:tcBorders>
                  <w:shd w:fill="auto" w:val="clear"/>
                  <w:vAlign w:val="center"/>
                </w:tcPr>
                <w:p w14:paraId="1A010000">
                  <w:pPr>
                    <w:spacing w:after="0"/>
                    <w:ind/>
                    <w:jc w:val="center"/>
                    <w:rPr>
                      <w:rFonts w:ascii="Calibri" w:hAnsi="Calibri"/>
                      <w:color w:val="000000"/>
                      <w:sz w:val="16"/>
                    </w:rPr>
                  </w:pPr>
                  <w:r>
                    <w:rPr>
                      <w:rFonts w:ascii="Calibri" w:hAnsi="Calibri"/>
                      <w:color w:val="000000"/>
                      <w:sz w:val="16"/>
                    </w:rPr>
                    <w:t>область применения</w:t>
                  </w:r>
                </w:p>
              </w:tc>
              <w:tc>
                <w:tcPr>
                  <w:tcW w:type="dxa" w:w="3118"/>
                  <w:tcBorders>
                    <w:top w:sz="4" w:val="nil"/>
                    <w:left w:sz="4" w:val="nil"/>
                    <w:bottom w:color="000000" w:sz="4" w:val="single"/>
                    <w:right w:color="000000" w:sz="4" w:val="single"/>
                  </w:tcBorders>
                  <w:shd w:fill="auto" w:val="clear"/>
                  <w:vAlign w:val="center"/>
                </w:tcPr>
                <w:p w14:paraId="1B010000">
                  <w:pPr>
                    <w:spacing w:after="0"/>
                    <w:ind/>
                    <w:jc w:val="center"/>
                    <w:rPr>
                      <w:rFonts w:ascii="Calibri" w:hAnsi="Calibri"/>
                      <w:color w:val="000000"/>
                      <w:sz w:val="16"/>
                    </w:rPr>
                  </w:pPr>
                  <w:r>
                    <w:rPr>
                      <w:rFonts w:ascii="Calibri" w:hAnsi="Calibri"/>
                      <w:color w:val="000000"/>
                      <w:sz w:val="16"/>
                    </w:rPr>
                    <w:t xml:space="preserve">для контроля правильности и </w:t>
                  </w:r>
                  <w:r>
                    <w:rPr>
                      <w:rFonts w:ascii="Calibri" w:hAnsi="Calibri"/>
                      <w:color w:val="000000"/>
                      <w:sz w:val="16"/>
                    </w:rPr>
                    <w:t>воспроизво-димости</w:t>
                  </w:r>
                  <w:r>
                    <w:rPr>
                      <w:rFonts w:ascii="Calibri" w:hAnsi="Calibri"/>
                      <w:color w:val="000000"/>
                      <w:sz w:val="16"/>
                    </w:rPr>
                    <w:t xml:space="preserve"> определения </w:t>
                  </w:r>
                  <w:r>
                    <w:rPr>
                      <w:rFonts w:ascii="Calibri" w:hAnsi="Calibri"/>
                      <w:color w:val="000000"/>
                      <w:sz w:val="16"/>
                    </w:rPr>
                    <w:t>гликозилированного</w:t>
                  </w:r>
                  <w:r>
                    <w:rPr>
                      <w:rFonts w:ascii="Calibri" w:hAnsi="Calibri"/>
                      <w:color w:val="000000"/>
                      <w:sz w:val="16"/>
                    </w:rPr>
                    <w:t xml:space="preserve"> гемоглобина </w:t>
                  </w:r>
                  <w:r>
                    <w:rPr>
                      <w:rFonts w:ascii="Calibri" w:hAnsi="Calibri"/>
                      <w:color w:val="000000"/>
                      <w:sz w:val="16"/>
                    </w:rPr>
                    <w:t>иммунотурбидиметрическим</w:t>
                  </w:r>
                  <w:r>
                    <w:rPr>
                      <w:rFonts w:ascii="Calibri" w:hAnsi="Calibri"/>
                      <w:color w:val="000000"/>
                      <w:sz w:val="16"/>
                    </w:rPr>
                    <w:t xml:space="preserve"> методом</w:t>
                  </w:r>
                </w:p>
              </w:tc>
            </w:tr>
            <w:tr>
              <w:trPr>
                <w:trHeight w:hRule="atLeast" w:val="765"/>
              </w:trPr>
              <w:tc>
                <w:tcPr>
                  <w:tcW w:type="dxa" w:w="1620"/>
                  <w:tcBorders>
                    <w:top w:sz="4" w:val="nil"/>
                    <w:left w:color="000000" w:sz="4" w:val="single"/>
                    <w:bottom w:color="000000" w:sz="4" w:val="single"/>
                    <w:right w:color="000000" w:sz="4" w:val="single"/>
                  </w:tcBorders>
                  <w:shd w:fill="auto" w:val="clear"/>
                  <w:vAlign w:val="center"/>
                </w:tcPr>
                <w:p w14:paraId="1C010000">
                  <w:pPr>
                    <w:spacing w:after="0"/>
                    <w:ind/>
                    <w:jc w:val="center"/>
                    <w:rPr>
                      <w:rFonts w:ascii="Calibri" w:hAnsi="Calibri"/>
                      <w:sz w:val="16"/>
                    </w:rPr>
                  </w:pPr>
                  <w:r>
                    <w:rPr>
                      <w:rFonts w:ascii="Calibri" w:hAnsi="Calibri"/>
                      <w:sz w:val="16"/>
                    </w:rPr>
                    <w:t>качественная</w:t>
                  </w:r>
                </w:p>
              </w:tc>
              <w:tc>
                <w:tcPr>
                  <w:tcW w:type="dxa" w:w="2036"/>
                  <w:tcBorders>
                    <w:top w:sz="4" w:val="nil"/>
                    <w:left w:sz="4" w:val="nil"/>
                    <w:bottom w:color="000000" w:sz="4" w:val="single"/>
                    <w:right w:color="000000" w:sz="4" w:val="single"/>
                  </w:tcBorders>
                  <w:shd w:fill="auto" w:val="clear"/>
                  <w:vAlign w:val="center"/>
                </w:tcPr>
                <w:p w14:paraId="1D010000">
                  <w:pPr>
                    <w:spacing w:after="0"/>
                    <w:ind/>
                    <w:jc w:val="center"/>
                    <w:rPr>
                      <w:rFonts w:ascii="Calibri" w:hAnsi="Calibri"/>
                      <w:color w:val="000000"/>
                      <w:sz w:val="16"/>
                    </w:rPr>
                  </w:pPr>
                  <w:r>
                    <w:rPr>
                      <w:rFonts w:ascii="Calibri" w:hAnsi="Calibri"/>
                      <w:color w:val="000000"/>
                      <w:sz w:val="16"/>
                    </w:rPr>
                    <w:t>Лиофилизированный</w:t>
                  </w:r>
                  <w:r>
                    <w:rPr>
                      <w:rFonts w:ascii="Calibri" w:hAnsi="Calibri"/>
                      <w:color w:val="000000"/>
                      <w:sz w:val="16"/>
                    </w:rPr>
                    <w:t xml:space="preserve"> </w:t>
                  </w:r>
                  <w:r>
                    <w:rPr>
                      <w:rFonts w:ascii="Calibri" w:hAnsi="Calibri"/>
                      <w:color w:val="000000"/>
                      <w:sz w:val="16"/>
                    </w:rPr>
                    <w:t>гемолизат</w:t>
                  </w:r>
                  <w:r>
                    <w:rPr>
                      <w:rFonts w:ascii="Calibri" w:hAnsi="Calibri"/>
                      <w:color w:val="000000"/>
                      <w:sz w:val="16"/>
                    </w:rPr>
                    <w:t xml:space="preserve"> крови человека</w:t>
                  </w:r>
                </w:p>
              </w:tc>
              <w:tc>
                <w:tcPr>
                  <w:tcW w:type="dxa" w:w="3118"/>
                  <w:tcBorders>
                    <w:top w:sz="4" w:val="nil"/>
                    <w:left w:sz="4" w:val="nil"/>
                    <w:bottom w:color="000000" w:sz="4" w:val="single"/>
                    <w:right w:color="000000" w:sz="4" w:val="single"/>
                  </w:tcBorders>
                  <w:shd w:fill="auto" w:val="clear"/>
                  <w:vAlign w:val="center"/>
                </w:tcPr>
                <w:p w14:paraId="1E010000">
                  <w:pPr>
                    <w:spacing w:after="0"/>
                    <w:ind/>
                    <w:jc w:val="center"/>
                    <w:rPr>
                      <w:rFonts w:ascii="Calibri" w:hAnsi="Calibri"/>
                      <w:color w:val="000000"/>
                      <w:sz w:val="16"/>
                    </w:rPr>
                  </w:pPr>
                  <w:r>
                    <w:rPr>
                      <w:rFonts w:ascii="Calibri" w:hAnsi="Calibri"/>
                      <w:color w:val="000000"/>
                      <w:sz w:val="16"/>
                    </w:rPr>
                    <w:t>соответствие</w:t>
                  </w:r>
                </w:p>
              </w:tc>
            </w:tr>
            <w:tr>
              <w:trPr>
                <w:trHeight w:hRule="atLeast" w:val="765"/>
              </w:trPr>
              <w:tc>
                <w:tcPr>
                  <w:tcW w:type="dxa" w:w="1620"/>
                  <w:tcBorders>
                    <w:top w:sz="4" w:val="nil"/>
                    <w:left w:color="000000" w:sz="4" w:val="single"/>
                    <w:bottom w:color="000000" w:sz="4" w:val="single"/>
                    <w:right w:color="000000" w:sz="4" w:val="single"/>
                  </w:tcBorders>
                  <w:shd w:fill="auto" w:val="clear"/>
                  <w:vAlign w:val="center"/>
                </w:tcPr>
                <w:p w14:paraId="1F010000">
                  <w:pPr>
                    <w:spacing w:after="0"/>
                    <w:ind/>
                    <w:jc w:val="center"/>
                    <w:rPr>
                      <w:rFonts w:ascii="Calibri" w:hAnsi="Calibri"/>
                      <w:sz w:val="16"/>
                    </w:rPr>
                  </w:pPr>
                  <w:r>
                    <w:rPr>
                      <w:rFonts w:ascii="Calibri" w:hAnsi="Calibri"/>
                      <w:sz w:val="16"/>
                    </w:rPr>
                    <w:t>количественная</w:t>
                  </w:r>
                </w:p>
              </w:tc>
              <w:tc>
                <w:tcPr>
                  <w:tcW w:type="dxa" w:w="2036"/>
                  <w:tcBorders>
                    <w:top w:sz="4" w:val="nil"/>
                    <w:left w:sz="4" w:val="nil"/>
                    <w:bottom w:color="000000" w:sz="4" w:val="single"/>
                    <w:right w:color="000000" w:sz="4" w:val="single"/>
                  </w:tcBorders>
                  <w:shd w:fill="auto" w:val="clear"/>
                  <w:vAlign w:val="center"/>
                </w:tcPr>
                <w:p w14:paraId="20010000">
                  <w:pPr>
                    <w:spacing w:after="0"/>
                    <w:ind/>
                    <w:jc w:val="center"/>
                    <w:rPr>
                      <w:rFonts w:ascii="Calibri" w:hAnsi="Calibri"/>
                      <w:color w:val="000000"/>
                      <w:sz w:val="16"/>
                    </w:rPr>
                  </w:pPr>
                  <w:r>
                    <w:rPr>
                      <w:rFonts w:ascii="Calibri" w:hAnsi="Calibri"/>
                      <w:color w:val="000000"/>
                      <w:sz w:val="16"/>
                    </w:rPr>
                    <w:t>коли</w:t>
                  </w:r>
                  <w:r>
                    <w:rPr>
                      <w:rFonts w:ascii="Calibri" w:hAnsi="Calibri"/>
                      <w:color w:val="000000"/>
                      <w:sz w:val="16"/>
                    </w:rPr>
                    <w:t>ч</w:t>
                  </w:r>
                  <w:r>
                    <w:rPr>
                      <w:rFonts w:ascii="Calibri" w:hAnsi="Calibri"/>
                      <w:color w:val="000000"/>
                      <w:sz w:val="16"/>
                    </w:rPr>
                    <w:t>ество уровней</w:t>
                  </w:r>
                </w:p>
              </w:tc>
              <w:tc>
                <w:tcPr>
                  <w:tcW w:type="dxa" w:w="3118"/>
                  <w:tcBorders>
                    <w:top w:sz="4" w:val="nil"/>
                    <w:left w:sz="4" w:val="nil"/>
                    <w:bottom w:color="000000" w:sz="4" w:val="single"/>
                    <w:right w:color="000000" w:sz="4" w:val="single"/>
                  </w:tcBorders>
                  <w:shd w:fill="auto" w:val="clear"/>
                  <w:vAlign w:val="center"/>
                </w:tcPr>
                <w:p w14:paraId="21010000">
                  <w:pPr>
                    <w:spacing w:after="0"/>
                    <w:ind/>
                    <w:jc w:val="center"/>
                    <w:rPr>
                      <w:rFonts w:ascii="Calibri" w:hAnsi="Calibri"/>
                      <w:color w:val="000000"/>
                      <w:sz w:val="16"/>
                    </w:rPr>
                  </w:pPr>
                  <w:r>
                    <w:rPr>
                      <w:rFonts w:ascii="Calibri" w:hAnsi="Calibri"/>
                      <w:color w:val="000000"/>
                      <w:sz w:val="16"/>
                    </w:rPr>
                    <w:t xml:space="preserve"> ≥ 2</w:t>
                  </w:r>
                </w:p>
              </w:tc>
            </w:tr>
            <w:tr>
              <w:trPr>
                <w:trHeight w:hRule="atLeast" w:val="765"/>
              </w:trPr>
              <w:tc>
                <w:tcPr>
                  <w:tcW w:type="dxa" w:w="1620"/>
                  <w:tcBorders>
                    <w:top w:sz="4" w:val="nil"/>
                    <w:left w:color="000000" w:sz="4" w:val="single"/>
                    <w:bottom w:sz="4" w:val="nil"/>
                    <w:right w:color="000000" w:sz="4" w:val="single"/>
                  </w:tcBorders>
                  <w:shd w:fill="auto" w:val="clear"/>
                  <w:vAlign w:val="center"/>
                </w:tcPr>
                <w:p w14:paraId="22010000">
                  <w:pPr>
                    <w:spacing w:after="0"/>
                    <w:ind/>
                    <w:jc w:val="center"/>
                    <w:rPr>
                      <w:rFonts w:ascii="Calibri" w:hAnsi="Calibri"/>
                      <w:sz w:val="16"/>
                    </w:rPr>
                  </w:pPr>
                  <w:r>
                    <w:rPr>
                      <w:rFonts w:ascii="Calibri" w:hAnsi="Calibri"/>
                      <w:sz w:val="16"/>
                    </w:rPr>
                    <w:t>Качественная</w:t>
                  </w:r>
                </w:p>
              </w:tc>
              <w:tc>
                <w:tcPr>
                  <w:tcW w:type="dxa" w:w="2036"/>
                  <w:tcBorders>
                    <w:top w:sz="4" w:val="nil"/>
                    <w:left w:sz="4" w:val="nil"/>
                    <w:bottom w:sz="4" w:val="nil"/>
                    <w:right w:color="000000" w:sz="4" w:val="single"/>
                  </w:tcBorders>
                  <w:shd w:fill="auto" w:val="clear"/>
                  <w:vAlign w:val="center"/>
                </w:tcPr>
                <w:p w14:paraId="23010000">
                  <w:pPr>
                    <w:spacing w:after="0"/>
                    <w:ind/>
                    <w:jc w:val="center"/>
                    <w:rPr>
                      <w:rFonts w:ascii="Calibri" w:hAnsi="Calibri"/>
                      <w:sz w:val="16"/>
                    </w:rPr>
                  </w:pPr>
                  <w:r>
                    <w:rPr>
                      <w:rFonts w:ascii="Calibri" w:hAnsi="Calibri"/>
                      <w:sz w:val="16"/>
                    </w:rPr>
                    <w:t>Совместимость с биохимическим анализатором Сапфир 400 (имеющимся у заказчика</w:t>
                  </w:r>
                  <w:r>
                    <w:rPr>
                      <w:rFonts w:ascii="Calibri" w:hAnsi="Calibri"/>
                      <w:sz w:val="16"/>
                    </w:rPr>
                    <w:t>) .</w:t>
                  </w:r>
                </w:p>
              </w:tc>
              <w:tc>
                <w:tcPr>
                  <w:tcW w:type="dxa" w:w="3118"/>
                  <w:tcBorders>
                    <w:top w:sz="4" w:val="nil"/>
                    <w:left w:sz="4" w:val="nil"/>
                    <w:bottom w:sz="4" w:val="nil"/>
                    <w:right w:color="000000" w:sz="4" w:val="single"/>
                  </w:tcBorders>
                  <w:shd w:fill="auto" w:val="clear"/>
                  <w:vAlign w:val="center"/>
                </w:tcPr>
                <w:p w14:paraId="24010000">
                  <w:pPr>
                    <w:spacing w:after="0"/>
                    <w:ind/>
                    <w:jc w:val="center"/>
                    <w:rPr>
                      <w:rFonts w:ascii="Calibri" w:hAnsi="Calibri"/>
                      <w:color w:val="000000"/>
                      <w:sz w:val="16"/>
                    </w:rPr>
                  </w:pPr>
                  <w:r>
                    <w:rPr>
                      <w:rFonts w:ascii="Calibri" w:hAnsi="Calibri"/>
                      <w:color w:val="000000"/>
                      <w:sz w:val="16"/>
                    </w:rPr>
                    <w:t>соответствие</w:t>
                  </w:r>
                </w:p>
              </w:tc>
            </w:tr>
            <w:tr>
              <w:trPr>
                <w:trHeight w:hRule="atLeast" w:val="465"/>
              </w:trPr>
              <w:tc>
                <w:tcPr>
                  <w:tcW w:type="dxa" w:w="1620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  <w:shd w:fill="auto" w:val="clear"/>
                  <w:vAlign w:val="center"/>
                </w:tcPr>
                <w:p w14:paraId="25010000">
                  <w:pPr>
                    <w:spacing w:after="0"/>
                    <w:ind/>
                    <w:jc w:val="center"/>
                    <w:rPr>
                      <w:rFonts w:ascii="Calibri" w:hAnsi="Calibri"/>
                      <w:sz w:val="16"/>
                    </w:rPr>
                  </w:pPr>
                  <w:r>
                    <w:rPr>
                      <w:rFonts w:ascii="Calibri" w:hAnsi="Calibri"/>
                      <w:sz w:val="16"/>
                    </w:rPr>
                    <w:t> </w:t>
                  </w:r>
                </w:p>
              </w:tc>
              <w:tc>
                <w:tcPr>
                  <w:tcW w:type="dxa" w:w="2036"/>
                  <w:tcBorders>
                    <w:top w:color="000000" w:sz="4" w:val="single"/>
                    <w:left w:sz="4" w:val="nil"/>
                    <w:bottom w:color="000000" w:sz="4" w:val="single"/>
                    <w:right w:color="000000" w:sz="4" w:val="single"/>
                  </w:tcBorders>
                  <w:shd w:fill="auto" w:val="clear"/>
                  <w:vAlign w:val="center"/>
                </w:tcPr>
                <w:p w14:paraId="26010000">
                  <w:pPr>
                    <w:spacing w:after="0"/>
                    <w:ind/>
                    <w:jc w:val="center"/>
                    <w:rPr>
                      <w:rFonts w:ascii="Calibri" w:hAnsi="Calibri"/>
                      <w:sz w:val="16"/>
                    </w:rPr>
                  </w:pPr>
                  <w:r>
                    <w:rPr>
                      <w:rFonts w:ascii="Calibri" w:hAnsi="Calibri"/>
                      <w:sz w:val="16"/>
                    </w:rPr>
                    <w:t>Мин. остаточный срок годности.</w:t>
                  </w:r>
                </w:p>
              </w:tc>
              <w:tc>
                <w:tcPr>
                  <w:tcW w:type="dxa" w:w="3118"/>
                  <w:tcBorders>
                    <w:top w:color="000000" w:sz="4" w:val="single"/>
                    <w:left w:sz="4" w:val="nil"/>
                    <w:bottom w:color="000000" w:sz="4" w:val="single"/>
                    <w:right w:color="000000" w:sz="4" w:val="single"/>
                  </w:tcBorders>
                  <w:shd w:fill="auto" w:val="clear"/>
                  <w:vAlign w:val="center"/>
                </w:tcPr>
                <w:p w14:paraId="27010000">
                  <w:pPr>
                    <w:spacing w:after="0"/>
                    <w:ind/>
                    <w:jc w:val="center"/>
                    <w:rPr>
                      <w:rFonts w:ascii="Calibri" w:hAnsi="Calibri"/>
                      <w:color w:val="000000"/>
                      <w:sz w:val="16"/>
                    </w:rPr>
                  </w:pPr>
                  <w:r>
                    <w:rPr>
                      <w:rFonts w:ascii="Calibri" w:hAnsi="Calibri"/>
                      <w:color w:val="000000"/>
                      <w:sz w:val="16"/>
                    </w:rPr>
                    <w:t>не менее 3 месяцев</w:t>
                  </w:r>
                </w:p>
              </w:tc>
            </w:tr>
          </w:tbl>
          <w:p w14:paraId="28010000">
            <w:pPr>
              <w:spacing w:after="0"/>
              <w:ind/>
              <w:jc w:val="left"/>
              <w:rPr>
                <w:sz w:val="22"/>
              </w:rPr>
            </w:pPr>
          </w:p>
        </w:tc>
        <w:tc>
          <w:tcPr>
            <w:tcW w:type="dxa" w:w="992"/>
            <w:tcBorders>
              <w:top w:color="000000" w:sz="6" w:val="single"/>
              <w:left w:color="000000" w:sz="6" w:val="single"/>
              <w:bottom w:color="000001" w:sz="2" w:val="single"/>
              <w:right w:color="000000" w:sz="6" w:val="single"/>
            </w:tcBorders>
            <w:tcMar>
              <w:left w:type="dxa" w:w="25"/>
              <w:right w:type="dxa" w:w="170"/>
            </w:tcMar>
          </w:tcPr>
          <w:p w14:paraId="2901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набор</w:t>
            </w:r>
          </w:p>
        </w:tc>
        <w:tc>
          <w:tcPr>
            <w:tcW w:type="dxa" w:w="1134"/>
            <w:tcBorders>
              <w:top w:color="000000" w:sz="6" w:val="single"/>
              <w:left w:color="000000" w:sz="6" w:val="single"/>
              <w:bottom w:color="000001" w:sz="2" w:val="single"/>
              <w:right w:color="000000" w:sz="6" w:val="single"/>
            </w:tcBorders>
            <w:tcMar>
              <w:left w:type="dxa" w:w="25"/>
              <w:right w:type="dxa" w:w="170"/>
            </w:tcMar>
          </w:tcPr>
          <w:p w14:paraId="2A01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</w:t>
            </w:r>
          </w:p>
        </w:tc>
        <w:tc>
          <w:tcPr>
            <w:tcW w:type="dxa" w:w="1134"/>
            <w:tcBorders>
              <w:top w:color="000000" w:sz="6" w:val="single"/>
              <w:left w:color="000000" w:sz="6" w:val="single"/>
              <w:bottom w:color="000001" w:sz="2" w:val="single"/>
              <w:right w:color="000000" w:sz="6" w:val="single"/>
            </w:tcBorders>
            <w:tcMar>
              <w:left w:type="dxa" w:w="25"/>
              <w:right w:type="dxa" w:w="170"/>
            </w:tcMar>
          </w:tcPr>
          <w:p w14:paraId="2B010000">
            <w:pPr>
              <w:ind/>
              <w:jc w:val="center"/>
              <w:rPr>
                <w:color w:val="000000"/>
                <w:sz w:val="22"/>
              </w:rPr>
            </w:pPr>
          </w:p>
        </w:tc>
        <w:tc>
          <w:tcPr>
            <w:tcW w:type="dxa" w:w="851"/>
            <w:gridSpan w:val="2"/>
            <w:tcBorders>
              <w:top w:color="000000" w:sz="6" w:val="single"/>
              <w:left w:color="000000" w:sz="6" w:val="single"/>
              <w:bottom w:color="000001" w:sz="2" w:val="single"/>
              <w:right w:color="000000" w:sz="6" w:val="single"/>
            </w:tcBorders>
            <w:tcMar>
              <w:left w:type="dxa" w:w="25"/>
              <w:right w:type="dxa" w:w="170"/>
            </w:tcMar>
          </w:tcPr>
          <w:p w14:paraId="2C010000">
            <w:pPr>
              <w:ind/>
              <w:jc w:val="center"/>
              <w:rPr>
                <w:color w:val="000000"/>
                <w:sz w:val="22"/>
              </w:rPr>
            </w:pPr>
          </w:p>
        </w:tc>
        <w:tc>
          <w:tcPr>
            <w:tcW w:type="dxa" w:w="1491"/>
            <w:tcBorders>
              <w:top w:color="000000" w:sz="6" w:val="single"/>
              <w:left w:color="000000" w:sz="6" w:val="single"/>
              <w:bottom w:color="000001" w:sz="2" w:val="single"/>
              <w:right w:color="000000" w:sz="6" w:val="single"/>
            </w:tcBorders>
            <w:tcMar>
              <w:left w:type="dxa" w:w="25"/>
              <w:right w:type="dxa" w:w="170"/>
            </w:tcMar>
          </w:tcPr>
          <w:p w14:paraId="2D010000">
            <w:pPr>
              <w:ind/>
              <w:jc w:val="center"/>
              <w:rPr>
                <w:color w:val="000000"/>
                <w:sz w:val="22"/>
              </w:rPr>
            </w:pPr>
          </w:p>
        </w:tc>
      </w:tr>
      <w:tr>
        <w:trPr>
          <w:trHeight w:hRule="atLeast" w:val="3515"/>
        </w:trPr>
        <w:tc>
          <w:tcPr>
            <w:tcW w:type="dxa" w:w="567"/>
            <w:tcBorders>
              <w:top w:color="000001" w:sz="2" w:val="single"/>
              <w:left w:color="000001" w:sz="2" w:val="single"/>
              <w:bottom w:sz="4" w:val="nil"/>
            </w:tcBorders>
            <w:tcMar>
              <w:left w:type="dxa" w:w="25"/>
              <w:right w:type="dxa" w:w="170"/>
            </w:tcMar>
          </w:tcPr>
          <w:p w14:paraId="2E010000">
            <w:pPr>
              <w:ind/>
              <w:jc w:val="center"/>
              <w:rPr>
                <w:b w:val="1"/>
                <w:color w:val="000000"/>
                <w:sz w:val="22"/>
              </w:rPr>
            </w:pPr>
            <w:r>
              <w:rPr>
                <w:b w:val="1"/>
                <w:color w:val="000000"/>
                <w:sz w:val="22"/>
              </w:rPr>
              <w:t>2</w:t>
            </w:r>
          </w:p>
        </w:tc>
        <w:tc>
          <w:tcPr>
            <w:tcW w:type="dxa" w:w="3119"/>
            <w:gridSpan w:val="2"/>
            <w:tcBorders>
              <w:top w:color="000000" w:sz="6" w:val="single"/>
              <w:left w:color="000000" w:sz="6" w:val="single"/>
              <w:bottom w:color="000001" w:sz="2" w:val="single"/>
              <w:right w:color="000000" w:sz="4" w:val="single"/>
            </w:tcBorders>
            <w:tcMar>
              <w:left w:type="dxa" w:w="25"/>
              <w:right w:type="dxa" w:w="170"/>
            </w:tcMar>
          </w:tcPr>
          <w:p w14:paraId="2F010000">
            <w:pPr>
              <w:ind/>
              <w:jc w:val="left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21.20.23.110-00010158 </w:t>
            </w:r>
          </w:p>
          <w:p w14:paraId="30010000">
            <w:pPr>
              <w:spacing w:after="0"/>
              <w:ind/>
              <w:jc w:val="center"/>
              <w:rPr>
                <w:color w:val="000000"/>
              </w:rPr>
            </w:pPr>
            <w:r>
              <w:rPr>
                <w:color w:val="000000"/>
                <w:sz w:val="22"/>
              </w:rPr>
              <w:t xml:space="preserve">Множественные </w:t>
            </w:r>
            <w:r>
              <w:rPr>
                <w:color w:val="000000"/>
                <w:sz w:val="22"/>
              </w:rPr>
              <w:t>аналиты</w:t>
            </w:r>
            <w:r>
              <w:rPr>
                <w:color w:val="000000"/>
                <w:sz w:val="22"/>
              </w:rPr>
              <w:t xml:space="preserve"> клинической химии ИВД, контрольный материал</w:t>
            </w:r>
          </w:p>
        </w:tc>
        <w:tc>
          <w:tcPr>
            <w:tcW w:type="dxa" w:w="6804"/>
            <w:tcBorders>
              <w:top w:color="000000" w:sz="4" w:val="single"/>
              <w:left w:color="000000" w:sz="4" w:val="single"/>
              <w:bottom w:sz="4" w:val="nil"/>
              <w:right w:color="000000" w:sz="4" w:val="single"/>
            </w:tcBorders>
            <w:shd w:fill="auto" w:val="clear"/>
            <w:tcMar>
              <w:left w:type="dxa" w:w="25"/>
              <w:right w:type="dxa" w:w="170"/>
            </w:tcMar>
          </w:tcPr>
          <w:tbl>
            <w:tblPr>
              <w:tblStyle w:val="Style_7"/>
              <w:tblW w:type="auto" w:w="0"/>
              <w:tblLayout w:type="fixed"/>
            </w:tblPr>
            <w:tblGrid>
              <w:gridCol w:w="981"/>
              <w:gridCol w:w="1824"/>
              <w:gridCol w:w="2410"/>
              <w:gridCol w:w="1526"/>
            </w:tblGrid>
            <w:tr>
              <w:trPr>
                <w:trHeight w:hRule="atLeast" w:val="689"/>
              </w:trPr>
              <w:tc>
                <w:tcPr>
                  <w:tcW w:type="dxa" w:w="981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  <w:shd w:fill="auto" w:val="clear"/>
                  <w:vAlign w:val="center"/>
                </w:tcPr>
                <w:p w14:paraId="31010000">
                  <w:pPr>
                    <w:spacing w:after="0"/>
                    <w:ind/>
                    <w:jc w:val="center"/>
                    <w:rPr>
                      <w:rFonts w:ascii="Calibri" w:hAnsi="Calibri"/>
                      <w:sz w:val="16"/>
                    </w:rPr>
                  </w:pPr>
                  <w:r>
                    <w:rPr>
                      <w:rFonts w:ascii="Calibri" w:hAnsi="Calibri"/>
                      <w:sz w:val="16"/>
                    </w:rPr>
                    <w:t>качественная</w:t>
                  </w:r>
                </w:p>
              </w:tc>
              <w:tc>
                <w:tcPr>
                  <w:tcW w:type="dxa" w:w="1824"/>
                  <w:tcBorders>
                    <w:top w:color="000000" w:sz="4" w:val="single"/>
                    <w:left w:sz="4" w:val="nil"/>
                    <w:bottom w:color="000000" w:sz="4" w:val="single"/>
                    <w:right w:color="000000" w:sz="4" w:val="single"/>
                  </w:tcBorders>
                  <w:shd w:fill="auto" w:val="clear"/>
                  <w:vAlign w:val="center"/>
                </w:tcPr>
                <w:p w14:paraId="32010000">
                  <w:pPr>
                    <w:spacing w:after="0"/>
                    <w:ind/>
                    <w:jc w:val="center"/>
                    <w:rPr>
                      <w:rFonts w:ascii="Calibri" w:hAnsi="Calibri"/>
                      <w:color w:val="000000"/>
                      <w:sz w:val="16"/>
                    </w:rPr>
                  </w:pPr>
                  <w:r>
                    <w:rPr>
                      <w:rFonts w:ascii="Calibri" w:hAnsi="Calibri"/>
                      <w:color w:val="000000"/>
                      <w:sz w:val="16"/>
                    </w:rPr>
                    <w:t>Уровень контрольного материала</w:t>
                  </w:r>
                </w:p>
              </w:tc>
              <w:tc>
                <w:tcPr>
                  <w:tcW w:type="dxa" w:w="2410"/>
                  <w:tcBorders>
                    <w:top w:color="000000" w:sz="4" w:val="single"/>
                    <w:left w:sz="4" w:val="nil"/>
                    <w:bottom w:color="000000" w:sz="4" w:val="single"/>
                    <w:right w:color="000000" w:sz="4" w:val="single"/>
                  </w:tcBorders>
                  <w:shd w:fill="auto" w:val="clear"/>
                  <w:vAlign w:val="center"/>
                </w:tcPr>
                <w:p w14:paraId="33010000">
                  <w:pPr>
                    <w:spacing w:after="0"/>
                    <w:ind/>
                    <w:jc w:val="center"/>
                    <w:rPr>
                      <w:rFonts w:ascii="Calibri" w:hAnsi="Calibri"/>
                      <w:color w:val="000000"/>
                      <w:sz w:val="16"/>
                    </w:rPr>
                  </w:pPr>
                  <w:r>
                    <w:rPr>
                      <w:rFonts w:ascii="Calibri" w:hAnsi="Calibri"/>
                      <w:color w:val="000000"/>
                      <w:sz w:val="16"/>
                    </w:rPr>
                    <w:t>норма</w:t>
                  </w:r>
                </w:p>
              </w:tc>
              <w:tc>
                <w:tcPr>
                  <w:tcW w:type="dxa" w:w="1526"/>
                  <w:tcBorders>
                    <w:top w:color="000000" w:sz="4" w:val="single"/>
                    <w:left w:sz="4" w:val="nil"/>
                    <w:bottom w:color="000000" w:sz="4" w:val="single"/>
                    <w:right w:color="000000" w:sz="4" w:val="single"/>
                  </w:tcBorders>
                  <w:shd w:fill="auto" w:val="clear"/>
                  <w:vAlign w:val="center"/>
                </w:tcPr>
                <w:p w14:paraId="34010000">
                  <w:pPr>
                    <w:spacing w:after="0"/>
                    <w:ind/>
                    <w:jc w:val="center"/>
                    <w:rPr>
                      <w:rFonts w:ascii="Calibri" w:hAnsi="Calibri"/>
                      <w:color w:val="000000"/>
                      <w:sz w:val="16"/>
                    </w:rPr>
                  </w:pPr>
                  <w:r>
                    <w:rPr>
                      <w:rFonts w:ascii="Calibri" w:hAnsi="Calibri"/>
                      <w:color w:val="000000"/>
                      <w:sz w:val="16"/>
                    </w:rPr>
                    <w:t> </w:t>
                  </w:r>
                </w:p>
              </w:tc>
            </w:tr>
            <w:tr>
              <w:trPr>
                <w:trHeight w:hRule="atLeast" w:val="543"/>
              </w:trPr>
              <w:tc>
                <w:tcPr>
                  <w:tcW w:type="dxa" w:w="981"/>
                  <w:tcBorders>
                    <w:top w:sz="4" w:val="nil"/>
                    <w:left w:color="000000" w:sz="4" w:val="single"/>
                    <w:bottom w:color="000000" w:sz="4" w:val="single"/>
                    <w:right w:color="000000" w:sz="4" w:val="single"/>
                  </w:tcBorders>
                  <w:shd w:fill="FFFFFF" w:val="clear"/>
                  <w:vAlign w:val="center"/>
                </w:tcPr>
                <w:p w14:paraId="35010000">
                  <w:pPr>
                    <w:spacing w:after="0"/>
                    <w:ind/>
                    <w:jc w:val="center"/>
                    <w:rPr>
                      <w:rFonts w:ascii="Calibri" w:hAnsi="Calibri"/>
                      <w:sz w:val="16"/>
                    </w:rPr>
                  </w:pPr>
                  <w:r>
                    <w:rPr>
                      <w:rFonts w:ascii="Calibri" w:hAnsi="Calibri"/>
                      <w:sz w:val="16"/>
                    </w:rPr>
                    <w:t>количественная</w:t>
                  </w:r>
                </w:p>
              </w:tc>
              <w:tc>
                <w:tcPr>
                  <w:tcW w:type="dxa" w:w="1824"/>
                  <w:tcBorders>
                    <w:top w:sz="4" w:val="nil"/>
                    <w:left w:sz="4" w:val="nil"/>
                    <w:bottom w:color="000000" w:sz="4" w:val="single"/>
                    <w:right w:color="000000" w:sz="4" w:val="single"/>
                  </w:tcBorders>
                  <w:shd w:fill="auto" w:val="clear"/>
                  <w:vAlign w:val="center"/>
                </w:tcPr>
                <w:p w14:paraId="36010000">
                  <w:pPr>
                    <w:spacing w:after="0"/>
                    <w:ind/>
                    <w:jc w:val="center"/>
                    <w:rPr>
                      <w:rFonts w:ascii="Calibri" w:hAnsi="Calibri"/>
                      <w:color w:val="000000"/>
                      <w:sz w:val="16"/>
                    </w:rPr>
                  </w:pPr>
                  <w:r>
                    <w:rPr>
                      <w:rFonts w:ascii="Calibri" w:hAnsi="Calibri"/>
                      <w:color w:val="000000"/>
                      <w:sz w:val="16"/>
                    </w:rPr>
                    <w:t>Количество флаконов</w:t>
                  </w:r>
                </w:p>
              </w:tc>
              <w:tc>
                <w:tcPr>
                  <w:tcW w:type="dxa" w:w="2410"/>
                  <w:tcBorders>
                    <w:top w:sz="4" w:val="nil"/>
                    <w:left w:sz="4" w:val="nil"/>
                    <w:bottom w:color="000000" w:sz="4" w:val="single"/>
                    <w:right w:color="000000" w:sz="4" w:val="single"/>
                  </w:tcBorders>
                  <w:shd w:fill="auto" w:val="clear"/>
                  <w:vAlign w:val="center"/>
                </w:tcPr>
                <w:p w14:paraId="37010000">
                  <w:pPr>
                    <w:spacing w:after="0"/>
                    <w:ind/>
                    <w:jc w:val="center"/>
                    <w:rPr>
                      <w:rFonts w:ascii="Calibri" w:hAnsi="Calibri"/>
                      <w:color w:val="000000"/>
                      <w:sz w:val="16"/>
                    </w:rPr>
                  </w:pPr>
                  <w:r>
                    <w:rPr>
                      <w:rFonts w:ascii="Calibri" w:hAnsi="Calibri"/>
                      <w:color w:val="000000"/>
                      <w:sz w:val="16"/>
                    </w:rPr>
                    <w:t>≥ 1</w:t>
                  </w:r>
                </w:p>
              </w:tc>
              <w:tc>
                <w:tcPr>
                  <w:tcW w:type="dxa" w:w="1526"/>
                  <w:tcBorders>
                    <w:top w:sz="4" w:val="nil"/>
                    <w:left w:sz="4" w:val="nil"/>
                    <w:bottom w:sz="4" w:val="nil"/>
                    <w:right w:color="000000" w:sz="4" w:val="single"/>
                  </w:tcBorders>
                  <w:shd w:fill="FFFFFF" w:val="clear"/>
                  <w:vAlign w:val="center"/>
                </w:tcPr>
                <w:p w14:paraId="38010000">
                  <w:pPr>
                    <w:spacing w:after="0"/>
                    <w:ind/>
                    <w:jc w:val="center"/>
                    <w:rPr>
                      <w:rFonts w:ascii="Calibri" w:hAnsi="Calibri"/>
                      <w:sz w:val="16"/>
                    </w:rPr>
                  </w:pPr>
                  <w:r>
                    <w:rPr>
                      <w:rFonts w:ascii="Calibri" w:hAnsi="Calibri"/>
                      <w:sz w:val="16"/>
                    </w:rPr>
                    <w:t>штука</w:t>
                  </w:r>
                </w:p>
              </w:tc>
            </w:tr>
            <w:tr>
              <w:trPr>
                <w:trHeight w:hRule="atLeast" w:val="564"/>
              </w:trPr>
              <w:tc>
                <w:tcPr>
                  <w:tcW w:type="dxa" w:w="981"/>
                  <w:tcBorders>
                    <w:top w:sz="4" w:val="nil"/>
                    <w:left w:color="000000" w:sz="4" w:val="single"/>
                    <w:bottom w:color="000000" w:sz="4" w:val="single"/>
                    <w:right w:color="000000" w:sz="4" w:val="single"/>
                  </w:tcBorders>
                  <w:shd w:fill="FFFFFF" w:val="clear"/>
                  <w:vAlign w:val="center"/>
                </w:tcPr>
                <w:p w14:paraId="39010000">
                  <w:pPr>
                    <w:spacing w:after="0"/>
                    <w:ind/>
                    <w:jc w:val="center"/>
                    <w:rPr>
                      <w:rFonts w:ascii="Calibri" w:hAnsi="Calibri"/>
                      <w:sz w:val="16"/>
                    </w:rPr>
                  </w:pPr>
                  <w:r>
                    <w:rPr>
                      <w:rFonts w:ascii="Calibri" w:hAnsi="Calibri"/>
                      <w:sz w:val="16"/>
                    </w:rPr>
                    <w:t>количественная</w:t>
                  </w:r>
                </w:p>
              </w:tc>
              <w:tc>
                <w:tcPr>
                  <w:tcW w:type="dxa" w:w="1824"/>
                  <w:tcBorders>
                    <w:top w:sz="4" w:val="nil"/>
                    <w:left w:sz="4" w:val="nil"/>
                    <w:bottom w:color="000000" w:sz="4" w:val="single"/>
                    <w:right w:color="000000" w:sz="4" w:val="single"/>
                  </w:tcBorders>
                  <w:shd w:fill="FFFFFF" w:val="clear"/>
                  <w:vAlign w:val="center"/>
                </w:tcPr>
                <w:p w14:paraId="3A010000">
                  <w:pPr>
                    <w:spacing w:after="0"/>
                    <w:ind/>
                    <w:jc w:val="center"/>
                    <w:rPr>
                      <w:rFonts w:ascii="Calibri" w:hAnsi="Calibri"/>
                      <w:sz w:val="16"/>
                    </w:rPr>
                  </w:pPr>
                  <w:r>
                    <w:rPr>
                      <w:rFonts w:ascii="Calibri" w:hAnsi="Calibri"/>
                      <w:sz w:val="16"/>
                    </w:rPr>
                    <w:t>Объем после разведения в каждом флаконе</w:t>
                  </w:r>
                </w:p>
              </w:tc>
              <w:tc>
                <w:tcPr>
                  <w:tcW w:type="dxa" w:w="2410"/>
                  <w:tcBorders>
                    <w:top w:sz="4" w:val="nil"/>
                    <w:left w:sz="4" w:val="nil"/>
                    <w:bottom w:color="000000" w:sz="4" w:val="single"/>
                    <w:right w:color="000000" w:sz="4" w:val="single"/>
                  </w:tcBorders>
                  <w:shd w:fill="auto" w:val="clear"/>
                  <w:vAlign w:val="center"/>
                </w:tcPr>
                <w:p w14:paraId="3B010000">
                  <w:pPr>
                    <w:spacing w:after="0"/>
                    <w:ind/>
                    <w:jc w:val="center"/>
                    <w:rPr>
                      <w:rFonts w:ascii="Calibri" w:hAnsi="Calibri"/>
                      <w:color w:val="000000"/>
                      <w:sz w:val="16"/>
                    </w:rPr>
                  </w:pPr>
                  <w:r>
                    <w:rPr>
                      <w:rFonts w:ascii="Calibri" w:hAnsi="Calibri"/>
                      <w:color w:val="000000"/>
                      <w:sz w:val="16"/>
                    </w:rPr>
                    <w:t>≥ 5</w:t>
                  </w:r>
                </w:p>
              </w:tc>
              <w:tc>
                <w:tcPr>
                  <w:tcW w:type="dxa" w:w="1526"/>
                  <w:tcBorders>
                    <w:top w:color="000000" w:sz="4" w:val="single"/>
                    <w:left w:sz="4" w:val="nil"/>
                    <w:bottom w:color="000000" w:sz="4" w:val="single"/>
                    <w:right w:color="000000" w:sz="4" w:val="single"/>
                  </w:tcBorders>
                  <w:shd w:fill="FFFFFF" w:val="clear"/>
                  <w:vAlign w:val="center"/>
                </w:tcPr>
                <w:p w14:paraId="3C010000">
                  <w:pPr>
                    <w:spacing w:after="0"/>
                    <w:ind/>
                    <w:jc w:val="center"/>
                    <w:rPr>
                      <w:rFonts w:ascii="Calibri" w:hAnsi="Calibri"/>
                      <w:sz w:val="16"/>
                    </w:rPr>
                  </w:pPr>
                  <w:r>
                    <w:rPr>
                      <w:rFonts w:ascii="Calibri" w:hAnsi="Calibri"/>
                      <w:sz w:val="16"/>
                    </w:rPr>
                    <w:t xml:space="preserve">Кубический </w:t>
                  </w:r>
                  <w:r>
                    <w:rPr>
                      <w:rFonts w:ascii="Calibri" w:hAnsi="Calibri"/>
                      <w:sz w:val="16"/>
                    </w:rPr>
                    <w:t>сантиметр;^</w:t>
                  </w:r>
                  <w:r>
                    <w:rPr>
                      <w:rFonts w:ascii="Calibri" w:hAnsi="Calibri"/>
                      <w:sz w:val="16"/>
                    </w:rPr>
                    <w:t>миллилитр</w:t>
                  </w:r>
                </w:p>
              </w:tc>
            </w:tr>
            <w:tr>
              <w:trPr>
                <w:trHeight w:hRule="atLeast" w:val="701"/>
              </w:trPr>
              <w:tc>
                <w:tcPr>
                  <w:tcW w:type="dxa" w:w="981"/>
                  <w:tcBorders>
                    <w:top w:sz="4" w:val="nil"/>
                    <w:left w:color="000000" w:sz="4" w:val="single"/>
                    <w:bottom w:color="000000" w:sz="4" w:val="single"/>
                    <w:right w:color="000000" w:sz="4" w:val="single"/>
                  </w:tcBorders>
                  <w:shd w:fill="FFFFFF" w:val="clear"/>
                  <w:vAlign w:val="center"/>
                </w:tcPr>
                <w:p w14:paraId="3D010000">
                  <w:pPr>
                    <w:spacing w:after="0"/>
                    <w:ind/>
                    <w:jc w:val="center"/>
                    <w:rPr>
                      <w:rFonts w:ascii="Calibri" w:hAnsi="Calibri"/>
                      <w:sz w:val="16"/>
                    </w:rPr>
                  </w:pPr>
                  <w:r>
                    <w:rPr>
                      <w:rFonts w:ascii="Calibri" w:hAnsi="Calibri"/>
                      <w:sz w:val="16"/>
                    </w:rPr>
                    <w:t>количественная</w:t>
                  </w:r>
                </w:p>
              </w:tc>
              <w:tc>
                <w:tcPr>
                  <w:tcW w:type="dxa" w:w="1824"/>
                  <w:tcBorders>
                    <w:top w:sz="4" w:val="nil"/>
                    <w:left w:sz="4" w:val="nil"/>
                    <w:bottom w:color="000000" w:sz="4" w:val="single"/>
                    <w:right w:color="000000" w:sz="4" w:val="single"/>
                  </w:tcBorders>
                  <w:shd w:fill="auto" w:val="clear"/>
                  <w:vAlign w:val="center"/>
                </w:tcPr>
                <w:p w14:paraId="3E010000">
                  <w:pPr>
                    <w:spacing w:after="0"/>
                    <w:ind/>
                    <w:jc w:val="center"/>
                    <w:rPr>
                      <w:rFonts w:ascii="Calibri" w:hAnsi="Calibri"/>
                      <w:sz w:val="16"/>
                    </w:rPr>
                  </w:pPr>
                  <w:r>
                    <w:rPr>
                      <w:rFonts w:ascii="Calibri" w:hAnsi="Calibri"/>
                      <w:sz w:val="16"/>
                    </w:rPr>
                    <w:t xml:space="preserve">параметры для контроля правильности определения  </w:t>
                  </w:r>
                </w:p>
              </w:tc>
              <w:tc>
                <w:tcPr>
                  <w:tcW w:type="dxa" w:w="2410"/>
                  <w:tcBorders>
                    <w:top w:sz="4" w:val="nil"/>
                    <w:left w:sz="4" w:val="nil"/>
                    <w:bottom w:color="000000" w:sz="4" w:val="single"/>
                    <w:right w:color="000000" w:sz="4" w:val="single"/>
                  </w:tcBorders>
                  <w:shd w:fill="auto" w:val="clear"/>
                  <w:vAlign w:val="center"/>
                </w:tcPr>
                <w:p w14:paraId="3F010000">
                  <w:pPr>
                    <w:spacing w:after="0"/>
                    <w:ind/>
                    <w:jc w:val="center"/>
                    <w:rPr>
                      <w:rFonts w:ascii="Calibri" w:hAnsi="Calibri"/>
                      <w:color w:val="000000"/>
                      <w:sz w:val="16"/>
                    </w:rPr>
                  </w:pPr>
                  <w:r>
                    <w:rPr>
                      <w:rFonts w:ascii="Calibri" w:hAnsi="Calibri"/>
                      <w:color w:val="000000"/>
                      <w:sz w:val="16"/>
                    </w:rPr>
                    <w:t xml:space="preserve">  ≥ 45</w:t>
                  </w:r>
                </w:p>
              </w:tc>
              <w:tc>
                <w:tcPr>
                  <w:tcW w:type="dxa" w:w="1526"/>
                  <w:tcBorders>
                    <w:top w:sz="4" w:val="nil"/>
                    <w:left w:sz="4" w:val="nil"/>
                    <w:bottom w:sz="4" w:val="nil"/>
                    <w:right w:color="000000" w:sz="4" w:val="single"/>
                  </w:tcBorders>
                  <w:shd w:fill="FFFFFF" w:val="clear"/>
                  <w:vAlign w:val="center"/>
                </w:tcPr>
                <w:p w14:paraId="40010000">
                  <w:pPr>
                    <w:spacing w:after="0"/>
                    <w:ind/>
                    <w:jc w:val="center"/>
                    <w:rPr>
                      <w:rFonts w:ascii="Calibri" w:hAnsi="Calibri"/>
                      <w:sz w:val="16"/>
                    </w:rPr>
                  </w:pPr>
                  <w:r>
                    <w:rPr>
                      <w:rFonts w:ascii="Calibri" w:hAnsi="Calibri"/>
                      <w:sz w:val="16"/>
                    </w:rPr>
                    <w:t>штука</w:t>
                  </w:r>
                </w:p>
              </w:tc>
            </w:tr>
            <w:tr>
              <w:trPr>
                <w:trHeight w:hRule="atLeast" w:val="4241"/>
              </w:trPr>
              <w:tc>
                <w:tcPr>
                  <w:tcW w:type="dxa" w:w="981"/>
                  <w:tcBorders>
                    <w:top w:sz="4" w:val="nil"/>
                    <w:left w:color="000000" w:sz="4" w:val="single"/>
                    <w:bottom w:sz="4" w:val="nil"/>
                    <w:right w:color="000000" w:sz="4" w:val="single"/>
                  </w:tcBorders>
                  <w:shd w:fill="FFFFFF" w:val="clear"/>
                  <w:vAlign w:val="center"/>
                </w:tcPr>
                <w:p w14:paraId="41010000">
                  <w:pPr>
                    <w:spacing w:after="0"/>
                    <w:ind/>
                    <w:jc w:val="center"/>
                    <w:rPr>
                      <w:rFonts w:ascii="Calibri" w:hAnsi="Calibri"/>
                      <w:sz w:val="16"/>
                    </w:rPr>
                  </w:pPr>
                  <w:r>
                    <w:rPr>
                      <w:rFonts w:ascii="Calibri" w:hAnsi="Calibri"/>
                      <w:sz w:val="16"/>
                    </w:rPr>
                    <w:t>Качественная</w:t>
                  </w:r>
                </w:p>
              </w:tc>
              <w:tc>
                <w:tcPr>
                  <w:tcW w:type="dxa" w:w="1824"/>
                  <w:tcBorders>
                    <w:top w:sz="4" w:val="nil"/>
                    <w:left w:sz="4" w:val="nil"/>
                    <w:bottom w:color="000000" w:sz="4" w:val="single"/>
                    <w:right w:color="000000" w:sz="4" w:val="single"/>
                  </w:tcBorders>
                  <w:shd w:fill="auto" w:val="clear"/>
                  <w:vAlign w:val="center"/>
                </w:tcPr>
                <w:p w14:paraId="42010000">
                  <w:pPr>
                    <w:spacing w:after="0"/>
                    <w:ind/>
                    <w:jc w:val="center"/>
                    <w:rPr>
                      <w:rFonts w:ascii="Calibri" w:hAnsi="Calibri"/>
                      <w:color w:val="000000"/>
                      <w:sz w:val="16"/>
                    </w:rPr>
                  </w:pPr>
                  <w:r>
                    <w:rPr>
                      <w:rFonts w:ascii="Calibri" w:hAnsi="Calibri"/>
                      <w:color w:val="000000"/>
                      <w:sz w:val="16"/>
                    </w:rPr>
                    <w:t>Контролируемые параметры</w:t>
                  </w:r>
                </w:p>
              </w:tc>
              <w:tc>
                <w:tcPr>
                  <w:tcW w:type="dxa" w:w="2410"/>
                  <w:tcBorders>
                    <w:top w:sz="4" w:val="nil"/>
                    <w:left w:sz="4" w:val="nil"/>
                    <w:bottom w:color="000000" w:sz="4" w:val="single"/>
                    <w:right w:color="000000" w:sz="4" w:val="single"/>
                  </w:tcBorders>
                  <w:shd w:fill="auto" w:val="clear"/>
                  <w:vAlign w:val="center"/>
                </w:tcPr>
                <w:p w14:paraId="43010000">
                  <w:pPr>
                    <w:spacing w:after="0"/>
                    <w:ind/>
                    <w:rPr>
                      <w:rFonts w:ascii="Calibri" w:hAnsi="Calibri"/>
                      <w:color w:val="000000"/>
                      <w:sz w:val="16"/>
                    </w:rPr>
                  </w:pPr>
                  <w:r>
                    <w:rPr>
                      <w:rFonts w:ascii="Calibri" w:hAnsi="Calibri"/>
                      <w:color w:val="000000"/>
                      <w:sz w:val="16"/>
                    </w:rPr>
                    <w:t xml:space="preserve">(Кислая фосфатаза (общая, простатическая),Щелочная фосфатаза, АЛТ, АСТ, α-Амилаза, Панкреатическая α-Амилаза, </w:t>
                  </w:r>
                  <w:r>
                    <w:rPr>
                      <w:rFonts w:ascii="Calibri" w:hAnsi="Calibri"/>
                      <w:color w:val="000000"/>
                      <w:sz w:val="16"/>
                    </w:rPr>
                    <w:t>Креатинкиназа</w:t>
                  </w:r>
                  <w:r>
                    <w:rPr>
                      <w:rFonts w:ascii="Calibri" w:hAnsi="Calibri"/>
                      <w:color w:val="000000"/>
                      <w:sz w:val="16"/>
                    </w:rPr>
                    <w:t xml:space="preserve">, </w:t>
                  </w:r>
                  <w:r>
                    <w:rPr>
                      <w:rFonts w:ascii="Calibri" w:hAnsi="Calibri"/>
                      <w:color w:val="000000"/>
                      <w:sz w:val="16"/>
                    </w:rPr>
                    <w:t>Креатинкиназа</w:t>
                  </w:r>
                  <w:r>
                    <w:rPr>
                      <w:rFonts w:ascii="Calibri" w:hAnsi="Calibri"/>
                      <w:color w:val="000000"/>
                      <w:sz w:val="16"/>
                    </w:rPr>
                    <w:t xml:space="preserve">-МВ, ГГТ, ЛДГ, </w:t>
                  </w:r>
                  <w:r>
                    <w:rPr>
                      <w:rFonts w:ascii="Calibri" w:hAnsi="Calibri"/>
                      <w:color w:val="000000"/>
                      <w:sz w:val="16"/>
                    </w:rPr>
                    <w:t>Холинэстераза</w:t>
                  </w:r>
                  <w:r>
                    <w:rPr>
                      <w:rFonts w:ascii="Calibri" w:hAnsi="Calibri"/>
                      <w:color w:val="000000"/>
                      <w:sz w:val="16"/>
                    </w:rPr>
                    <w:t xml:space="preserve">, Липаза, Кальций, Хлориды, Железо, ОЖСС, Магний, Фосфор, Калий, Натрий, Общий Холестерин, </w:t>
                  </w:r>
                  <w:r>
                    <w:rPr>
                      <w:rFonts w:ascii="Calibri" w:hAnsi="Calibri"/>
                      <w:color w:val="000000"/>
                      <w:sz w:val="16"/>
                    </w:rPr>
                    <w:t>Триглицериды,HDL</w:t>
                  </w:r>
                  <w:r>
                    <w:rPr>
                      <w:rFonts w:ascii="Calibri" w:hAnsi="Calibri"/>
                      <w:color w:val="000000"/>
                      <w:sz w:val="16"/>
                    </w:rPr>
                    <w:t xml:space="preserve">-холестерин (прямой метод и с осаждением), LDL-холестерин, </w:t>
                  </w:r>
                  <w:r>
                    <w:rPr>
                      <w:rFonts w:ascii="Calibri" w:hAnsi="Calibri"/>
                      <w:color w:val="000000"/>
                      <w:sz w:val="16"/>
                    </w:rPr>
                    <w:t>Апо</w:t>
                  </w:r>
                  <w:r>
                    <w:rPr>
                      <w:rFonts w:ascii="Calibri" w:hAnsi="Calibri"/>
                      <w:color w:val="000000"/>
                      <w:sz w:val="16"/>
                    </w:rPr>
                    <w:t xml:space="preserve"> А1, </w:t>
                  </w:r>
                  <w:r>
                    <w:rPr>
                      <w:rFonts w:ascii="Calibri" w:hAnsi="Calibri"/>
                      <w:color w:val="000000"/>
                      <w:sz w:val="16"/>
                    </w:rPr>
                    <w:t>Апо</w:t>
                  </w:r>
                  <w:r>
                    <w:rPr>
                      <w:rFonts w:ascii="Calibri" w:hAnsi="Calibri"/>
                      <w:color w:val="000000"/>
                      <w:sz w:val="16"/>
                    </w:rPr>
                    <w:t xml:space="preserve"> В100, Альбумин, Билирубин общий, Билирубин прямой, </w:t>
                  </w:r>
                  <w:r>
                    <w:rPr>
                      <w:rFonts w:ascii="Calibri" w:hAnsi="Calibri"/>
                      <w:color w:val="000000"/>
                      <w:sz w:val="16"/>
                    </w:rPr>
                    <w:t>Креатинин</w:t>
                  </w:r>
                  <w:r>
                    <w:rPr>
                      <w:rFonts w:ascii="Calibri" w:hAnsi="Calibri"/>
                      <w:color w:val="000000"/>
                      <w:sz w:val="16"/>
                    </w:rPr>
                    <w:t xml:space="preserve">, Глюкоза, </w:t>
                  </w:r>
                  <w:r>
                    <w:rPr>
                      <w:rFonts w:ascii="Calibri" w:hAnsi="Calibri"/>
                      <w:color w:val="000000"/>
                      <w:sz w:val="16"/>
                    </w:rPr>
                    <w:t>Лактат</w:t>
                  </w:r>
                  <w:r>
                    <w:rPr>
                      <w:rFonts w:ascii="Calibri" w:hAnsi="Calibri"/>
                      <w:color w:val="000000"/>
                      <w:sz w:val="16"/>
                    </w:rPr>
                    <w:t xml:space="preserve">, Общий белок, Мочевина, Мочевая кислота, </w:t>
                  </w:r>
                  <w:r>
                    <w:rPr>
                      <w:rFonts w:ascii="Calibri" w:hAnsi="Calibri"/>
                      <w:color w:val="000000"/>
                      <w:sz w:val="16"/>
                    </w:rPr>
                    <w:t>Антистрептолизин</w:t>
                  </w:r>
                  <w:r>
                    <w:rPr>
                      <w:rFonts w:ascii="Calibri" w:hAnsi="Calibri"/>
                      <w:color w:val="000000"/>
                      <w:sz w:val="16"/>
                    </w:rPr>
                    <w:t xml:space="preserve">(О),  </w:t>
                  </w:r>
                  <w:r>
                    <w:rPr>
                      <w:rFonts w:ascii="Calibri" w:hAnsi="Calibri"/>
                      <w:color w:val="000000"/>
                      <w:sz w:val="16"/>
                    </w:rPr>
                    <w:t>IgA</w:t>
                  </w:r>
                  <w:r>
                    <w:rPr>
                      <w:rFonts w:ascii="Calibri" w:hAnsi="Calibri"/>
                      <w:color w:val="000000"/>
                      <w:sz w:val="16"/>
                    </w:rPr>
                    <w:t xml:space="preserve">,  </w:t>
                  </w:r>
                  <w:r>
                    <w:rPr>
                      <w:rFonts w:ascii="Calibri" w:hAnsi="Calibri"/>
                      <w:color w:val="000000"/>
                      <w:sz w:val="16"/>
                    </w:rPr>
                    <w:t>IgG</w:t>
                  </w:r>
                  <w:r>
                    <w:rPr>
                      <w:rFonts w:ascii="Calibri" w:hAnsi="Calibri"/>
                      <w:color w:val="000000"/>
                      <w:sz w:val="16"/>
                    </w:rPr>
                    <w:t xml:space="preserve">, </w:t>
                  </w:r>
                  <w:r>
                    <w:rPr>
                      <w:rFonts w:ascii="Calibri" w:hAnsi="Calibri"/>
                      <w:color w:val="000000"/>
                      <w:sz w:val="16"/>
                    </w:rPr>
                    <w:t>IgM</w:t>
                  </w:r>
                  <w:r>
                    <w:rPr>
                      <w:rFonts w:ascii="Calibri" w:hAnsi="Calibri"/>
                      <w:color w:val="000000"/>
                      <w:sz w:val="16"/>
                    </w:rPr>
                    <w:t xml:space="preserve">, компоненты Комплемента С3, С4, СРБ (высокочувствительный метод), </w:t>
                  </w:r>
                  <w:r>
                    <w:rPr>
                      <w:rFonts w:ascii="Calibri" w:hAnsi="Calibri"/>
                      <w:color w:val="000000"/>
                      <w:sz w:val="16"/>
                    </w:rPr>
                    <w:t>Трансферрин</w:t>
                  </w:r>
                  <w:r>
                    <w:rPr>
                      <w:rFonts w:ascii="Calibri" w:hAnsi="Calibri"/>
                      <w:color w:val="000000"/>
                      <w:sz w:val="16"/>
                    </w:rPr>
                    <w:t xml:space="preserve">, </w:t>
                  </w:r>
                  <w:r>
                    <w:rPr>
                      <w:rFonts w:ascii="Calibri" w:hAnsi="Calibri"/>
                      <w:color w:val="000000"/>
                      <w:sz w:val="16"/>
                    </w:rPr>
                    <w:t>Ферритин</w:t>
                  </w:r>
                  <w:r>
                    <w:rPr>
                      <w:rFonts w:ascii="Calibri" w:hAnsi="Calibri"/>
                      <w:color w:val="000000"/>
                      <w:sz w:val="16"/>
                    </w:rPr>
                    <w:t>).</w:t>
                  </w:r>
                </w:p>
              </w:tc>
              <w:tc>
                <w:tcPr>
                  <w:tcW w:type="dxa" w:w="1526"/>
                  <w:tcBorders>
                    <w:top w:color="000000" w:sz="4" w:val="single"/>
                    <w:left w:sz="4" w:val="nil"/>
                    <w:bottom w:sz="4" w:val="nil"/>
                    <w:right w:color="000000" w:sz="4" w:val="single"/>
                  </w:tcBorders>
                  <w:shd w:fill="FFFFFF" w:val="clear"/>
                  <w:vAlign w:val="center"/>
                </w:tcPr>
                <w:p w14:paraId="44010000">
                  <w:pPr>
                    <w:spacing w:after="0"/>
                    <w:ind/>
                    <w:jc w:val="center"/>
                    <w:rPr>
                      <w:rFonts w:ascii="Calibri" w:hAnsi="Calibri"/>
                      <w:sz w:val="16"/>
                    </w:rPr>
                  </w:pPr>
                  <w:r>
                    <w:rPr>
                      <w:rFonts w:ascii="Calibri" w:hAnsi="Calibri"/>
                      <w:sz w:val="16"/>
                    </w:rPr>
                    <w:t> </w:t>
                  </w:r>
                </w:p>
              </w:tc>
            </w:tr>
            <w:tr>
              <w:trPr>
                <w:trHeight w:hRule="atLeast" w:val="547"/>
              </w:trPr>
              <w:tc>
                <w:tcPr>
                  <w:tcW w:type="dxa" w:w="981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  <w:shd w:fill="auto" w:val="clear"/>
                  <w:vAlign w:val="center"/>
                </w:tcPr>
                <w:p w14:paraId="45010000">
                  <w:pPr>
                    <w:spacing w:after="0"/>
                    <w:ind/>
                    <w:jc w:val="center"/>
                    <w:rPr>
                      <w:rFonts w:ascii="Calibri" w:hAnsi="Calibri"/>
                      <w:sz w:val="16"/>
                    </w:rPr>
                  </w:pPr>
                  <w:r>
                    <w:rPr>
                      <w:rFonts w:ascii="Calibri" w:hAnsi="Calibri"/>
                      <w:sz w:val="16"/>
                    </w:rPr>
                    <w:t>количественная</w:t>
                  </w:r>
                </w:p>
              </w:tc>
              <w:tc>
                <w:tcPr>
                  <w:tcW w:type="dxa" w:w="1824"/>
                  <w:tcBorders>
                    <w:top w:sz="4" w:val="nil"/>
                    <w:left w:sz="4" w:val="nil"/>
                    <w:bottom w:color="000000" w:sz="4" w:val="single"/>
                    <w:right w:color="000000" w:sz="4" w:val="single"/>
                  </w:tcBorders>
                  <w:shd w:fill="auto" w:val="clear"/>
                  <w:vAlign w:val="center"/>
                </w:tcPr>
                <w:p w14:paraId="46010000">
                  <w:pPr>
                    <w:spacing w:after="0"/>
                    <w:ind/>
                    <w:jc w:val="center"/>
                    <w:rPr>
                      <w:rFonts w:ascii="Calibri" w:hAnsi="Calibri"/>
                      <w:color w:val="000000"/>
                      <w:sz w:val="16"/>
                    </w:rPr>
                  </w:pPr>
                  <w:r>
                    <w:rPr>
                      <w:rFonts w:ascii="Calibri" w:hAnsi="Calibri"/>
                      <w:color w:val="000000"/>
                      <w:sz w:val="16"/>
                    </w:rPr>
                    <w:t xml:space="preserve">Срок стабильности после разведения при </w:t>
                  </w:r>
                  <w:r>
                    <w:rPr>
                      <w:rFonts w:ascii="Calibri" w:hAnsi="Calibri"/>
                      <w:color w:val="000000"/>
                      <w:sz w:val="16"/>
                    </w:rPr>
                    <w:t>при</w:t>
                  </w:r>
                  <w:r>
                    <w:rPr>
                      <w:rFonts w:ascii="Calibri" w:hAnsi="Calibri"/>
                      <w:color w:val="000000"/>
                      <w:sz w:val="16"/>
                    </w:rPr>
                    <w:t xml:space="preserve"> температуре 25 °C</w:t>
                  </w:r>
                </w:p>
              </w:tc>
              <w:tc>
                <w:tcPr>
                  <w:tcW w:type="dxa" w:w="2410"/>
                  <w:tcBorders>
                    <w:top w:sz="4" w:val="nil"/>
                    <w:left w:sz="4" w:val="nil"/>
                    <w:bottom w:color="000000" w:sz="4" w:val="single"/>
                    <w:right w:color="000000" w:sz="4" w:val="single"/>
                  </w:tcBorders>
                  <w:shd w:fill="auto" w:val="clear"/>
                  <w:vAlign w:val="center"/>
                </w:tcPr>
                <w:p w14:paraId="47010000">
                  <w:pPr>
                    <w:spacing w:after="0"/>
                    <w:ind/>
                    <w:jc w:val="center"/>
                    <w:rPr>
                      <w:rFonts w:ascii="Calibri" w:hAnsi="Calibri"/>
                      <w:color w:val="000000"/>
                      <w:sz w:val="16"/>
                    </w:rPr>
                  </w:pPr>
                  <w:r>
                    <w:rPr>
                      <w:rFonts w:ascii="Calibri" w:hAnsi="Calibri"/>
                      <w:color w:val="000000"/>
                      <w:sz w:val="16"/>
                    </w:rPr>
                    <w:t xml:space="preserve"> ≥ 2</w:t>
                  </w:r>
                </w:p>
              </w:tc>
              <w:tc>
                <w:tcPr>
                  <w:tcW w:type="dxa" w:w="1526"/>
                  <w:tcBorders>
                    <w:top w:color="000000" w:sz="4" w:val="single"/>
                    <w:left w:sz="4" w:val="nil"/>
                    <w:bottom w:color="000000" w:sz="4" w:val="single"/>
                    <w:right w:color="000000" w:sz="4" w:val="single"/>
                  </w:tcBorders>
                  <w:shd w:fill="auto" w:val="clear"/>
                  <w:vAlign w:val="center"/>
                </w:tcPr>
                <w:p w14:paraId="48010000">
                  <w:pPr>
                    <w:spacing w:after="0"/>
                    <w:ind/>
                    <w:jc w:val="center"/>
                    <w:rPr>
                      <w:rFonts w:ascii="Calibri" w:hAnsi="Calibri"/>
                      <w:color w:val="000000"/>
                      <w:sz w:val="16"/>
                    </w:rPr>
                  </w:pPr>
                  <w:r>
                    <w:rPr>
                      <w:rFonts w:ascii="Calibri" w:hAnsi="Calibri"/>
                      <w:color w:val="000000"/>
                      <w:sz w:val="16"/>
                    </w:rPr>
                    <w:t>час</w:t>
                  </w:r>
                </w:p>
              </w:tc>
            </w:tr>
            <w:tr>
              <w:trPr>
                <w:trHeight w:hRule="atLeast" w:val="655"/>
              </w:trPr>
              <w:tc>
                <w:tcPr>
                  <w:tcW w:type="dxa" w:w="981"/>
                  <w:tcBorders>
                    <w:top w:sz="4" w:val="nil"/>
                    <w:left w:color="000000" w:sz="4" w:val="single"/>
                    <w:bottom w:sz="4" w:val="nil"/>
                    <w:right w:color="000000" w:sz="4" w:val="single"/>
                  </w:tcBorders>
                  <w:shd w:fill="auto" w:val="clear"/>
                  <w:vAlign w:val="center"/>
                </w:tcPr>
                <w:p w14:paraId="49010000">
                  <w:pPr>
                    <w:spacing w:after="0"/>
                    <w:ind/>
                    <w:jc w:val="center"/>
                    <w:rPr>
                      <w:rFonts w:ascii="Calibri" w:hAnsi="Calibri"/>
                      <w:sz w:val="16"/>
                    </w:rPr>
                  </w:pPr>
                  <w:r>
                    <w:rPr>
                      <w:rFonts w:ascii="Calibri" w:hAnsi="Calibri"/>
                      <w:sz w:val="16"/>
                    </w:rPr>
                    <w:t> </w:t>
                  </w:r>
                </w:p>
              </w:tc>
              <w:tc>
                <w:tcPr>
                  <w:tcW w:type="dxa" w:w="1824"/>
                  <w:tcBorders>
                    <w:top w:sz="4" w:val="nil"/>
                    <w:left w:sz="4" w:val="nil"/>
                    <w:bottom w:color="000000" w:sz="4" w:val="single"/>
                    <w:right w:color="000000" w:sz="4" w:val="single"/>
                  </w:tcBorders>
                  <w:shd w:fill="auto" w:val="clear"/>
                  <w:vAlign w:val="center"/>
                </w:tcPr>
                <w:p w14:paraId="4A010000">
                  <w:pPr>
                    <w:spacing w:after="0"/>
                    <w:ind/>
                    <w:jc w:val="center"/>
                    <w:rPr>
                      <w:rFonts w:ascii="Calibri" w:hAnsi="Calibri"/>
                      <w:color w:val="000000"/>
                      <w:sz w:val="16"/>
                    </w:rPr>
                  </w:pPr>
                  <w:r>
                    <w:rPr>
                      <w:rFonts w:ascii="Calibri" w:hAnsi="Calibri"/>
                      <w:color w:val="000000"/>
                      <w:sz w:val="16"/>
                    </w:rPr>
                    <w:t xml:space="preserve">Срок стабильности после разведения при </w:t>
                  </w:r>
                  <w:r>
                    <w:rPr>
                      <w:rFonts w:ascii="Calibri" w:hAnsi="Calibri"/>
                      <w:color w:val="000000"/>
                      <w:sz w:val="16"/>
                    </w:rPr>
                    <w:t>при</w:t>
                  </w:r>
                  <w:r>
                    <w:rPr>
                      <w:rFonts w:ascii="Calibri" w:hAnsi="Calibri"/>
                      <w:color w:val="000000"/>
                      <w:sz w:val="16"/>
                    </w:rPr>
                    <w:t xml:space="preserve"> температуре от 2 °C до 8 °C</w:t>
                  </w:r>
                </w:p>
              </w:tc>
              <w:tc>
                <w:tcPr>
                  <w:tcW w:type="dxa" w:w="2410"/>
                  <w:tcBorders>
                    <w:top w:sz="4" w:val="nil"/>
                    <w:left w:sz="4" w:val="nil"/>
                    <w:bottom w:color="000000" w:sz="4" w:val="single"/>
                    <w:right w:color="000000" w:sz="4" w:val="single"/>
                  </w:tcBorders>
                  <w:shd w:fill="auto" w:val="clear"/>
                  <w:vAlign w:val="center"/>
                </w:tcPr>
                <w:p w14:paraId="4B010000">
                  <w:pPr>
                    <w:spacing w:after="0"/>
                    <w:ind/>
                    <w:jc w:val="center"/>
                    <w:rPr>
                      <w:rFonts w:ascii="Calibri" w:hAnsi="Calibri"/>
                      <w:color w:val="000000"/>
                      <w:sz w:val="16"/>
                    </w:rPr>
                  </w:pPr>
                  <w:r>
                    <w:rPr>
                      <w:rFonts w:ascii="Calibri" w:hAnsi="Calibri"/>
                      <w:color w:val="000000"/>
                      <w:sz w:val="16"/>
                    </w:rPr>
                    <w:t>≥ 5</w:t>
                  </w:r>
                </w:p>
              </w:tc>
              <w:tc>
                <w:tcPr>
                  <w:tcW w:type="dxa" w:w="1526"/>
                  <w:tcBorders>
                    <w:top w:sz="4" w:val="nil"/>
                    <w:left w:sz="4" w:val="nil"/>
                    <w:bottom w:sz="4" w:val="nil"/>
                    <w:right w:color="000000" w:sz="4" w:val="single"/>
                  </w:tcBorders>
                  <w:shd w:fill="auto" w:val="clear"/>
                  <w:vAlign w:val="center"/>
                </w:tcPr>
                <w:p w14:paraId="4C010000">
                  <w:pPr>
                    <w:spacing w:after="0"/>
                    <w:ind/>
                    <w:jc w:val="center"/>
                    <w:rPr>
                      <w:rFonts w:ascii="Calibri" w:hAnsi="Calibri"/>
                      <w:color w:val="000000"/>
                      <w:sz w:val="16"/>
                    </w:rPr>
                  </w:pPr>
                  <w:r>
                    <w:rPr>
                      <w:rFonts w:ascii="Calibri" w:hAnsi="Calibri"/>
                      <w:color w:val="000000"/>
                      <w:sz w:val="16"/>
                    </w:rPr>
                    <w:t>сутки</w:t>
                  </w:r>
                </w:p>
              </w:tc>
            </w:tr>
            <w:tr>
              <w:trPr>
                <w:trHeight w:hRule="atLeast" w:val="567"/>
              </w:trPr>
              <w:tc>
                <w:tcPr>
                  <w:tcW w:type="dxa" w:w="981"/>
                  <w:tcBorders>
                    <w:top w:color="000000" w:sz="4" w:val="single"/>
                    <w:left w:color="000000" w:sz="4" w:val="single"/>
                    <w:bottom w:sz="4" w:val="nil"/>
                    <w:right w:color="000000" w:sz="4" w:val="single"/>
                  </w:tcBorders>
                  <w:shd w:fill="FFFFFF" w:val="clear"/>
                  <w:vAlign w:val="center"/>
                </w:tcPr>
                <w:p w14:paraId="4D010000">
                  <w:pPr>
                    <w:spacing w:after="0"/>
                    <w:ind/>
                    <w:jc w:val="center"/>
                    <w:rPr>
                      <w:rFonts w:ascii="Calibri" w:hAnsi="Calibri"/>
                      <w:sz w:val="16"/>
                    </w:rPr>
                  </w:pPr>
                  <w:r>
                    <w:rPr>
                      <w:rFonts w:ascii="Calibri" w:hAnsi="Calibri"/>
                      <w:sz w:val="16"/>
                    </w:rPr>
                    <w:t>количественная</w:t>
                  </w:r>
                </w:p>
              </w:tc>
              <w:tc>
                <w:tcPr>
                  <w:tcW w:type="dxa" w:w="1824"/>
                  <w:tcBorders>
                    <w:top w:sz="4" w:val="nil"/>
                    <w:left w:sz="4" w:val="nil"/>
                    <w:bottom w:color="000000" w:sz="4" w:val="single"/>
                    <w:right w:color="000000" w:sz="4" w:val="single"/>
                  </w:tcBorders>
                  <w:shd w:fill="auto" w:val="clear"/>
                  <w:vAlign w:val="center"/>
                </w:tcPr>
                <w:p w14:paraId="4E010000">
                  <w:pPr>
                    <w:spacing w:after="0"/>
                    <w:ind/>
                    <w:jc w:val="center"/>
                    <w:rPr>
                      <w:rFonts w:ascii="Calibri" w:hAnsi="Calibri"/>
                      <w:color w:val="000000"/>
                      <w:sz w:val="16"/>
                    </w:rPr>
                  </w:pPr>
                  <w:r>
                    <w:rPr>
                      <w:rFonts w:ascii="Calibri" w:hAnsi="Calibri"/>
                      <w:color w:val="000000"/>
                      <w:sz w:val="16"/>
                    </w:rPr>
                    <w:t xml:space="preserve">Срок стабильности после разведения при </w:t>
                  </w:r>
                  <w:r>
                    <w:rPr>
                      <w:rFonts w:ascii="Calibri" w:hAnsi="Calibri"/>
                      <w:color w:val="000000"/>
                      <w:sz w:val="16"/>
                    </w:rPr>
                    <w:t>при</w:t>
                  </w:r>
                  <w:r>
                    <w:rPr>
                      <w:rFonts w:ascii="Calibri" w:hAnsi="Calibri"/>
                      <w:color w:val="000000"/>
                      <w:sz w:val="16"/>
                    </w:rPr>
                    <w:t xml:space="preserve"> температуре -20 °C</w:t>
                  </w:r>
                </w:p>
              </w:tc>
              <w:tc>
                <w:tcPr>
                  <w:tcW w:type="dxa" w:w="2410"/>
                  <w:tcBorders>
                    <w:top w:sz="4" w:val="nil"/>
                    <w:left w:sz="4" w:val="nil"/>
                    <w:bottom w:color="000000" w:sz="4" w:val="single"/>
                    <w:right w:color="000000" w:sz="4" w:val="single"/>
                  </w:tcBorders>
                  <w:shd w:fill="auto" w:val="clear"/>
                  <w:vAlign w:val="center"/>
                </w:tcPr>
                <w:p w14:paraId="4F010000">
                  <w:pPr>
                    <w:spacing w:after="0"/>
                    <w:ind/>
                    <w:jc w:val="center"/>
                    <w:rPr>
                      <w:rFonts w:ascii="Calibri" w:hAnsi="Calibri"/>
                      <w:color w:val="000000"/>
                      <w:sz w:val="16"/>
                    </w:rPr>
                  </w:pPr>
                  <w:r>
                    <w:rPr>
                      <w:rFonts w:ascii="Calibri" w:hAnsi="Calibri"/>
                      <w:color w:val="000000"/>
                      <w:sz w:val="16"/>
                    </w:rPr>
                    <w:t>≥ 30</w:t>
                  </w:r>
                </w:p>
              </w:tc>
              <w:tc>
                <w:tcPr>
                  <w:tcW w:type="dxa" w:w="1526"/>
                  <w:tcBorders>
                    <w:top w:color="000000" w:sz="4" w:val="single"/>
                    <w:left w:sz="4" w:val="nil"/>
                    <w:bottom w:sz="4" w:val="nil"/>
                    <w:right w:color="000000" w:sz="4" w:val="single"/>
                  </w:tcBorders>
                  <w:shd w:fill="FFFFFF" w:val="clear"/>
                  <w:vAlign w:val="center"/>
                </w:tcPr>
                <w:p w14:paraId="50010000">
                  <w:pPr>
                    <w:spacing w:after="0"/>
                    <w:ind/>
                    <w:jc w:val="center"/>
                    <w:rPr>
                      <w:rFonts w:ascii="Calibri" w:hAnsi="Calibri"/>
                      <w:sz w:val="16"/>
                    </w:rPr>
                  </w:pPr>
                  <w:r>
                    <w:rPr>
                      <w:rFonts w:ascii="Calibri" w:hAnsi="Calibri"/>
                      <w:sz w:val="16"/>
                    </w:rPr>
                    <w:t>сутки</w:t>
                  </w:r>
                </w:p>
              </w:tc>
            </w:tr>
            <w:tr>
              <w:trPr>
                <w:trHeight w:hRule="atLeast" w:val="768"/>
              </w:trPr>
              <w:tc>
                <w:tcPr>
                  <w:tcW w:type="dxa" w:w="981"/>
                  <w:tcBorders>
                    <w:top w:color="000000" w:sz="4" w:val="single"/>
                    <w:left w:color="000000" w:sz="4" w:val="single"/>
                    <w:bottom w:color="000000" w:sz="8" w:val="single"/>
                    <w:right w:color="000000" w:sz="4" w:val="single"/>
                  </w:tcBorders>
                  <w:shd w:fill="auto" w:val="clear"/>
                  <w:vAlign w:val="center"/>
                </w:tcPr>
                <w:p w14:paraId="51010000">
                  <w:pPr>
                    <w:spacing w:after="0"/>
                    <w:ind/>
                    <w:jc w:val="center"/>
                    <w:rPr>
                      <w:rFonts w:ascii="Calibri" w:hAnsi="Calibri"/>
                      <w:sz w:val="16"/>
                    </w:rPr>
                  </w:pPr>
                  <w:r>
                    <w:rPr>
                      <w:rFonts w:ascii="Calibri" w:hAnsi="Calibri"/>
                      <w:sz w:val="16"/>
                    </w:rPr>
                    <w:t>Качественная</w:t>
                  </w:r>
                </w:p>
              </w:tc>
              <w:tc>
                <w:tcPr>
                  <w:tcW w:type="dxa" w:w="1824"/>
                  <w:tcBorders>
                    <w:top w:sz="4" w:val="nil"/>
                    <w:left w:sz="4" w:val="nil"/>
                    <w:bottom w:color="000000" w:sz="8" w:val="single"/>
                    <w:right w:color="000000" w:sz="4" w:val="single"/>
                  </w:tcBorders>
                  <w:shd w:fill="auto" w:val="clear"/>
                  <w:vAlign w:val="center"/>
                </w:tcPr>
                <w:p w14:paraId="52010000">
                  <w:pPr>
                    <w:spacing w:after="0"/>
                    <w:ind/>
                    <w:jc w:val="center"/>
                    <w:rPr>
                      <w:rFonts w:ascii="Calibri" w:hAnsi="Calibri"/>
                      <w:sz w:val="16"/>
                    </w:rPr>
                  </w:pPr>
                  <w:r>
                    <w:rPr>
                      <w:rFonts w:ascii="Calibri" w:hAnsi="Calibri"/>
                      <w:sz w:val="16"/>
                    </w:rPr>
                    <w:t>Совместимость с биохимическим анализатором Сапфир 400 (имеющимся у заказчика</w:t>
                  </w:r>
                  <w:r>
                    <w:rPr>
                      <w:rFonts w:ascii="Calibri" w:hAnsi="Calibri"/>
                      <w:sz w:val="16"/>
                    </w:rPr>
                    <w:t>) .</w:t>
                  </w:r>
                </w:p>
              </w:tc>
              <w:tc>
                <w:tcPr>
                  <w:tcW w:type="dxa" w:w="2410"/>
                  <w:tcBorders>
                    <w:top w:sz="4" w:val="nil"/>
                    <w:left w:sz="4" w:val="nil"/>
                    <w:bottom w:color="000000" w:sz="8" w:val="single"/>
                    <w:right w:color="000000" w:sz="4" w:val="single"/>
                  </w:tcBorders>
                  <w:shd w:fill="auto" w:val="clear"/>
                  <w:vAlign w:val="center"/>
                </w:tcPr>
                <w:p w14:paraId="53010000">
                  <w:pPr>
                    <w:spacing w:after="0"/>
                    <w:ind/>
                    <w:jc w:val="center"/>
                    <w:rPr>
                      <w:rFonts w:ascii="Calibri" w:hAnsi="Calibri"/>
                      <w:color w:val="000000"/>
                      <w:sz w:val="16"/>
                    </w:rPr>
                  </w:pPr>
                  <w:r>
                    <w:rPr>
                      <w:rFonts w:ascii="Calibri" w:hAnsi="Calibri"/>
                      <w:color w:val="000000"/>
                      <w:sz w:val="16"/>
                    </w:rPr>
                    <w:t>соответствие</w:t>
                  </w:r>
                </w:p>
              </w:tc>
              <w:tc>
                <w:tcPr>
                  <w:tcW w:type="dxa" w:w="1526"/>
                  <w:tcBorders>
                    <w:top w:color="000000" w:sz="4" w:val="single"/>
                    <w:left w:sz="4" w:val="nil"/>
                    <w:bottom w:color="000000" w:sz="8" w:val="single"/>
                    <w:right w:color="000000" w:sz="4" w:val="single"/>
                  </w:tcBorders>
                  <w:shd w:fill="auto" w:val="clear"/>
                  <w:vAlign w:val="center"/>
                </w:tcPr>
                <w:p w14:paraId="54010000">
                  <w:pPr>
                    <w:spacing w:after="0"/>
                    <w:ind/>
                    <w:jc w:val="center"/>
                    <w:rPr>
                      <w:rFonts w:ascii="Calibri" w:hAnsi="Calibri"/>
                      <w:color w:val="000000"/>
                      <w:sz w:val="16"/>
                    </w:rPr>
                  </w:pPr>
                  <w:r>
                    <w:rPr>
                      <w:rFonts w:ascii="Calibri" w:hAnsi="Calibri"/>
                      <w:color w:val="000000"/>
                      <w:sz w:val="16"/>
                    </w:rPr>
                    <w:t> </w:t>
                  </w:r>
                </w:p>
              </w:tc>
            </w:tr>
            <w:tr>
              <w:trPr>
                <w:trHeight w:hRule="atLeast" w:val="457"/>
              </w:trPr>
              <w:tc>
                <w:tcPr>
                  <w:tcW w:type="dxa" w:w="981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  <w:shd w:fill="auto" w:val="clear"/>
                  <w:vAlign w:val="center"/>
                </w:tcPr>
                <w:p w14:paraId="55010000">
                  <w:pPr>
                    <w:spacing w:after="0"/>
                    <w:ind/>
                    <w:jc w:val="center"/>
                    <w:rPr>
                      <w:rFonts w:ascii="Calibri" w:hAnsi="Calibri"/>
                      <w:sz w:val="16"/>
                    </w:rPr>
                  </w:pPr>
                  <w:r>
                    <w:rPr>
                      <w:rFonts w:ascii="Calibri" w:hAnsi="Calibri"/>
                      <w:sz w:val="16"/>
                    </w:rPr>
                    <w:t> </w:t>
                  </w:r>
                </w:p>
              </w:tc>
              <w:tc>
                <w:tcPr>
                  <w:tcW w:type="dxa" w:w="1824"/>
                  <w:tcBorders>
                    <w:top w:color="000000" w:sz="4" w:val="single"/>
                    <w:left w:sz="4" w:val="nil"/>
                    <w:bottom w:color="000000" w:sz="4" w:val="single"/>
                    <w:right w:color="000000" w:sz="4" w:val="single"/>
                  </w:tcBorders>
                  <w:shd w:fill="auto" w:val="clear"/>
                  <w:vAlign w:val="center"/>
                </w:tcPr>
                <w:p w14:paraId="56010000">
                  <w:pPr>
                    <w:spacing w:after="0"/>
                    <w:ind/>
                    <w:jc w:val="center"/>
                    <w:rPr>
                      <w:rFonts w:ascii="Calibri" w:hAnsi="Calibri"/>
                      <w:sz w:val="16"/>
                    </w:rPr>
                  </w:pPr>
                  <w:r>
                    <w:rPr>
                      <w:rFonts w:ascii="Calibri" w:hAnsi="Calibri"/>
                      <w:sz w:val="16"/>
                    </w:rPr>
                    <w:t>Мин. остаточный срок годности.</w:t>
                  </w:r>
                </w:p>
              </w:tc>
              <w:tc>
                <w:tcPr>
                  <w:tcW w:type="dxa" w:w="2410"/>
                  <w:tcBorders>
                    <w:top w:color="000000" w:sz="4" w:val="single"/>
                    <w:left w:sz="4" w:val="nil"/>
                    <w:bottom w:color="000000" w:sz="4" w:val="single"/>
                    <w:right w:color="000000" w:sz="4" w:val="single"/>
                  </w:tcBorders>
                  <w:shd w:fill="auto" w:val="clear"/>
                  <w:vAlign w:val="center"/>
                </w:tcPr>
                <w:p w14:paraId="57010000">
                  <w:pPr>
                    <w:spacing w:after="0"/>
                    <w:ind/>
                    <w:jc w:val="center"/>
                    <w:rPr>
                      <w:rFonts w:ascii="Calibri" w:hAnsi="Calibri"/>
                      <w:color w:val="000000"/>
                      <w:sz w:val="16"/>
                    </w:rPr>
                  </w:pPr>
                  <w:r>
                    <w:rPr>
                      <w:rFonts w:ascii="Calibri" w:hAnsi="Calibri"/>
                      <w:color w:val="000000"/>
                      <w:sz w:val="16"/>
                    </w:rPr>
                    <w:t>не менее 6 месяцев</w:t>
                  </w:r>
                </w:p>
              </w:tc>
              <w:tc>
                <w:tcPr>
                  <w:tcW w:type="dxa" w:w="1526"/>
                  <w:tcBorders>
                    <w:top w:color="000000" w:sz="4" w:val="single"/>
                    <w:left w:sz="4" w:val="nil"/>
                    <w:bottom w:color="000000" w:sz="4" w:val="single"/>
                    <w:right w:color="000000" w:sz="4" w:val="single"/>
                  </w:tcBorders>
                  <w:shd w:fill="auto" w:val="clear"/>
                  <w:vAlign w:val="center"/>
                </w:tcPr>
                <w:p w14:paraId="58010000">
                  <w:pPr>
                    <w:spacing w:after="0"/>
                    <w:ind/>
                    <w:jc w:val="center"/>
                    <w:rPr>
                      <w:rFonts w:ascii="Calibri" w:hAnsi="Calibri"/>
                      <w:color w:val="000000"/>
                      <w:sz w:val="16"/>
                    </w:rPr>
                  </w:pPr>
                  <w:r>
                    <w:rPr>
                      <w:rFonts w:ascii="Calibri" w:hAnsi="Calibri"/>
                      <w:color w:val="000000"/>
                      <w:sz w:val="16"/>
                    </w:rPr>
                    <w:t> </w:t>
                  </w:r>
                </w:p>
              </w:tc>
            </w:tr>
          </w:tbl>
          <w:p w14:paraId="59010000">
            <w:pPr>
              <w:spacing w:after="0"/>
              <w:ind/>
              <w:jc w:val="lef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  </w:t>
            </w:r>
          </w:p>
        </w:tc>
        <w:tc>
          <w:tcPr>
            <w:tcW w:type="dxa" w:w="992"/>
            <w:tcBorders>
              <w:top w:color="000000" w:sz="6" w:val="single"/>
              <w:left w:color="000000" w:sz="6" w:val="single"/>
              <w:bottom w:color="000001" w:sz="2" w:val="single"/>
              <w:right w:color="000000" w:sz="6" w:val="single"/>
            </w:tcBorders>
            <w:tcMar>
              <w:left w:type="dxa" w:w="25"/>
              <w:right w:type="dxa" w:w="170"/>
            </w:tcMar>
          </w:tcPr>
          <w:p w14:paraId="5A01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набор</w:t>
            </w:r>
          </w:p>
        </w:tc>
        <w:tc>
          <w:tcPr>
            <w:tcW w:type="dxa" w:w="1134"/>
            <w:tcBorders>
              <w:top w:color="000000" w:sz="6" w:val="single"/>
              <w:left w:color="000000" w:sz="6" w:val="single"/>
              <w:bottom w:color="000001" w:sz="2" w:val="single"/>
              <w:right w:color="000000" w:sz="6" w:val="single"/>
            </w:tcBorders>
            <w:tcMar>
              <w:left w:type="dxa" w:w="25"/>
              <w:right w:type="dxa" w:w="170"/>
            </w:tcMar>
          </w:tcPr>
          <w:p w14:paraId="5B01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11</w:t>
            </w:r>
          </w:p>
        </w:tc>
        <w:tc>
          <w:tcPr>
            <w:tcW w:type="dxa" w:w="1134"/>
            <w:tcBorders>
              <w:top w:color="000000" w:sz="6" w:val="single"/>
              <w:left w:color="000000" w:sz="6" w:val="single"/>
              <w:bottom w:color="000001" w:sz="2" w:val="single"/>
              <w:right w:color="000000" w:sz="6" w:val="single"/>
            </w:tcBorders>
            <w:tcMar>
              <w:left w:type="dxa" w:w="25"/>
              <w:right w:type="dxa" w:w="170"/>
            </w:tcMar>
          </w:tcPr>
          <w:p w14:paraId="5C010000">
            <w:pPr>
              <w:ind/>
              <w:jc w:val="center"/>
              <w:rPr>
                <w:color w:val="000000"/>
                <w:sz w:val="22"/>
              </w:rPr>
            </w:pPr>
          </w:p>
        </w:tc>
        <w:tc>
          <w:tcPr>
            <w:tcW w:type="dxa" w:w="851"/>
            <w:gridSpan w:val="2"/>
            <w:tcBorders>
              <w:top w:color="000000" w:sz="6" w:val="single"/>
              <w:left w:color="000000" w:sz="6" w:val="single"/>
              <w:bottom w:color="000001" w:sz="2" w:val="single"/>
              <w:right w:color="000000" w:sz="6" w:val="single"/>
            </w:tcBorders>
            <w:tcMar>
              <w:left w:type="dxa" w:w="25"/>
              <w:right w:type="dxa" w:w="170"/>
            </w:tcMar>
          </w:tcPr>
          <w:p w14:paraId="5D010000">
            <w:pPr>
              <w:ind/>
              <w:jc w:val="center"/>
              <w:rPr>
                <w:color w:val="000000"/>
                <w:sz w:val="22"/>
              </w:rPr>
            </w:pPr>
          </w:p>
        </w:tc>
        <w:tc>
          <w:tcPr>
            <w:tcW w:type="dxa" w:w="1491"/>
            <w:tcBorders>
              <w:top w:color="000000" w:sz="6" w:val="single"/>
              <w:left w:color="000000" w:sz="6" w:val="single"/>
              <w:bottom w:color="000001" w:sz="2" w:val="single"/>
              <w:right w:color="000000" w:sz="6" w:val="single"/>
            </w:tcBorders>
            <w:tcMar>
              <w:left w:type="dxa" w:w="25"/>
              <w:right w:type="dxa" w:w="170"/>
            </w:tcMar>
          </w:tcPr>
          <w:p w14:paraId="5E010000">
            <w:pPr>
              <w:ind/>
              <w:jc w:val="center"/>
              <w:rPr>
                <w:color w:val="000000"/>
                <w:sz w:val="22"/>
              </w:rPr>
            </w:pPr>
          </w:p>
        </w:tc>
      </w:tr>
      <w:tr>
        <w:trPr>
          <w:trHeight w:hRule="atLeast" w:val="411"/>
        </w:trPr>
        <w:tc>
          <w:tcPr>
            <w:tcW w:type="dxa" w:w="576"/>
            <w:gridSpan w:val="2"/>
            <w:tcBorders>
              <w:top w:color="000001" w:sz="2" w:val="single"/>
              <w:left w:color="000001" w:sz="2" w:val="single"/>
              <w:bottom w:color="000000" w:sz="4" w:val="single"/>
              <w:right w:color="000000" w:sz="4" w:val="single"/>
            </w:tcBorders>
            <w:tcMar>
              <w:left w:type="dxa" w:w="25"/>
              <w:right w:type="dxa" w:w="170"/>
            </w:tcMar>
            <w:vAlign w:val="center"/>
          </w:tcPr>
          <w:p w14:paraId="5F010000">
            <w:pPr>
              <w:spacing w:after="0"/>
              <w:ind w:firstLine="0" w:left="-426" w:right="-161"/>
              <w:jc w:val="left"/>
              <w:rPr>
                <w:b w:val="1"/>
                <w:color w:val="000000"/>
                <w:sz w:val="20"/>
              </w:rPr>
            </w:pPr>
            <w:r>
              <w:rPr>
                <w:b w:val="1"/>
                <w:color w:val="000000"/>
                <w:sz w:val="20"/>
              </w:rPr>
              <w:t>3</w:t>
            </w:r>
          </w:p>
          <w:p w14:paraId="60010000">
            <w:pPr>
              <w:rPr>
                <w:sz w:val="20"/>
              </w:rPr>
            </w:pPr>
          </w:p>
          <w:p w14:paraId="61010000">
            <w:pPr>
              <w:rPr>
                <w:sz w:val="20"/>
              </w:rPr>
            </w:pPr>
          </w:p>
          <w:p w14:paraId="62010000">
            <w:pPr>
              <w:rPr>
                <w:sz w:val="20"/>
              </w:rPr>
            </w:pPr>
          </w:p>
          <w:p w14:paraId="63010000">
            <w:pPr>
              <w:rPr>
                <w:sz w:val="20"/>
              </w:rPr>
            </w:pPr>
          </w:p>
          <w:p w14:paraId="64010000">
            <w:pPr>
              <w:rPr>
                <w:sz w:val="20"/>
              </w:rPr>
            </w:pPr>
          </w:p>
          <w:p w14:paraId="65010000">
            <w:pPr>
              <w:rPr>
                <w:sz w:val="20"/>
              </w:rPr>
            </w:pPr>
          </w:p>
          <w:p w14:paraId="66010000">
            <w:pPr>
              <w:rPr>
                <w:sz w:val="20"/>
              </w:rPr>
            </w:pPr>
          </w:p>
        </w:tc>
        <w:tc>
          <w:tcPr>
            <w:tcW w:type="dxa" w:w="3110"/>
            <w:tcBorders>
              <w:top w:color="000001" w:sz="2" w:val="single"/>
              <w:left w:color="000000" w:sz="4" w:val="single"/>
              <w:bottom w:color="000000" w:sz="4" w:val="single"/>
            </w:tcBorders>
            <w:tcMar>
              <w:left w:type="dxa" w:w="25"/>
              <w:right w:type="dxa" w:w="170"/>
            </w:tcMar>
            <w:vAlign w:val="center"/>
          </w:tcPr>
          <w:p w14:paraId="67010000">
            <w:pPr>
              <w:spacing w:after="0"/>
              <w:ind w:right="-161"/>
              <w:jc w:val="lef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21.20.23.110-00010158</w:t>
            </w:r>
            <w:bookmarkStart w:id="93" w:name="_GoBack"/>
            <w:bookmarkEnd w:id="93"/>
          </w:p>
          <w:p w14:paraId="68010000">
            <w:pPr>
              <w:spacing w:after="0"/>
              <w:ind w:right="-161"/>
              <w:jc w:val="left"/>
              <w:rPr>
                <w:color w:val="000000"/>
                <w:sz w:val="20"/>
              </w:rPr>
            </w:pPr>
          </w:p>
          <w:p w14:paraId="69010000">
            <w:pPr>
              <w:spacing w:after="0"/>
              <w:ind w:right="-161"/>
              <w:jc w:val="lef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Множественные </w:t>
            </w:r>
            <w:r>
              <w:rPr>
                <w:color w:val="000000"/>
                <w:sz w:val="20"/>
              </w:rPr>
              <w:t>аналиты</w:t>
            </w:r>
            <w:r>
              <w:rPr>
                <w:color w:val="000000"/>
                <w:sz w:val="20"/>
              </w:rPr>
              <w:t xml:space="preserve"> клинической химии ИВД, контрольный материал</w:t>
            </w:r>
          </w:p>
          <w:p w14:paraId="6A010000">
            <w:pPr>
              <w:spacing w:after="0"/>
              <w:ind w:right="-161"/>
              <w:jc w:val="left"/>
              <w:rPr>
                <w:color w:val="000000"/>
                <w:sz w:val="20"/>
              </w:rPr>
            </w:pPr>
          </w:p>
          <w:p w14:paraId="6B010000">
            <w:pPr>
              <w:spacing w:after="0"/>
              <w:ind w:right="-161"/>
              <w:jc w:val="left"/>
              <w:rPr>
                <w:b w:val="1"/>
                <w:color w:val="000000"/>
                <w:sz w:val="20"/>
              </w:rPr>
            </w:pPr>
          </w:p>
          <w:p w14:paraId="6C010000">
            <w:pPr>
              <w:spacing w:after="0"/>
              <w:ind w:right="-161"/>
              <w:jc w:val="left"/>
              <w:rPr>
                <w:b w:val="1"/>
                <w:color w:val="000000"/>
                <w:sz w:val="20"/>
              </w:rPr>
            </w:pPr>
          </w:p>
          <w:p w14:paraId="6D010000">
            <w:pPr>
              <w:spacing w:after="0"/>
              <w:ind w:right="-161"/>
              <w:jc w:val="left"/>
              <w:rPr>
                <w:b w:val="1"/>
                <w:color w:val="000000"/>
                <w:sz w:val="20"/>
              </w:rPr>
            </w:pPr>
          </w:p>
          <w:p w14:paraId="6E010000">
            <w:pPr>
              <w:spacing w:after="0"/>
              <w:ind w:right="-161"/>
              <w:jc w:val="left"/>
              <w:rPr>
                <w:b w:val="1"/>
                <w:color w:val="000000"/>
                <w:sz w:val="20"/>
              </w:rPr>
            </w:pPr>
          </w:p>
          <w:p w14:paraId="6F010000">
            <w:pPr>
              <w:spacing w:after="0"/>
              <w:ind w:right="-161"/>
              <w:jc w:val="left"/>
              <w:rPr>
                <w:b w:val="1"/>
                <w:color w:val="000000"/>
                <w:sz w:val="20"/>
              </w:rPr>
            </w:pPr>
          </w:p>
          <w:p w14:paraId="70010000">
            <w:pPr>
              <w:spacing w:after="0"/>
              <w:ind w:right="-161"/>
              <w:jc w:val="left"/>
              <w:rPr>
                <w:b w:val="1"/>
                <w:color w:val="000000"/>
                <w:sz w:val="20"/>
              </w:rPr>
            </w:pPr>
          </w:p>
          <w:p w14:paraId="71010000">
            <w:pPr>
              <w:spacing w:after="0"/>
              <w:ind w:right="-161"/>
              <w:jc w:val="left"/>
              <w:rPr>
                <w:b w:val="1"/>
                <w:color w:val="000000"/>
                <w:sz w:val="20"/>
              </w:rPr>
            </w:pPr>
          </w:p>
        </w:tc>
        <w:tc>
          <w:tcPr>
            <w:tcW w:type="dxa" w:w="6804"/>
            <w:tcBorders>
              <w:top w:color="000001" w:sz="2" w:val="single"/>
              <w:left w:color="000000" w:sz="4" w:val="single"/>
              <w:bottom w:color="000000" w:sz="4" w:val="single"/>
            </w:tcBorders>
            <w:tcMar>
              <w:left w:type="dxa" w:w="25"/>
              <w:right w:type="dxa" w:w="170"/>
            </w:tcMar>
            <w:vAlign w:val="center"/>
          </w:tcPr>
          <w:tbl>
            <w:tblPr>
              <w:tblStyle w:val="Style_7"/>
              <w:tblW w:type="auto" w:w="0"/>
              <w:tblLayout w:type="fixed"/>
            </w:tblPr>
            <w:tblGrid>
              <w:gridCol w:w="994"/>
              <w:gridCol w:w="1465"/>
              <w:gridCol w:w="2903"/>
              <w:gridCol w:w="1442"/>
            </w:tblGrid>
            <w:tr>
              <w:trPr>
                <w:trHeight w:hRule="atLeast" w:val="400"/>
              </w:trPr>
              <w:tc>
                <w:tcPr>
                  <w:tcW w:type="dxa" w:w="994"/>
                  <w:tcBorders>
                    <w:top w:color="000000" w:sz="4" w:val="single"/>
                    <w:left w:sz="4" w:val="nil"/>
                    <w:bottom w:color="000000" w:sz="4" w:val="single"/>
                    <w:right w:color="000000" w:sz="4" w:val="single"/>
                  </w:tcBorders>
                  <w:shd w:fill="auto" w:val="clear"/>
                  <w:vAlign w:val="center"/>
                </w:tcPr>
                <w:p w14:paraId="72010000">
                  <w:pPr>
                    <w:spacing w:after="0"/>
                    <w:ind/>
                    <w:jc w:val="center"/>
                    <w:rPr>
                      <w:rFonts w:ascii="Calibri" w:hAnsi="Calibri"/>
                      <w:sz w:val="16"/>
                    </w:rPr>
                  </w:pPr>
                  <w:r>
                    <w:rPr>
                      <w:rFonts w:ascii="Calibri" w:hAnsi="Calibri"/>
                      <w:sz w:val="16"/>
                    </w:rPr>
                    <w:t>качественная</w:t>
                  </w:r>
                </w:p>
              </w:tc>
              <w:tc>
                <w:tcPr>
                  <w:tcW w:type="dxa" w:w="1465"/>
                  <w:tcBorders>
                    <w:top w:color="000000" w:sz="4" w:val="single"/>
                    <w:left w:sz="4" w:val="nil"/>
                    <w:bottom w:color="000000" w:sz="4" w:val="single"/>
                    <w:right w:color="000000" w:sz="4" w:val="single"/>
                  </w:tcBorders>
                  <w:shd w:fill="auto" w:val="clear"/>
                  <w:vAlign w:val="center"/>
                </w:tcPr>
                <w:p w14:paraId="73010000">
                  <w:pPr>
                    <w:spacing w:after="0"/>
                    <w:ind/>
                    <w:jc w:val="center"/>
                    <w:rPr>
                      <w:rFonts w:ascii="Calibri" w:hAnsi="Calibri"/>
                      <w:color w:val="000000"/>
                      <w:sz w:val="16"/>
                    </w:rPr>
                  </w:pPr>
                  <w:r>
                    <w:rPr>
                      <w:rFonts w:ascii="Calibri" w:hAnsi="Calibri"/>
                      <w:color w:val="000000"/>
                      <w:sz w:val="16"/>
                    </w:rPr>
                    <w:t>Уровень контрольного материала</w:t>
                  </w:r>
                </w:p>
              </w:tc>
              <w:tc>
                <w:tcPr>
                  <w:tcW w:type="dxa" w:w="2903"/>
                  <w:tcBorders>
                    <w:top w:color="000000" w:sz="4" w:val="single"/>
                    <w:left w:sz="4" w:val="nil"/>
                    <w:bottom w:color="000000" w:sz="4" w:val="single"/>
                    <w:right w:color="000000" w:sz="4" w:val="single"/>
                  </w:tcBorders>
                  <w:shd w:fill="auto" w:val="clear"/>
                  <w:vAlign w:val="center"/>
                </w:tcPr>
                <w:p w14:paraId="74010000">
                  <w:pPr>
                    <w:spacing w:after="0"/>
                    <w:ind/>
                    <w:jc w:val="center"/>
                    <w:rPr>
                      <w:rFonts w:ascii="Calibri" w:hAnsi="Calibri"/>
                      <w:color w:val="000000"/>
                      <w:sz w:val="16"/>
                    </w:rPr>
                  </w:pPr>
                  <w:r>
                    <w:rPr>
                      <w:rFonts w:ascii="Calibri" w:hAnsi="Calibri"/>
                      <w:color w:val="000000"/>
                      <w:sz w:val="16"/>
                    </w:rPr>
                    <w:t>патология</w:t>
                  </w:r>
                </w:p>
              </w:tc>
              <w:tc>
                <w:tcPr>
                  <w:tcW w:type="dxa" w:w="1442"/>
                  <w:tcBorders>
                    <w:top w:color="000000" w:sz="4" w:val="single"/>
                    <w:left w:sz="4" w:val="nil"/>
                    <w:bottom w:color="000000" w:sz="4" w:val="single"/>
                    <w:right w:color="000000" w:sz="4" w:val="single"/>
                  </w:tcBorders>
                  <w:shd w:fill="auto" w:val="clear"/>
                  <w:vAlign w:val="center"/>
                </w:tcPr>
                <w:p w14:paraId="75010000">
                  <w:pPr>
                    <w:spacing w:after="0"/>
                    <w:ind/>
                    <w:jc w:val="center"/>
                    <w:rPr>
                      <w:rFonts w:ascii="Calibri" w:hAnsi="Calibri"/>
                      <w:color w:val="000000"/>
                      <w:sz w:val="16"/>
                    </w:rPr>
                  </w:pPr>
                  <w:r>
                    <w:rPr>
                      <w:rFonts w:ascii="Calibri" w:hAnsi="Calibri"/>
                      <w:color w:val="000000"/>
                      <w:sz w:val="16"/>
                    </w:rPr>
                    <w:t> </w:t>
                  </w:r>
                </w:p>
              </w:tc>
            </w:tr>
            <w:tr>
              <w:trPr>
                <w:trHeight w:hRule="atLeast" w:val="280"/>
              </w:trPr>
              <w:tc>
                <w:tcPr>
                  <w:tcW w:type="dxa" w:w="994"/>
                  <w:tcBorders>
                    <w:top w:sz="4" w:val="nil"/>
                    <w:left w:sz="4" w:val="nil"/>
                    <w:bottom w:color="000000" w:sz="4" w:val="single"/>
                    <w:right w:color="000000" w:sz="4" w:val="single"/>
                  </w:tcBorders>
                  <w:shd w:fill="FFFFFF" w:val="clear"/>
                  <w:vAlign w:val="center"/>
                </w:tcPr>
                <w:p w14:paraId="76010000">
                  <w:pPr>
                    <w:spacing w:after="0"/>
                    <w:ind/>
                    <w:jc w:val="center"/>
                    <w:rPr>
                      <w:rFonts w:ascii="Calibri" w:hAnsi="Calibri"/>
                      <w:sz w:val="16"/>
                    </w:rPr>
                  </w:pPr>
                  <w:r>
                    <w:rPr>
                      <w:rFonts w:ascii="Calibri" w:hAnsi="Calibri"/>
                      <w:sz w:val="16"/>
                    </w:rPr>
                    <w:t>количественная</w:t>
                  </w:r>
                </w:p>
              </w:tc>
              <w:tc>
                <w:tcPr>
                  <w:tcW w:type="dxa" w:w="1465"/>
                  <w:tcBorders>
                    <w:top w:sz="4" w:val="nil"/>
                    <w:left w:sz="4" w:val="nil"/>
                    <w:bottom w:color="000000" w:sz="4" w:val="single"/>
                    <w:right w:color="000000" w:sz="4" w:val="single"/>
                  </w:tcBorders>
                  <w:shd w:fill="auto" w:val="clear"/>
                  <w:vAlign w:val="center"/>
                </w:tcPr>
                <w:p w14:paraId="77010000">
                  <w:pPr>
                    <w:spacing w:after="0"/>
                    <w:ind/>
                    <w:jc w:val="center"/>
                    <w:rPr>
                      <w:rFonts w:ascii="Calibri" w:hAnsi="Calibri"/>
                      <w:color w:val="000000"/>
                      <w:sz w:val="16"/>
                    </w:rPr>
                  </w:pPr>
                  <w:r>
                    <w:rPr>
                      <w:rFonts w:ascii="Calibri" w:hAnsi="Calibri"/>
                      <w:color w:val="000000"/>
                      <w:sz w:val="16"/>
                    </w:rPr>
                    <w:t>Количество флаконов</w:t>
                  </w:r>
                </w:p>
              </w:tc>
              <w:tc>
                <w:tcPr>
                  <w:tcW w:type="dxa" w:w="2903"/>
                  <w:tcBorders>
                    <w:top w:sz="4" w:val="nil"/>
                    <w:left w:sz="4" w:val="nil"/>
                    <w:bottom w:color="000000" w:sz="4" w:val="single"/>
                    <w:right w:color="000000" w:sz="4" w:val="single"/>
                  </w:tcBorders>
                  <w:shd w:fill="auto" w:val="clear"/>
                  <w:vAlign w:val="center"/>
                </w:tcPr>
                <w:p w14:paraId="78010000">
                  <w:pPr>
                    <w:spacing w:after="0"/>
                    <w:ind/>
                    <w:jc w:val="center"/>
                    <w:rPr>
                      <w:rFonts w:ascii="Calibri" w:hAnsi="Calibri"/>
                      <w:color w:val="000000"/>
                      <w:sz w:val="16"/>
                    </w:rPr>
                  </w:pPr>
                  <w:r>
                    <w:rPr>
                      <w:rFonts w:ascii="Calibri" w:hAnsi="Calibri"/>
                      <w:color w:val="000000"/>
                      <w:sz w:val="16"/>
                    </w:rPr>
                    <w:t>≥ 1</w:t>
                  </w:r>
                </w:p>
              </w:tc>
              <w:tc>
                <w:tcPr>
                  <w:tcW w:type="dxa" w:w="1442"/>
                  <w:tcBorders>
                    <w:top w:sz="4" w:val="nil"/>
                    <w:left w:sz="4" w:val="nil"/>
                    <w:bottom w:sz="4" w:val="nil"/>
                    <w:right w:color="000000" w:sz="4" w:val="single"/>
                  </w:tcBorders>
                  <w:shd w:fill="FFFFFF" w:val="clear"/>
                  <w:vAlign w:val="center"/>
                </w:tcPr>
                <w:p w14:paraId="79010000">
                  <w:pPr>
                    <w:spacing w:after="0"/>
                    <w:ind/>
                    <w:jc w:val="center"/>
                    <w:rPr>
                      <w:rFonts w:ascii="Calibri" w:hAnsi="Calibri"/>
                      <w:sz w:val="16"/>
                    </w:rPr>
                  </w:pPr>
                  <w:r>
                    <w:rPr>
                      <w:rFonts w:ascii="Calibri" w:hAnsi="Calibri"/>
                      <w:sz w:val="16"/>
                    </w:rPr>
                    <w:t>штука</w:t>
                  </w:r>
                </w:p>
              </w:tc>
            </w:tr>
            <w:tr>
              <w:trPr>
                <w:trHeight w:hRule="atLeast" w:val="395"/>
              </w:trPr>
              <w:tc>
                <w:tcPr>
                  <w:tcW w:type="dxa" w:w="994"/>
                  <w:tcBorders>
                    <w:top w:sz="4" w:val="nil"/>
                    <w:left w:sz="4" w:val="nil"/>
                    <w:bottom w:color="000000" w:sz="4" w:val="single"/>
                    <w:right w:color="000000" w:sz="4" w:val="single"/>
                  </w:tcBorders>
                  <w:shd w:fill="FFFFFF" w:val="clear"/>
                  <w:vAlign w:val="center"/>
                </w:tcPr>
                <w:p w14:paraId="7A010000">
                  <w:pPr>
                    <w:spacing w:after="0"/>
                    <w:ind/>
                    <w:jc w:val="center"/>
                    <w:rPr>
                      <w:rFonts w:ascii="Calibri" w:hAnsi="Calibri"/>
                      <w:sz w:val="16"/>
                    </w:rPr>
                  </w:pPr>
                  <w:r>
                    <w:rPr>
                      <w:rFonts w:ascii="Calibri" w:hAnsi="Calibri"/>
                      <w:sz w:val="16"/>
                    </w:rPr>
                    <w:t>количественная</w:t>
                  </w:r>
                </w:p>
              </w:tc>
              <w:tc>
                <w:tcPr>
                  <w:tcW w:type="dxa" w:w="1465"/>
                  <w:tcBorders>
                    <w:top w:sz="4" w:val="nil"/>
                    <w:left w:sz="4" w:val="nil"/>
                    <w:bottom w:color="000000" w:sz="4" w:val="single"/>
                    <w:right w:color="000000" w:sz="4" w:val="single"/>
                  </w:tcBorders>
                  <w:shd w:fill="FFFFFF" w:val="clear"/>
                  <w:vAlign w:val="center"/>
                </w:tcPr>
                <w:p w14:paraId="7B010000">
                  <w:pPr>
                    <w:spacing w:after="0"/>
                    <w:ind/>
                    <w:jc w:val="center"/>
                    <w:rPr>
                      <w:rFonts w:ascii="Calibri" w:hAnsi="Calibri"/>
                      <w:sz w:val="16"/>
                    </w:rPr>
                  </w:pPr>
                  <w:r>
                    <w:rPr>
                      <w:rFonts w:ascii="Calibri" w:hAnsi="Calibri"/>
                      <w:sz w:val="16"/>
                    </w:rPr>
                    <w:t>Объем после разведения в каждом флаконе</w:t>
                  </w:r>
                </w:p>
              </w:tc>
              <w:tc>
                <w:tcPr>
                  <w:tcW w:type="dxa" w:w="2903"/>
                  <w:tcBorders>
                    <w:top w:sz="4" w:val="nil"/>
                    <w:left w:sz="4" w:val="nil"/>
                    <w:bottom w:color="000000" w:sz="4" w:val="single"/>
                    <w:right w:color="000000" w:sz="4" w:val="single"/>
                  </w:tcBorders>
                  <w:shd w:fill="auto" w:val="clear"/>
                  <w:vAlign w:val="center"/>
                </w:tcPr>
                <w:p w14:paraId="7C010000">
                  <w:pPr>
                    <w:spacing w:after="0"/>
                    <w:ind/>
                    <w:jc w:val="center"/>
                    <w:rPr>
                      <w:rFonts w:ascii="Calibri" w:hAnsi="Calibri"/>
                      <w:color w:val="000000"/>
                      <w:sz w:val="16"/>
                    </w:rPr>
                  </w:pPr>
                  <w:r>
                    <w:rPr>
                      <w:rFonts w:ascii="Calibri" w:hAnsi="Calibri"/>
                      <w:color w:val="000000"/>
                      <w:sz w:val="16"/>
                    </w:rPr>
                    <w:t>≥ 5</w:t>
                  </w:r>
                </w:p>
              </w:tc>
              <w:tc>
                <w:tcPr>
                  <w:tcW w:type="dxa" w:w="1442"/>
                  <w:tcBorders>
                    <w:top w:color="000000" w:sz="4" w:val="single"/>
                    <w:left w:sz="4" w:val="nil"/>
                    <w:bottom w:color="000000" w:sz="4" w:val="single"/>
                    <w:right w:color="000000" w:sz="4" w:val="single"/>
                  </w:tcBorders>
                  <w:shd w:fill="FFFFFF" w:val="clear"/>
                  <w:vAlign w:val="center"/>
                </w:tcPr>
                <w:p w14:paraId="7D010000">
                  <w:pPr>
                    <w:spacing w:after="0"/>
                    <w:ind/>
                    <w:jc w:val="center"/>
                    <w:rPr>
                      <w:rFonts w:ascii="Calibri" w:hAnsi="Calibri"/>
                      <w:sz w:val="16"/>
                    </w:rPr>
                  </w:pPr>
                  <w:r>
                    <w:rPr>
                      <w:rFonts w:ascii="Calibri" w:hAnsi="Calibri"/>
                      <w:sz w:val="16"/>
                    </w:rPr>
                    <w:t xml:space="preserve">Кубический </w:t>
                  </w:r>
                  <w:r>
                    <w:rPr>
                      <w:rFonts w:ascii="Calibri" w:hAnsi="Calibri"/>
                      <w:sz w:val="16"/>
                    </w:rPr>
                    <w:t>сантиметр;^</w:t>
                  </w:r>
                  <w:r>
                    <w:rPr>
                      <w:rFonts w:ascii="Calibri" w:hAnsi="Calibri"/>
                      <w:sz w:val="16"/>
                    </w:rPr>
                    <w:t>миллилитр</w:t>
                  </w:r>
                </w:p>
              </w:tc>
            </w:tr>
            <w:tr>
              <w:trPr>
                <w:trHeight w:hRule="atLeast" w:val="554"/>
              </w:trPr>
              <w:tc>
                <w:tcPr>
                  <w:tcW w:type="dxa" w:w="994"/>
                  <w:tcBorders>
                    <w:top w:sz="4" w:val="nil"/>
                    <w:left w:sz="4" w:val="nil"/>
                    <w:bottom w:color="000000" w:sz="4" w:val="single"/>
                    <w:right w:color="000000" w:sz="4" w:val="single"/>
                  </w:tcBorders>
                  <w:shd w:fill="FFFFFF" w:val="clear"/>
                  <w:vAlign w:val="center"/>
                </w:tcPr>
                <w:p w14:paraId="7E010000">
                  <w:pPr>
                    <w:spacing w:after="0"/>
                    <w:ind/>
                    <w:jc w:val="center"/>
                    <w:rPr>
                      <w:rFonts w:ascii="Calibri" w:hAnsi="Calibri"/>
                      <w:sz w:val="16"/>
                    </w:rPr>
                  </w:pPr>
                  <w:r>
                    <w:rPr>
                      <w:rFonts w:ascii="Calibri" w:hAnsi="Calibri"/>
                      <w:sz w:val="16"/>
                    </w:rPr>
                    <w:t>количественная</w:t>
                  </w:r>
                </w:p>
              </w:tc>
              <w:tc>
                <w:tcPr>
                  <w:tcW w:type="dxa" w:w="1465"/>
                  <w:tcBorders>
                    <w:top w:sz="4" w:val="nil"/>
                    <w:left w:sz="4" w:val="nil"/>
                    <w:bottom w:color="000000" w:sz="4" w:val="single"/>
                    <w:right w:color="000000" w:sz="4" w:val="single"/>
                  </w:tcBorders>
                  <w:shd w:fill="auto" w:val="clear"/>
                  <w:vAlign w:val="center"/>
                </w:tcPr>
                <w:p w14:paraId="7F010000">
                  <w:pPr>
                    <w:spacing w:after="0"/>
                    <w:ind/>
                    <w:jc w:val="center"/>
                    <w:rPr>
                      <w:rFonts w:ascii="Calibri" w:hAnsi="Calibri"/>
                      <w:sz w:val="16"/>
                    </w:rPr>
                  </w:pPr>
                  <w:r>
                    <w:rPr>
                      <w:rFonts w:ascii="Calibri" w:hAnsi="Calibri"/>
                      <w:sz w:val="16"/>
                    </w:rPr>
                    <w:t xml:space="preserve">параметры для контроля правильности определения  </w:t>
                  </w:r>
                </w:p>
              </w:tc>
              <w:tc>
                <w:tcPr>
                  <w:tcW w:type="dxa" w:w="2903"/>
                  <w:tcBorders>
                    <w:top w:sz="4" w:val="nil"/>
                    <w:left w:sz="4" w:val="nil"/>
                    <w:bottom w:color="000000" w:sz="4" w:val="single"/>
                    <w:right w:color="000000" w:sz="4" w:val="single"/>
                  </w:tcBorders>
                  <w:shd w:fill="auto" w:val="clear"/>
                  <w:vAlign w:val="center"/>
                </w:tcPr>
                <w:p w14:paraId="80010000">
                  <w:pPr>
                    <w:spacing w:after="0"/>
                    <w:ind/>
                    <w:jc w:val="center"/>
                    <w:rPr>
                      <w:rFonts w:ascii="Calibri" w:hAnsi="Calibri"/>
                      <w:color w:val="000000"/>
                      <w:sz w:val="16"/>
                    </w:rPr>
                  </w:pPr>
                  <w:r>
                    <w:rPr>
                      <w:rFonts w:ascii="Calibri" w:hAnsi="Calibri"/>
                      <w:color w:val="000000"/>
                      <w:sz w:val="16"/>
                    </w:rPr>
                    <w:t xml:space="preserve">  ≥ 45</w:t>
                  </w:r>
                </w:p>
              </w:tc>
              <w:tc>
                <w:tcPr>
                  <w:tcW w:type="dxa" w:w="1442"/>
                  <w:tcBorders>
                    <w:top w:sz="4" w:val="nil"/>
                    <w:left w:sz="4" w:val="nil"/>
                    <w:bottom w:sz="4" w:val="nil"/>
                    <w:right w:color="000000" w:sz="4" w:val="single"/>
                  </w:tcBorders>
                  <w:shd w:fill="FFFFFF" w:val="clear"/>
                  <w:vAlign w:val="center"/>
                </w:tcPr>
                <w:p w14:paraId="81010000">
                  <w:pPr>
                    <w:spacing w:after="0"/>
                    <w:ind/>
                    <w:jc w:val="center"/>
                    <w:rPr>
                      <w:rFonts w:ascii="Calibri" w:hAnsi="Calibri"/>
                      <w:sz w:val="16"/>
                    </w:rPr>
                  </w:pPr>
                  <w:r>
                    <w:rPr>
                      <w:rFonts w:ascii="Calibri" w:hAnsi="Calibri"/>
                      <w:sz w:val="16"/>
                    </w:rPr>
                    <w:t>штука</w:t>
                  </w:r>
                </w:p>
              </w:tc>
            </w:tr>
            <w:tr>
              <w:trPr>
                <w:trHeight w:hRule="atLeast" w:val="3903"/>
              </w:trPr>
              <w:tc>
                <w:tcPr>
                  <w:tcW w:type="dxa" w:w="994"/>
                  <w:tcBorders>
                    <w:top w:sz="4" w:val="nil"/>
                    <w:left w:sz="4" w:val="nil"/>
                    <w:bottom w:sz="4" w:val="nil"/>
                    <w:right w:color="000000" w:sz="4" w:val="single"/>
                  </w:tcBorders>
                  <w:shd w:fill="FFFFFF" w:val="clear"/>
                  <w:vAlign w:val="center"/>
                </w:tcPr>
                <w:p w14:paraId="82010000">
                  <w:pPr>
                    <w:spacing w:after="0"/>
                    <w:ind/>
                    <w:jc w:val="center"/>
                    <w:rPr>
                      <w:rFonts w:ascii="Calibri" w:hAnsi="Calibri"/>
                      <w:sz w:val="16"/>
                    </w:rPr>
                  </w:pPr>
                  <w:r>
                    <w:rPr>
                      <w:rFonts w:ascii="Calibri" w:hAnsi="Calibri"/>
                      <w:sz w:val="16"/>
                    </w:rPr>
                    <w:t>Качественная</w:t>
                  </w:r>
                </w:p>
              </w:tc>
              <w:tc>
                <w:tcPr>
                  <w:tcW w:type="dxa" w:w="1465"/>
                  <w:tcBorders>
                    <w:top w:sz="4" w:val="nil"/>
                    <w:left w:sz="4" w:val="nil"/>
                    <w:bottom w:color="000000" w:sz="4" w:val="single"/>
                    <w:right w:color="000000" w:sz="4" w:val="single"/>
                  </w:tcBorders>
                  <w:shd w:fill="auto" w:val="clear"/>
                  <w:vAlign w:val="center"/>
                </w:tcPr>
                <w:p w14:paraId="83010000">
                  <w:pPr>
                    <w:spacing w:after="0"/>
                    <w:ind/>
                    <w:jc w:val="center"/>
                    <w:rPr>
                      <w:rFonts w:ascii="Calibri" w:hAnsi="Calibri"/>
                      <w:color w:val="000000"/>
                      <w:sz w:val="16"/>
                    </w:rPr>
                  </w:pPr>
                  <w:r>
                    <w:rPr>
                      <w:rFonts w:ascii="Calibri" w:hAnsi="Calibri"/>
                      <w:color w:val="000000"/>
                      <w:sz w:val="16"/>
                    </w:rPr>
                    <w:t>Контролируемые параметры</w:t>
                  </w:r>
                </w:p>
              </w:tc>
              <w:tc>
                <w:tcPr>
                  <w:tcW w:type="dxa" w:w="2903"/>
                  <w:tcBorders>
                    <w:top w:sz="4" w:val="nil"/>
                    <w:left w:sz="4" w:val="nil"/>
                    <w:bottom w:color="000000" w:sz="4" w:val="single"/>
                    <w:right w:color="000000" w:sz="4" w:val="single"/>
                  </w:tcBorders>
                  <w:shd w:fill="auto" w:val="clear"/>
                  <w:vAlign w:val="center"/>
                </w:tcPr>
                <w:p w14:paraId="84010000">
                  <w:pPr>
                    <w:spacing w:after="0"/>
                    <w:ind/>
                    <w:jc w:val="center"/>
                    <w:rPr>
                      <w:rFonts w:ascii="Calibri" w:hAnsi="Calibri"/>
                      <w:color w:val="000000"/>
                      <w:sz w:val="16"/>
                    </w:rPr>
                  </w:pPr>
                  <w:r>
                    <w:rPr>
                      <w:rFonts w:ascii="Calibri" w:hAnsi="Calibri"/>
                      <w:color w:val="000000"/>
                      <w:sz w:val="16"/>
                    </w:rPr>
                    <w:t xml:space="preserve">(Кислая фосфатаза (общая, простатическая),Щелочная фосфатаза, АЛТ, АСТ, α-Амилаза, Панкреатическая α-Амилаза, </w:t>
                  </w:r>
                  <w:r>
                    <w:rPr>
                      <w:rFonts w:ascii="Calibri" w:hAnsi="Calibri"/>
                      <w:color w:val="000000"/>
                      <w:sz w:val="16"/>
                    </w:rPr>
                    <w:t>Креатинкиназа</w:t>
                  </w:r>
                  <w:r>
                    <w:rPr>
                      <w:rFonts w:ascii="Calibri" w:hAnsi="Calibri"/>
                      <w:color w:val="000000"/>
                      <w:sz w:val="16"/>
                    </w:rPr>
                    <w:t xml:space="preserve">, </w:t>
                  </w:r>
                  <w:r>
                    <w:rPr>
                      <w:rFonts w:ascii="Calibri" w:hAnsi="Calibri"/>
                      <w:color w:val="000000"/>
                      <w:sz w:val="16"/>
                    </w:rPr>
                    <w:t>Креатинкиназа</w:t>
                  </w:r>
                  <w:r>
                    <w:rPr>
                      <w:rFonts w:ascii="Calibri" w:hAnsi="Calibri"/>
                      <w:color w:val="000000"/>
                      <w:sz w:val="16"/>
                    </w:rPr>
                    <w:t xml:space="preserve">-МВ, ГГТ, ЛДГ, </w:t>
                  </w:r>
                  <w:r>
                    <w:rPr>
                      <w:rFonts w:ascii="Calibri" w:hAnsi="Calibri"/>
                      <w:color w:val="000000"/>
                      <w:sz w:val="16"/>
                    </w:rPr>
                    <w:t>Холинэстераза</w:t>
                  </w:r>
                  <w:r>
                    <w:rPr>
                      <w:rFonts w:ascii="Calibri" w:hAnsi="Calibri"/>
                      <w:color w:val="000000"/>
                      <w:sz w:val="16"/>
                    </w:rPr>
                    <w:t xml:space="preserve">, Липаза, Кальций, Хлориды, Железо, ОЖСС, Магний, Фосфор, Калий, Натрий, Общий Холестерин, </w:t>
                  </w:r>
                  <w:r>
                    <w:rPr>
                      <w:rFonts w:ascii="Calibri" w:hAnsi="Calibri"/>
                      <w:color w:val="000000"/>
                      <w:sz w:val="16"/>
                    </w:rPr>
                    <w:t>Триглицериды,HDL</w:t>
                  </w:r>
                  <w:r>
                    <w:rPr>
                      <w:rFonts w:ascii="Calibri" w:hAnsi="Calibri"/>
                      <w:color w:val="000000"/>
                      <w:sz w:val="16"/>
                    </w:rPr>
                    <w:t xml:space="preserve">-холестерин (прямой метод и с осаждением), LDL-холестерин, </w:t>
                  </w:r>
                  <w:r>
                    <w:rPr>
                      <w:rFonts w:ascii="Calibri" w:hAnsi="Calibri"/>
                      <w:color w:val="000000"/>
                      <w:sz w:val="16"/>
                    </w:rPr>
                    <w:t>Апо</w:t>
                  </w:r>
                  <w:r>
                    <w:rPr>
                      <w:rFonts w:ascii="Calibri" w:hAnsi="Calibri"/>
                      <w:color w:val="000000"/>
                      <w:sz w:val="16"/>
                    </w:rPr>
                    <w:t xml:space="preserve"> А1, </w:t>
                  </w:r>
                  <w:r>
                    <w:rPr>
                      <w:rFonts w:ascii="Calibri" w:hAnsi="Calibri"/>
                      <w:color w:val="000000"/>
                      <w:sz w:val="16"/>
                    </w:rPr>
                    <w:t>Апо</w:t>
                  </w:r>
                  <w:r>
                    <w:rPr>
                      <w:rFonts w:ascii="Calibri" w:hAnsi="Calibri"/>
                      <w:color w:val="000000"/>
                      <w:sz w:val="16"/>
                    </w:rPr>
                    <w:t xml:space="preserve"> В100, Альбумин, Билирубин общий, Билирубин прямой, </w:t>
                  </w:r>
                  <w:r>
                    <w:rPr>
                      <w:rFonts w:ascii="Calibri" w:hAnsi="Calibri"/>
                      <w:color w:val="000000"/>
                      <w:sz w:val="16"/>
                    </w:rPr>
                    <w:t>Креатинин</w:t>
                  </w:r>
                  <w:r>
                    <w:rPr>
                      <w:rFonts w:ascii="Calibri" w:hAnsi="Calibri"/>
                      <w:color w:val="000000"/>
                      <w:sz w:val="16"/>
                    </w:rPr>
                    <w:t xml:space="preserve">, Глюкоза, </w:t>
                  </w:r>
                  <w:r>
                    <w:rPr>
                      <w:rFonts w:ascii="Calibri" w:hAnsi="Calibri"/>
                      <w:color w:val="000000"/>
                      <w:sz w:val="16"/>
                    </w:rPr>
                    <w:t>Лактат</w:t>
                  </w:r>
                  <w:r>
                    <w:rPr>
                      <w:rFonts w:ascii="Calibri" w:hAnsi="Calibri"/>
                      <w:color w:val="000000"/>
                      <w:sz w:val="16"/>
                    </w:rPr>
                    <w:t xml:space="preserve">, Общий белок, Мочевина, Мочевая кислота, </w:t>
                  </w:r>
                  <w:r>
                    <w:rPr>
                      <w:rFonts w:ascii="Calibri" w:hAnsi="Calibri"/>
                      <w:color w:val="000000"/>
                      <w:sz w:val="16"/>
                    </w:rPr>
                    <w:t>Антистрептолизин</w:t>
                  </w:r>
                  <w:r>
                    <w:rPr>
                      <w:rFonts w:ascii="Calibri" w:hAnsi="Calibri"/>
                      <w:color w:val="000000"/>
                      <w:sz w:val="16"/>
                    </w:rPr>
                    <w:t xml:space="preserve">(О),  </w:t>
                  </w:r>
                  <w:r>
                    <w:rPr>
                      <w:rFonts w:ascii="Calibri" w:hAnsi="Calibri"/>
                      <w:color w:val="000000"/>
                      <w:sz w:val="16"/>
                    </w:rPr>
                    <w:t>IgA</w:t>
                  </w:r>
                  <w:r>
                    <w:rPr>
                      <w:rFonts w:ascii="Calibri" w:hAnsi="Calibri"/>
                      <w:color w:val="000000"/>
                      <w:sz w:val="16"/>
                    </w:rPr>
                    <w:t xml:space="preserve">,  </w:t>
                  </w:r>
                  <w:r>
                    <w:rPr>
                      <w:rFonts w:ascii="Calibri" w:hAnsi="Calibri"/>
                      <w:color w:val="000000"/>
                      <w:sz w:val="16"/>
                    </w:rPr>
                    <w:t>IgG</w:t>
                  </w:r>
                  <w:r>
                    <w:rPr>
                      <w:rFonts w:ascii="Calibri" w:hAnsi="Calibri"/>
                      <w:color w:val="000000"/>
                      <w:sz w:val="16"/>
                    </w:rPr>
                    <w:t xml:space="preserve">, </w:t>
                  </w:r>
                  <w:r>
                    <w:rPr>
                      <w:rFonts w:ascii="Calibri" w:hAnsi="Calibri"/>
                      <w:color w:val="000000"/>
                      <w:sz w:val="16"/>
                    </w:rPr>
                    <w:t>IgM</w:t>
                  </w:r>
                  <w:r>
                    <w:rPr>
                      <w:rFonts w:ascii="Calibri" w:hAnsi="Calibri"/>
                      <w:color w:val="000000"/>
                      <w:sz w:val="16"/>
                    </w:rPr>
                    <w:t xml:space="preserve">, компоненты Комплемента С3, С4, СРБ (высокочувствительный метод), </w:t>
                  </w:r>
                  <w:r>
                    <w:rPr>
                      <w:rFonts w:ascii="Calibri" w:hAnsi="Calibri"/>
                      <w:color w:val="000000"/>
                      <w:sz w:val="16"/>
                    </w:rPr>
                    <w:t>Трансферрин</w:t>
                  </w:r>
                  <w:r>
                    <w:rPr>
                      <w:rFonts w:ascii="Calibri" w:hAnsi="Calibri"/>
                      <w:color w:val="000000"/>
                      <w:sz w:val="16"/>
                    </w:rPr>
                    <w:t xml:space="preserve">, </w:t>
                  </w:r>
                  <w:r>
                    <w:rPr>
                      <w:rFonts w:ascii="Calibri" w:hAnsi="Calibri"/>
                      <w:color w:val="000000"/>
                      <w:sz w:val="16"/>
                    </w:rPr>
                    <w:t>Ферритин</w:t>
                  </w:r>
                  <w:r>
                    <w:rPr>
                      <w:rFonts w:ascii="Calibri" w:hAnsi="Calibri"/>
                      <w:color w:val="000000"/>
                      <w:sz w:val="16"/>
                    </w:rPr>
                    <w:t>).</w:t>
                  </w:r>
                </w:p>
              </w:tc>
              <w:tc>
                <w:tcPr>
                  <w:tcW w:type="dxa" w:w="1442"/>
                  <w:tcBorders>
                    <w:top w:color="000000" w:sz="4" w:val="single"/>
                    <w:left w:sz="4" w:val="nil"/>
                    <w:bottom w:sz="4" w:val="nil"/>
                    <w:right w:color="000000" w:sz="4" w:val="single"/>
                  </w:tcBorders>
                  <w:shd w:fill="FFFFFF" w:val="clear"/>
                  <w:vAlign w:val="center"/>
                </w:tcPr>
                <w:p w14:paraId="85010000">
                  <w:pPr>
                    <w:spacing w:after="0"/>
                    <w:ind/>
                    <w:jc w:val="center"/>
                    <w:rPr>
                      <w:rFonts w:ascii="Calibri" w:hAnsi="Calibri"/>
                      <w:sz w:val="16"/>
                    </w:rPr>
                  </w:pPr>
                  <w:r>
                    <w:rPr>
                      <w:rFonts w:ascii="Calibri" w:hAnsi="Calibri"/>
                      <w:sz w:val="16"/>
                    </w:rPr>
                    <w:t> </w:t>
                  </w:r>
                </w:p>
              </w:tc>
            </w:tr>
            <w:tr>
              <w:trPr>
                <w:trHeight w:hRule="atLeast" w:val="436"/>
              </w:trPr>
              <w:tc>
                <w:tcPr>
                  <w:tcW w:type="dxa" w:w="994"/>
                  <w:tcBorders>
                    <w:top w:color="000000" w:sz="4" w:val="single"/>
                    <w:left w:sz="4" w:val="nil"/>
                    <w:bottom w:color="000000" w:sz="4" w:val="single"/>
                    <w:right w:color="000000" w:sz="4" w:val="single"/>
                  </w:tcBorders>
                  <w:shd w:fill="auto" w:val="clear"/>
                  <w:vAlign w:val="center"/>
                </w:tcPr>
                <w:p w14:paraId="86010000">
                  <w:pPr>
                    <w:spacing w:after="0"/>
                    <w:ind/>
                    <w:jc w:val="center"/>
                    <w:rPr>
                      <w:rFonts w:ascii="Calibri" w:hAnsi="Calibri"/>
                      <w:sz w:val="16"/>
                    </w:rPr>
                  </w:pPr>
                  <w:r>
                    <w:rPr>
                      <w:rFonts w:ascii="Calibri" w:hAnsi="Calibri"/>
                      <w:sz w:val="16"/>
                    </w:rPr>
                    <w:t>количественная</w:t>
                  </w:r>
                </w:p>
              </w:tc>
              <w:tc>
                <w:tcPr>
                  <w:tcW w:type="dxa" w:w="1465"/>
                  <w:tcBorders>
                    <w:top w:sz="4" w:val="nil"/>
                    <w:left w:sz="4" w:val="nil"/>
                    <w:bottom w:color="000000" w:sz="4" w:val="single"/>
                    <w:right w:color="000000" w:sz="4" w:val="single"/>
                  </w:tcBorders>
                  <w:shd w:fill="auto" w:val="clear"/>
                  <w:vAlign w:val="center"/>
                </w:tcPr>
                <w:p w14:paraId="87010000">
                  <w:pPr>
                    <w:spacing w:after="0"/>
                    <w:ind/>
                    <w:jc w:val="center"/>
                    <w:rPr>
                      <w:rFonts w:ascii="Calibri" w:hAnsi="Calibri"/>
                      <w:color w:val="000000"/>
                      <w:sz w:val="16"/>
                    </w:rPr>
                  </w:pPr>
                  <w:r>
                    <w:rPr>
                      <w:rFonts w:ascii="Calibri" w:hAnsi="Calibri"/>
                      <w:color w:val="000000"/>
                      <w:sz w:val="16"/>
                    </w:rPr>
                    <w:t xml:space="preserve">Срок стабильности после разведения при </w:t>
                  </w:r>
                  <w:r>
                    <w:rPr>
                      <w:rFonts w:ascii="Calibri" w:hAnsi="Calibri"/>
                      <w:color w:val="000000"/>
                      <w:sz w:val="16"/>
                    </w:rPr>
                    <w:t>при</w:t>
                  </w:r>
                  <w:r>
                    <w:rPr>
                      <w:rFonts w:ascii="Calibri" w:hAnsi="Calibri"/>
                      <w:color w:val="000000"/>
                      <w:sz w:val="16"/>
                    </w:rPr>
                    <w:t xml:space="preserve"> температуре 25 °C</w:t>
                  </w:r>
                </w:p>
              </w:tc>
              <w:tc>
                <w:tcPr>
                  <w:tcW w:type="dxa" w:w="2903"/>
                  <w:tcBorders>
                    <w:top w:sz="4" w:val="nil"/>
                    <w:left w:sz="4" w:val="nil"/>
                    <w:bottom w:color="000000" w:sz="4" w:val="single"/>
                    <w:right w:color="000000" w:sz="4" w:val="single"/>
                  </w:tcBorders>
                  <w:shd w:fill="auto" w:val="clear"/>
                  <w:vAlign w:val="center"/>
                </w:tcPr>
                <w:p w14:paraId="88010000">
                  <w:pPr>
                    <w:spacing w:after="0"/>
                    <w:ind/>
                    <w:jc w:val="center"/>
                    <w:rPr>
                      <w:rFonts w:ascii="Calibri" w:hAnsi="Calibri"/>
                      <w:color w:val="000000"/>
                      <w:sz w:val="16"/>
                    </w:rPr>
                  </w:pPr>
                  <w:r>
                    <w:rPr>
                      <w:rFonts w:ascii="Calibri" w:hAnsi="Calibri"/>
                      <w:color w:val="000000"/>
                      <w:sz w:val="16"/>
                    </w:rPr>
                    <w:t xml:space="preserve"> ≥ 2</w:t>
                  </w:r>
                </w:p>
              </w:tc>
              <w:tc>
                <w:tcPr>
                  <w:tcW w:type="dxa" w:w="1442"/>
                  <w:tcBorders>
                    <w:top w:color="000000" w:sz="4" w:val="single"/>
                    <w:left w:sz="4" w:val="nil"/>
                    <w:bottom w:color="000000" w:sz="4" w:val="single"/>
                    <w:right w:color="000000" w:sz="4" w:val="single"/>
                  </w:tcBorders>
                  <w:shd w:fill="auto" w:val="clear"/>
                  <w:vAlign w:val="center"/>
                </w:tcPr>
                <w:p w14:paraId="89010000">
                  <w:pPr>
                    <w:spacing w:after="0"/>
                    <w:ind/>
                    <w:jc w:val="center"/>
                    <w:rPr>
                      <w:rFonts w:ascii="Calibri" w:hAnsi="Calibri"/>
                      <w:color w:val="000000"/>
                      <w:sz w:val="16"/>
                    </w:rPr>
                  </w:pPr>
                  <w:r>
                    <w:rPr>
                      <w:rFonts w:ascii="Calibri" w:hAnsi="Calibri"/>
                      <w:color w:val="000000"/>
                      <w:sz w:val="16"/>
                    </w:rPr>
                    <w:t>час</w:t>
                  </w:r>
                </w:p>
              </w:tc>
            </w:tr>
            <w:tr>
              <w:trPr>
                <w:trHeight w:hRule="atLeast" w:val="444"/>
              </w:trPr>
              <w:tc>
                <w:tcPr>
                  <w:tcW w:type="dxa" w:w="994"/>
                  <w:tcBorders>
                    <w:top w:sz="4" w:val="nil"/>
                    <w:left w:sz="4" w:val="nil"/>
                    <w:bottom w:sz="4" w:val="nil"/>
                    <w:right w:color="000000" w:sz="4" w:val="single"/>
                  </w:tcBorders>
                  <w:shd w:fill="auto" w:val="clear"/>
                  <w:vAlign w:val="center"/>
                </w:tcPr>
                <w:p w14:paraId="8A010000">
                  <w:pPr>
                    <w:spacing w:after="0"/>
                    <w:ind/>
                    <w:jc w:val="center"/>
                    <w:rPr>
                      <w:rFonts w:ascii="Calibri" w:hAnsi="Calibri"/>
                      <w:sz w:val="16"/>
                    </w:rPr>
                  </w:pPr>
                  <w:r>
                    <w:rPr>
                      <w:rFonts w:ascii="Calibri" w:hAnsi="Calibri"/>
                      <w:sz w:val="16"/>
                    </w:rPr>
                    <w:t> </w:t>
                  </w:r>
                </w:p>
              </w:tc>
              <w:tc>
                <w:tcPr>
                  <w:tcW w:type="dxa" w:w="1465"/>
                  <w:tcBorders>
                    <w:top w:sz="4" w:val="nil"/>
                    <w:left w:sz="4" w:val="nil"/>
                    <w:bottom w:color="000000" w:sz="4" w:val="single"/>
                    <w:right w:color="000000" w:sz="4" w:val="single"/>
                  </w:tcBorders>
                  <w:shd w:fill="auto" w:val="clear"/>
                  <w:vAlign w:val="center"/>
                </w:tcPr>
                <w:p w14:paraId="8B010000">
                  <w:pPr>
                    <w:spacing w:after="0"/>
                    <w:ind/>
                    <w:jc w:val="center"/>
                    <w:rPr>
                      <w:rFonts w:ascii="Calibri" w:hAnsi="Calibri"/>
                      <w:color w:val="000000"/>
                      <w:sz w:val="16"/>
                    </w:rPr>
                  </w:pPr>
                  <w:r>
                    <w:rPr>
                      <w:rFonts w:ascii="Calibri" w:hAnsi="Calibri"/>
                      <w:color w:val="000000"/>
                      <w:sz w:val="16"/>
                    </w:rPr>
                    <w:t xml:space="preserve">Срок стабильности после разведения при </w:t>
                  </w:r>
                  <w:r>
                    <w:rPr>
                      <w:rFonts w:ascii="Calibri" w:hAnsi="Calibri"/>
                      <w:color w:val="000000"/>
                      <w:sz w:val="16"/>
                    </w:rPr>
                    <w:t>при</w:t>
                  </w:r>
                  <w:r>
                    <w:rPr>
                      <w:rFonts w:ascii="Calibri" w:hAnsi="Calibri"/>
                      <w:color w:val="000000"/>
                      <w:sz w:val="16"/>
                    </w:rPr>
                    <w:t xml:space="preserve"> температуре от 2 °C до 8 °C</w:t>
                  </w:r>
                </w:p>
              </w:tc>
              <w:tc>
                <w:tcPr>
                  <w:tcW w:type="dxa" w:w="2903"/>
                  <w:tcBorders>
                    <w:top w:sz="4" w:val="nil"/>
                    <w:left w:sz="4" w:val="nil"/>
                    <w:bottom w:color="000000" w:sz="4" w:val="single"/>
                    <w:right w:color="000000" w:sz="4" w:val="single"/>
                  </w:tcBorders>
                  <w:shd w:fill="auto" w:val="clear"/>
                  <w:vAlign w:val="center"/>
                </w:tcPr>
                <w:p w14:paraId="8C010000">
                  <w:pPr>
                    <w:spacing w:after="0"/>
                    <w:ind/>
                    <w:jc w:val="center"/>
                    <w:rPr>
                      <w:rFonts w:ascii="Calibri" w:hAnsi="Calibri"/>
                      <w:color w:val="000000"/>
                      <w:sz w:val="16"/>
                    </w:rPr>
                  </w:pPr>
                  <w:r>
                    <w:rPr>
                      <w:rFonts w:ascii="Calibri" w:hAnsi="Calibri"/>
                      <w:color w:val="000000"/>
                      <w:sz w:val="16"/>
                    </w:rPr>
                    <w:t>≥ 5</w:t>
                  </w:r>
                </w:p>
              </w:tc>
              <w:tc>
                <w:tcPr>
                  <w:tcW w:type="dxa" w:w="1442"/>
                  <w:tcBorders>
                    <w:top w:sz="4" w:val="nil"/>
                    <w:left w:sz="4" w:val="nil"/>
                    <w:bottom w:sz="4" w:val="nil"/>
                    <w:right w:color="000000" w:sz="4" w:val="single"/>
                  </w:tcBorders>
                  <w:shd w:fill="auto" w:val="clear"/>
                  <w:vAlign w:val="center"/>
                </w:tcPr>
                <w:p w14:paraId="8D010000">
                  <w:pPr>
                    <w:spacing w:after="0"/>
                    <w:ind/>
                    <w:jc w:val="center"/>
                    <w:rPr>
                      <w:rFonts w:ascii="Calibri" w:hAnsi="Calibri"/>
                      <w:color w:val="000000"/>
                      <w:sz w:val="16"/>
                    </w:rPr>
                  </w:pPr>
                  <w:r>
                    <w:rPr>
                      <w:rFonts w:ascii="Calibri" w:hAnsi="Calibri"/>
                      <w:color w:val="000000"/>
                      <w:sz w:val="16"/>
                    </w:rPr>
                    <w:t>сутки</w:t>
                  </w:r>
                </w:p>
              </w:tc>
            </w:tr>
            <w:tr>
              <w:trPr>
                <w:trHeight w:hRule="atLeast" w:val="400"/>
              </w:trPr>
              <w:tc>
                <w:tcPr>
                  <w:tcW w:type="dxa" w:w="994"/>
                  <w:tcBorders>
                    <w:top w:color="000000" w:sz="4" w:val="single"/>
                    <w:left w:sz="4" w:val="nil"/>
                    <w:bottom w:sz="4" w:val="nil"/>
                    <w:right w:color="000000" w:sz="4" w:val="single"/>
                  </w:tcBorders>
                  <w:shd w:fill="FFFFFF" w:val="clear"/>
                  <w:vAlign w:val="center"/>
                </w:tcPr>
                <w:p w14:paraId="8E010000">
                  <w:pPr>
                    <w:spacing w:after="0"/>
                    <w:ind/>
                    <w:jc w:val="center"/>
                    <w:rPr>
                      <w:rFonts w:ascii="Calibri" w:hAnsi="Calibri"/>
                      <w:sz w:val="16"/>
                    </w:rPr>
                  </w:pPr>
                  <w:r>
                    <w:rPr>
                      <w:rFonts w:ascii="Calibri" w:hAnsi="Calibri"/>
                      <w:sz w:val="16"/>
                    </w:rPr>
                    <w:t>количественная</w:t>
                  </w:r>
                </w:p>
              </w:tc>
              <w:tc>
                <w:tcPr>
                  <w:tcW w:type="dxa" w:w="1465"/>
                  <w:tcBorders>
                    <w:top w:sz="4" w:val="nil"/>
                    <w:left w:sz="4" w:val="nil"/>
                    <w:bottom w:color="000000" w:sz="4" w:val="single"/>
                    <w:right w:color="000000" w:sz="4" w:val="single"/>
                  </w:tcBorders>
                  <w:shd w:fill="auto" w:val="clear"/>
                  <w:vAlign w:val="center"/>
                </w:tcPr>
                <w:p w14:paraId="8F010000">
                  <w:pPr>
                    <w:spacing w:after="0"/>
                    <w:ind/>
                    <w:jc w:val="center"/>
                    <w:rPr>
                      <w:rFonts w:ascii="Calibri" w:hAnsi="Calibri"/>
                      <w:color w:val="000000"/>
                      <w:sz w:val="16"/>
                    </w:rPr>
                  </w:pPr>
                  <w:r>
                    <w:rPr>
                      <w:rFonts w:ascii="Calibri" w:hAnsi="Calibri"/>
                      <w:color w:val="000000"/>
                      <w:sz w:val="16"/>
                    </w:rPr>
                    <w:t xml:space="preserve">Срок стабильности после разведения при </w:t>
                  </w:r>
                  <w:r>
                    <w:rPr>
                      <w:rFonts w:ascii="Calibri" w:hAnsi="Calibri"/>
                      <w:color w:val="000000"/>
                      <w:sz w:val="16"/>
                    </w:rPr>
                    <w:t>при</w:t>
                  </w:r>
                  <w:r>
                    <w:rPr>
                      <w:rFonts w:ascii="Calibri" w:hAnsi="Calibri"/>
                      <w:color w:val="000000"/>
                      <w:sz w:val="16"/>
                    </w:rPr>
                    <w:t xml:space="preserve"> температуре -20 °C</w:t>
                  </w:r>
                </w:p>
              </w:tc>
              <w:tc>
                <w:tcPr>
                  <w:tcW w:type="dxa" w:w="2903"/>
                  <w:tcBorders>
                    <w:top w:sz="4" w:val="nil"/>
                    <w:left w:sz="4" w:val="nil"/>
                    <w:bottom w:color="000000" w:sz="4" w:val="single"/>
                    <w:right w:color="000000" w:sz="4" w:val="single"/>
                  </w:tcBorders>
                  <w:shd w:fill="auto" w:val="clear"/>
                  <w:vAlign w:val="center"/>
                </w:tcPr>
                <w:p w14:paraId="90010000">
                  <w:pPr>
                    <w:spacing w:after="0"/>
                    <w:ind/>
                    <w:jc w:val="center"/>
                    <w:rPr>
                      <w:rFonts w:ascii="Calibri" w:hAnsi="Calibri"/>
                      <w:color w:val="000000"/>
                      <w:sz w:val="16"/>
                    </w:rPr>
                  </w:pPr>
                  <w:r>
                    <w:rPr>
                      <w:rFonts w:ascii="Calibri" w:hAnsi="Calibri"/>
                      <w:color w:val="000000"/>
                      <w:sz w:val="16"/>
                    </w:rPr>
                    <w:t>≥ 30</w:t>
                  </w:r>
                </w:p>
              </w:tc>
              <w:tc>
                <w:tcPr>
                  <w:tcW w:type="dxa" w:w="1442"/>
                  <w:tcBorders>
                    <w:top w:color="000000" w:sz="4" w:val="single"/>
                    <w:left w:sz="4" w:val="nil"/>
                    <w:bottom w:sz="4" w:val="nil"/>
                    <w:right w:color="000000" w:sz="4" w:val="single"/>
                  </w:tcBorders>
                  <w:shd w:fill="FFFFFF" w:val="clear"/>
                  <w:vAlign w:val="center"/>
                </w:tcPr>
                <w:p w14:paraId="91010000">
                  <w:pPr>
                    <w:spacing w:after="0"/>
                    <w:ind/>
                    <w:jc w:val="center"/>
                    <w:rPr>
                      <w:rFonts w:ascii="Calibri" w:hAnsi="Calibri"/>
                      <w:sz w:val="16"/>
                    </w:rPr>
                  </w:pPr>
                  <w:r>
                    <w:rPr>
                      <w:rFonts w:ascii="Calibri" w:hAnsi="Calibri"/>
                      <w:sz w:val="16"/>
                    </w:rPr>
                    <w:t>сутки</w:t>
                  </w:r>
                </w:p>
              </w:tc>
            </w:tr>
            <w:tr>
              <w:trPr>
                <w:trHeight w:hRule="atLeast" w:val="769"/>
              </w:trPr>
              <w:tc>
                <w:tcPr>
                  <w:tcW w:type="dxa" w:w="994"/>
                  <w:tcBorders>
                    <w:top w:color="000000" w:sz="4" w:val="single"/>
                    <w:left w:sz="4" w:val="nil"/>
                    <w:bottom w:color="000000" w:sz="8" w:val="single"/>
                    <w:right w:color="000000" w:sz="4" w:val="single"/>
                  </w:tcBorders>
                  <w:shd w:fill="auto" w:val="clear"/>
                  <w:vAlign w:val="center"/>
                </w:tcPr>
                <w:p w14:paraId="92010000">
                  <w:pPr>
                    <w:spacing w:after="0"/>
                    <w:ind/>
                    <w:jc w:val="center"/>
                    <w:rPr>
                      <w:rFonts w:ascii="Calibri" w:hAnsi="Calibri"/>
                      <w:sz w:val="16"/>
                    </w:rPr>
                  </w:pPr>
                  <w:r>
                    <w:rPr>
                      <w:rFonts w:ascii="Calibri" w:hAnsi="Calibri"/>
                      <w:sz w:val="16"/>
                    </w:rPr>
                    <w:t>Качественная</w:t>
                  </w:r>
                </w:p>
              </w:tc>
              <w:tc>
                <w:tcPr>
                  <w:tcW w:type="dxa" w:w="1465"/>
                  <w:tcBorders>
                    <w:top w:sz="4" w:val="nil"/>
                    <w:left w:sz="4" w:val="nil"/>
                    <w:bottom w:color="000000" w:sz="8" w:val="single"/>
                    <w:right w:color="000000" w:sz="4" w:val="single"/>
                  </w:tcBorders>
                  <w:shd w:fill="auto" w:val="clear"/>
                  <w:vAlign w:val="center"/>
                </w:tcPr>
                <w:p w14:paraId="93010000">
                  <w:pPr>
                    <w:spacing w:after="0"/>
                    <w:ind/>
                    <w:jc w:val="center"/>
                    <w:rPr>
                      <w:rFonts w:ascii="Calibri" w:hAnsi="Calibri"/>
                      <w:sz w:val="16"/>
                    </w:rPr>
                  </w:pPr>
                  <w:r>
                    <w:rPr>
                      <w:rFonts w:ascii="Calibri" w:hAnsi="Calibri"/>
                      <w:sz w:val="16"/>
                    </w:rPr>
                    <w:t>Совместимость с биохимическим анализатором Сапфир 400 (имеющимся у заказчика</w:t>
                  </w:r>
                  <w:r>
                    <w:rPr>
                      <w:rFonts w:ascii="Calibri" w:hAnsi="Calibri"/>
                      <w:sz w:val="16"/>
                    </w:rPr>
                    <w:t>) .</w:t>
                  </w:r>
                </w:p>
              </w:tc>
              <w:tc>
                <w:tcPr>
                  <w:tcW w:type="dxa" w:w="2903"/>
                  <w:tcBorders>
                    <w:top w:sz="4" w:val="nil"/>
                    <w:left w:sz="4" w:val="nil"/>
                    <w:bottom w:color="000000" w:sz="8" w:val="single"/>
                    <w:right w:color="000000" w:sz="4" w:val="single"/>
                  </w:tcBorders>
                  <w:shd w:fill="auto" w:val="clear"/>
                  <w:vAlign w:val="center"/>
                </w:tcPr>
                <w:p w14:paraId="94010000">
                  <w:pPr>
                    <w:spacing w:after="0"/>
                    <w:ind/>
                    <w:jc w:val="center"/>
                    <w:rPr>
                      <w:rFonts w:ascii="Calibri" w:hAnsi="Calibri"/>
                      <w:color w:val="000000"/>
                      <w:sz w:val="16"/>
                    </w:rPr>
                  </w:pPr>
                  <w:r>
                    <w:rPr>
                      <w:rFonts w:ascii="Calibri" w:hAnsi="Calibri"/>
                      <w:color w:val="000000"/>
                      <w:sz w:val="16"/>
                    </w:rPr>
                    <w:t>соответствие</w:t>
                  </w:r>
                </w:p>
              </w:tc>
              <w:tc>
                <w:tcPr>
                  <w:tcW w:type="dxa" w:w="1442"/>
                  <w:tcBorders>
                    <w:top w:color="000000" w:sz="4" w:val="single"/>
                    <w:left w:sz="4" w:val="nil"/>
                    <w:bottom w:color="000000" w:sz="8" w:val="single"/>
                    <w:right w:color="000000" w:sz="4" w:val="single"/>
                  </w:tcBorders>
                  <w:shd w:fill="auto" w:val="clear"/>
                  <w:vAlign w:val="center"/>
                </w:tcPr>
                <w:p w14:paraId="95010000">
                  <w:pPr>
                    <w:spacing w:after="0"/>
                    <w:ind/>
                    <w:jc w:val="center"/>
                    <w:rPr>
                      <w:rFonts w:ascii="Calibri" w:hAnsi="Calibri"/>
                      <w:color w:val="000000"/>
                      <w:sz w:val="16"/>
                    </w:rPr>
                  </w:pPr>
                  <w:r>
                    <w:rPr>
                      <w:rFonts w:ascii="Calibri" w:hAnsi="Calibri"/>
                      <w:color w:val="000000"/>
                      <w:sz w:val="16"/>
                    </w:rPr>
                    <w:t> </w:t>
                  </w:r>
                </w:p>
              </w:tc>
            </w:tr>
            <w:tr>
              <w:trPr>
                <w:trHeight w:hRule="atLeast" w:val="458"/>
              </w:trPr>
              <w:tc>
                <w:tcPr>
                  <w:tcW w:type="dxa" w:w="994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  <w:shd w:fill="auto" w:val="clear"/>
                  <w:vAlign w:val="center"/>
                </w:tcPr>
                <w:p w14:paraId="96010000">
                  <w:pPr>
                    <w:spacing w:after="0"/>
                    <w:ind/>
                    <w:jc w:val="center"/>
                    <w:rPr>
                      <w:rFonts w:ascii="Calibri" w:hAnsi="Calibri"/>
                      <w:sz w:val="16"/>
                    </w:rPr>
                  </w:pPr>
                  <w:r>
                    <w:rPr>
                      <w:rFonts w:ascii="Calibri" w:hAnsi="Calibri"/>
                      <w:sz w:val="16"/>
                    </w:rPr>
                    <w:t> </w:t>
                  </w:r>
                </w:p>
              </w:tc>
              <w:tc>
                <w:tcPr>
                  <w:tcW w:type="dxa" w:w="1465"/>
                  <w:tcBorders>
                    <w:top w:color="000000" w:sz="4" w:val="single"/>
                    <w:left w:sz="4" w:val="nil"/>
                    <w:bottom w:color="000000" w:sz="4" w:val="single"/>
                    <w:right w:color="000000" w:sz="4" w:val="single"/>
                  </w:tcBorders>
                  <w:shd w:fill="auto" w:val="clear"/>
                  <w:vAlign w:val="center"/>
                </w:tcPr>
                <w:p w14:paraId="97010000">
                  <w:pPr>
                    <w:spacing w:after="0"/>
                    <w:ind/>
                    <w:jc w:val="center"/>
                    <w:rPr>
                      <w:rFonts w:ascii="Calibri" w:hAnsi="Calibri"/>
                      <w:sz w:val="16"/>
                    </w:rPr>
                  </w:pPr>
                  <w:r>
                    <w:rPr>
                      <w:rFonts w:ascii="Calibri" w:hAnsi="Calibri"/>
                      <w:sz w:val="16"/>
                    </w:rPr>
                    <w:t>Мин. остаточный срок годности.</w:t>
                  </w:r>
                </w:p>
              </w:tc>
              <w:tc>
                <w:tcPr>
                  <w:tcW w:type="dxa" w:w="2903"/>
                  <w:tcBorders>
                    <w:top w:color="000000" w:sz="4" w:val="single"/>
                    <w:left w:sz="4" w:val="nil"/>
                    <w:bottom w:color="000000" w:sz="4" w:val="single"/>
                    <w:right w:color="000000" w:sz="4" w:val="single"/>
                  </w:tcBorders>
                  <w:shd w:fill="auto" w:val="clear"/>
                  <w:vAlign w:val="center"/>
                </w:tcPr>
                <w:p w14:paraId="98010000">
                  <w:pPr>
                    <w:spacing w:after="0"/>
                    <w:ind/>
                    <w:jc w:val="center"/>
                    <w:rPr>
                      <w:rFonts w:ascii="Calibri" w:hAnsi="Calibri"/>
                      <w:color w:val="000000"/>
                      <w:sz w:val="16"/>
                    </w:rPr>
                  </w:pPr>
                  <w:r>
                    <w:rPr>
                      <w:rFonts w:ascii="Calibri" w:hAnsi="Calibri"/>
                      <w:color w:val="000000"/>
                      <w:sz w:val="16"/>
                    </w:rPr>
                    <w:t>не менее 6 месяцев</w:t>
                  </w:r>
                </w:p>
              </w:tc>
              <w:tc>
                <w:tcPr>
                  <w:tcW w:type="dxa" w:w="1442"/>
                  <w:tcBorders>
                    <w:top w:color="000000" w:sz="4" w:val="single"/>
                    <w:left w:sz="4" w:val="nil"/>
                    <w:bottom w:color="000000" w:sz="4" w:val="single"/>
                    <w:right w:color="000000" w:sz="4" w:val="single"/>
                  </w:tcBorders>
                  <w:shd w:fill="auto" w:val="clear"/>
                  <w:vAlign w:val="center"/>
                </w:tcPr>
                <w:p w14:paraId="99010000">
                  <w:pPr>
                    <w:spacing w:after="0"/>
                    <w:ind/>
                    <w:jc w:val="center"/>
                    <w:rPr>
                      <w:rFonts w:ascii="Calibri" w:hAnsi="Calibri"/>
                      <w:color w:val="000000"/>
                      <w:sz w:val="16"/>
                    </w:rPr>
                  </w:pPr>
                  <w:r>
                    <w:rPr>
                      <w:rFonts w:ascii="Calibri" w:hAnsi="Calibri"/>
                      <w:color w:val="000000"/>
                      <w:sz w:val="16"/>
                    </w:rPr>
                    <w:t> </w:t>
                  </w:r>
                </w:p>
              </w:tc>
            </w:tr>
          </w:tbl>
          <w:p w14:paraId="9A010000">
            <w:pPr>
              <w:rPr>
                <w:sz w:val="26"/>
              </w:rPr>
            </w:pPr>
          </w:p>
        </w:tc>
        <w:tc>
          <w:tcPr>
            <w:tcW w:type="dxa" w:w="992"/>
            <w:tcBorders>
              <w:top w:color="000001" w:sz="2" w:val="single"/>
              <w:left w:color="000000" w:sz="4" w:val="single"/>
              <w:bottom w:color="000000" w:sz="4" w:val="single"/>
            </w:tcBorders>
            <w:tcMar>
              <w:left w:type="dxa" w:w="25"/>
              <w:right w:type="dxa" w:w="170"/>
            </w:tcMar>
            <w:vAlign w:val="center"/>
          </w:tcPr>
          <w:p w14:paraId="9B010000">
            <w:pPr>
              <w:spacing w:after="0"/>
              <w:ind w:firstLine="0" w:left="-189" w:right="-29"/>
              <w:jc w:val="left"/>
              <w:rPr>
                <w:b w:val="1"/>
                <w:color w:val="000000"/>
                <w:sz w:val="26"/>
              </w:rPr>
            </w:pPr>
            <w:r>
              <w:rPr>
                <w:b w:val="1"/>
                <w:color w:val="000000"/>
                <w:sz w:val="26"/>
              </w:rPr>
              <w:t xml:space="preserve">     </w:t>
            </w:r>
            <w:r>
              <w:rPr>
                <w:color w:val="000000"/>
                <w:sz w:val="22"/>
              </w:rPr>
              <w:t>набор</w:t>
            </w:r>
          </w:p>
        </w:tc>
        <w:tc>
          <w:tcPr>
            <w:tcW w:type="dxa" w:w="1134"/>
            <w:tcBorders>
              <w:top w:color="000001" w:sz="2" w:val="single"/>
              <w:left w:color="000000" w:sz="4" w:val="single"/>
              <w:bottom w:color="000000" w:sz="4" w:val="single"/>
            </w:tcBorders>
            <w:tcMar>
              <w:left w:type="dxa" w:w="25"/>
              <w:right w:type="dxa" w:w="170"/>
            </w:tcMar>
            <w:vAlign w:val="center"/>
          </w:tcPr>
          <w:p w14:paraId="9C010000">
            <w:pPr>
              <w:rPr>
                <w:sz w:val="26"/>
              </w:rPr>
            </w:pPr>
          </w:p>
          <w:p w14:paraId="9D010000">
            <w:pPr>
              <w:rPr>
                <w:sz w:val="26"/>
              </w:rPr>
            </w:pPr>
            <w:r>
              <w:rPr>
                <w:sz w:val="26"/>
              </w:rPr>
              <w:t>11</w:t>
            </w:r>
          </w:p>
        </w:tc>
        <w:tc>
          <w:tcPr>
            <w:tcW w:type="dxa" w:w="1142"/>
            <w:gridSpan w:val="2"/>
            <w:tcBorders>
              <w:top w:color="000001" w:sz="2" w:val="single"/>
              <w:left w:color="000000" w:sz="4" w:val="single"/>
              <w:bottom w:color="000000" w:sz="4" w:val="single"/>
            </w:tcBorders>
            <w:tcMar>
              <w:left w:type="dxa" w:w="25"/>
              <w:right w:type="dxa" w:w="170"/>
            </w:tcMar>
            <w:vAlign w:val="center"/>
          </w:tcPr>
          <w:p w14:paraId="9E010000">
            <w:pPr>
              <w:spacing w:after="0"/>
              <w:ind w:firstLine="0" w:left="-426" w:right="166"/>
              <w:jc w:val="left"/>
              <w:rPr>
                <w:b w:val="1"/>
                <w:color w:val="000000"/>
                <w:sz w:val="26"/>
              </w:rPr>
            </w:pPr>
          </w:p>
        </w:tc>
        <w:tc>
          <w:tcPr>
            <w:tcW w:type="dxa" w:w="843"/>
            <w:tcBorders>
              <w:top w:color="000001" w:sz="2" w:val="single"/>
              <w:left w:color="000000" w:sz="4" w:val="single"/>
              <w:bottom w:color="000000" w:sz="4" w:val="single"/>
            </w:tcBorders>
            <w:tcMar>
              <w:left w:type="dxa" w:w="25"/>
              <w:right w:type="dxa" w:w="170"/>
            </w:tcMar>
            <w:vAlign w:val="center"/>
          </w:tcPr>
          <w:p w14:paraId="9F010000">
            <w:pPr>
              <w:spacing w:after="0"/>
              <w:ind w:firstLine="0" w:left="-426" w:right="166"/>
              <w:jc w:val="left"/>
              <w:rPr>
                <w:b w:val="1"/>
                <w:color w:val="000000"/>
                <w:sz w:val="26"/>
              </w:rPr>
            </w:pPr>
          </w:p>
        </w:tc>
        <w:tc>
          <w:tcPr>
            <w:tcW w:type="dxa" w:w="1491"/>
            <w:tcBorders>
              <w:top w:color="000001" w:sz="2" w:val="single"/>
              <w:left w:color="000001" w:sz="2" w:val="single"/>
              <w:bottom w:color="000000" w:sz="4" w:val="single"/>
              <w:right w:color="000001" w:sz="2" w:val="single"/>
            </w:tcBorders>
            <w:tcMar>
              <w:left w:type="dxa" w:w="25"/>
              <w:right w:type="dxa" w:w="170"/>
            </w:tcMar>
            <w:vAlign w:val="center"/>
          </w:tcPr>
          <w:p w14:paraId="A0010000">
            <w:pPr>
              <w:tabs>
                <w:tab w:leader="none" w:pos="1036" w:val="left"/>
              </w:tabs>
              <w:spacing w:after="0"/>
              <w:ind w:right="166"/>
              <w:rPr>
                <w:b w:val="1"/>
                <w:color w:val="000000"/>
                <w:sz w:val="20"/>
              </w:rPr>
            </w:pPr>
          </w:p>
        </w:tc>
      </w:tr>
      <w:tr>
        <w:trPr>
          <w:trHeight w:hRule="atLeast" w:val="639"/>
        </w:trPr>
        <w:tc>
          <w:tcPr>
            <w:tcW w:type="dxa" w:w="14601"/>
            <w:gridSpan w:val="9"/>
            <w:tcBorders>
              <w:top w:color="000000" w:sz="4" w:val="single"/>
              <w:left w:color="000001" w:sz="2" w:val="single"/>
              <w:bottom w:color="000001" w:sz="2" w:val="single"/>
            </w:tcBorders>
            <w:tcMar>
              <w:left w:type="dxa" w:w="25"/>
              <w:right w:type="dxa" w:w="170"/>
            </w:tcMar>
            <w:vAlign w:val="center"/>
          </w:tcPr>
          <w:p w14:paraId="A1010000">
            <w:pPr>
              <w:spacing w:after="0"/>
              <w:ind w:firstLine="0" w:left="-426" w:right="166"/>
              <w:jc w:val="right"/>
              <w:rPr>
                <w:b w:val="1"/>
                <w:color w:val="000000"/>
                <w:sz w:val="26"/>
              </w:rPr>
            </w:pPr>
            <w:r>
              <w:rPr>
                <w:b w:val="1"/>
                <w:color w:val="000000"/>
                <w:sz w:val="26"/>
              </w:rPr>
              <w:t>Итого</w:t>
            </w:r>
          </w:p>
          <w:p w14:paraId="A2010000">
            <w:pPr>
              <w:spacing w:after="0"/>
              <w:ind w:firstLine="0" w:left="-426" w:right="166"/>
              <w:jc w:val="left"/>
              <w:rPr>
                <w:b w:val="1"/>
                <w:color w:val="000000"/>
                <w:sz w:val="26"/>
              </w:rPr>
            </w:pPr>
          </w:p>
        </w:tc>
        <w:tc>
          <w:tcPr>
            <w:tcW w:type="dxa" w:w="1491"/>
            <w:tcBorders>
              <w:top w:color="000000" w:sz="4" w:val="single"/>
              <w:left w:color="000001" w:sz="2" w:val="single"/>
              <w:bottom w:color="000001" w:sz="2" w:val="single"/>
              <w:right w:color="000001" w:sz="2" w:val="single"/>
            </w:tcBorders>
            <w:tcMar>
              <w:left w:type="dxa" w:w="25"/>
              <w:right w:type="dxa" w:w="170"/>
            </w:tcMar>
            <w:vAlign w:val="center"/>
          </w:tcPr>
          <w:p w14:paraId="A3010000">
            <w:pPr>
              <w:tabs>
                <w:tab w:leader="none" w:pos="1036" w:val="left"/>
              </w:tabs>
              <w:spacing w:after="0"/>
              <w:ind w:right="166"/>
              <w:rPr>
                <w:b w:val="1"/>
                <w:color w:val="000000"/>
                <w:sz w:val="20"/>
              </w:rPr>
            </w:pPr>
          </w:p>
        </w:tc>
      </w:tr>
    </w:tbl>
    <w:p w14:paraId="A4010000">
      <w:pPr>
        <w:pStyle w:val="Style_5"/>
        <w:spacing w:after="0"/>
        <w:ind w:right="166"/>
        <w:jc w:val="left"/>
        <w:rPr>
          <w:b w:val="1"/>
          <w:sz w:val="26"/>
        </w:rPr>
      </w:pPr>
    </w:p>
    <w:p w14:paraId="A5010000">
      <w:pPr>
        <w:pStyle w:val="Style_5"/>
        <w:spacing w:after="0"/>
        <w:ind w:right="166"/>
        <w:jc w:val="left"/>
        <w:rPr>
          <w:b w:val="1"/>
          <w:sz w:val="26"/>
        </w:rPr>
      </w:pPr>
    </w:p>
    <w:p w14:paraId="A6010000">
      <w:pPr>
        <w:pStyle w:val="Style_5"/>
        <w:spacing w:after="0"/>
        <w:ind w:right="166"/>
        <w:jc w:val="left"/>
        <w:rPr>
          <w:b w:val="1"/>
          <w:sz w:val="26"/>
        </w:rPr>
      </w:pPr>
    </w:p>
    <w:p w14:paraId="A7010000">
      <w:pPr>
        <w:pStyle w:val="Style_5"/>
        <w:spacing w:after="0"/>
        <w:ind w:right="166"/>
        <w:jc w:val="left"/>
        <w:rPr>
          <w:b w:val="1"/>
          <w:sz w:val="28"/>
        </w:rPr>
      </w:pPr>
      <w:r>
        <w:rPr>
          <w:b w:val="1"/>
          <w:sz w:val="26"/>
        </w:rPr>
        <w:t xml:space="preserve">Всего наименований </w:t>
      </w:r>
      <w:r>
        <w:rPr>
          <w:b w:val="1"/>
          <w:sz w:val="26"/>
        </w:rPr>
        <w:t>3</w:t>
      </w:r>
      <w:r>
        <w:rPr>
          <w:b w:val="1"/>
          <w:sz w:val="26"/>
        </w:rPr>
        <w:t xml:space="preserve"> на сумму</w:t>
      </w:r>
      <w:r>
        <w:rPr>
          <w:b w:val="1"/>
          <w:sz w:val="26"/>
        </w:rPr>
        <w:t xml:space="preserve"> </w:t>
      </w:r>
      <w:r>
        <w:rPr>
          <w:b w:val="1"/>
          <w:sz w:val="26"/>
        </w:rPr>
        <w:t>___________________________________________________________________________________.</w:t>
      </w:r>
    </w:p>
    <w:p w14:paraId="A8010000">
      <w:pPr>
        <w:pStyle w:val="Style_5"/>
        <w:spacing w:after="0"/>
        <w:ind w:right="166"/>
        <w:rPr>
          <w:b w:val="1"/>
          <w:sz w:val="28"/>
        </w:rPr>
      </w:pPr>
    </w:p>
    <w:p w14:paraId="A9010000">
      <w:pPr>
        <w:pStyle w:val="Style_5"/>
        <w:spacing w:after="0"/>
        <w:ind w:right="166"/>
        <w:rPr>
          <w:b w:val="1"/>
          <w:sz w:val="28"/>
        </w:rPr>
      </w:pPr>
    </w:p>
    <w:p w14:paraId="AA010000">
      <w:pPr>
        <w:pStyle w:val="Style_5"/>
        <w:spacing w:after="0"/>
        <w:ind w:right="166"/>
        <w:rPr>
          <w:b w:val="1"/>
          <w:sz w:val="28"/>
        </w:rPr>
      </w:pPr>
    </w:p>
    <w:p w14:paraId="AB010000">
      <w:pPr>
        <w:rPr>
          <w:b w:val="1"/>
        </w:rPr>
      </w:pPr>
      <w:r>
        <w:rPr>
          <w:b w:val="1"/>
        </w:rPr>
        <w:t xml:space="preserve">ЗАКАЗЧИК:   </w:t>
      </w:r>
      <w:r>
        <w:rPr>
          <w:b w:val="1"/>
        </w:rPr>
        <w:t xml:space="preserve">                                                                       ПОСТАВЩИК:</w:t>
      </w:r>
    </w:p>
    <w:p w14:paraId="AC010000">
      <w:pPr>
        <w:rPr>
          <w:b w:val="1"/>
        </w:rPr>
      </w:pPr>
    </w:p>
    <w:p w14:paraId="AD010000">
      <w:pPr>
        <w:spacing w:after="0"/>
        <w:ind/>
      </w:pPr>
      <w:r>
        <w:t>И.о</w:t>
      </w:r>
      <w:r>
        <w:t xml:space="preserve">. ректора ФГБОУ ВО </w:t>
      </w:r>
      <w:r>
        <w:t>РостГМУ</w:t>
      </w:r>
      <w:r>
        <w:t xml:space="preserve">                                  </w:t>
      </w:r>
      <w:r>
        <w:t>________________</w:t>
      </w:r>
      <w:r>
        <w:t xml:space="preserve">                  </w:t>
      </w:r>
    </w:p>
    <w:p w14:paraId="AE010000">
      <w:pPr>
        <w:spacing w:after="0"/>
        <w:ind/>
        <w:rPr>
          <w:color w:val="000000"/>
        </w:rPr>
      </w:pPr>
      <w:r>
        <w:rPr>
          <w:color w:val="000000"/>
        </w:rPr>
        <w:t>Минздрава Росси</w:t>
      </w:r>
      <w:r>
        <w:rPr>
          <w:color w:val="000000"/>
        </w:rPr>
        <w:t xml:space="preserve">и      </w:t>
      </w:r>
    </w:p>
    <w:p w14:paraId="AF010000">
      <w:pPr>
        <w:spacing w:after="0"/>
        <w:ind/>
      </w:pPr>
      <w:r>
        <w:t>_________________/</w:t>
      </w:r>
      <w:r>
        <w:t>М.А.Шишов</w:t>
      </w:r>
      <w:r>
        <w:t xml:space="preserve">   </w:t>
      </w:r>
      <w:r>
        <w:t xml:space="preserve">                             </w:t>
      </w:r>
      <w:r>
        <w:t xml:space="preserve">   </w:t>
      </w:r>
      <w:r>
        <w:t xml:space="preserve"> _________________/</w:t>
      </w:r>
      <w:r>
        <w:rPr>
          <w:color w:val="000000"/>
        </w:rPr>
        <w:t>_____________</w:t>
      </w:r>
    </w:p>
    <w:p w14:paraId="B0010000">
      <w:pPr>
        <w:rPr>
          <w:b w:val="1"/>
        </w:rPr>
      </w:pPr>
      <w:r>
        <w:t xml:space="preserve"> М.П.</w:t>
      </w:r>
      <w:r>
        <w:rPr>
          <w:b w:val="1"/>
        </w:rPr>
        <w:tab/>
      </w:r>
      <w:r>
        <w:rPr>
          <w:b w:val="1"/>
        </w:rPr>
        <w:tab/>
      </w:r>
      <w:r>
        <w:rPr>
          <w:b w:val="1"/>
        </w:rPr>
        <w:tab/>
      </w:r>
      <w:r>
        <w:rPr>
          <w:b w:val="1"/>
        </w:rPr>
        <w:tab/>
      </w:r>
      <w:r>
        <w:rPr>
          <w:b w:val="1"/>
        </w:rPr>
        <w:t xml:space="preserve">                  </w:t>
      </w:r>
      <w:r>
        <w:rPr>
          <w:b w:val="1"/>
        </w:rPr>
        <w:t xml:space="preserve">                            </w:t>
      </w:r>
      <w:r>
        <w:t>М.П.</w:t>
      </w:r>
      <w:r>
        <w:tab/>
      </w:r>
      <w:r>
        <w:rPr>
          <w:b w:val="1"/>
        </w:rPr>
        <w:t xml:space="preserve">                        </w:t>
      </w:r>
    </w:p>
    <w:p w14:paraId="B1010000">
      <w:pPr>
        <w:sectPr>
          <w:footerReference r:id="rId4" w:type="default"/>
          <w:footerReference r:id="rId7" w:type="first"/>
          <w:footerReference r:id="rId1" w:type="even"/>
          <w:pgSz w:h="11906" w:orient="landscape" w:w="16838"/>
          <w:pgMar w:bottom="567" w:footer="0" w:gutter="0" w:header="0" w:left="1134" w:right="567" w:top="709"/>
        </w:sectPr>
      </w:pPr>
    </w:p>
    <w:p w14:paraId="B2010000">
      <w:pPr>
        <w:spacing w:after="0"/>
        <w:ind w:firstLine="698" w:left="0"/>
        <w:jc w:val="right"/>
      </w:pPr>
      <w:bookmarkStart w:id="94" w:name="sub_10000"/>
      <w:bookmarkEnd w:id="94"/>
      <w:bookmarkStart w:id="95" w:name="sub_4000"/>
      <w:r>
        <w:rPr>
          <w:b w:val="1"/>
          <w:color w:val="26282F"/>
        </w:rPr>
        <w:t xml:space="preserve">Приложение N 2 к </w:t>
      </w:r>
      <w:r>
        <w:rPr>
          <w:b w:val="1"/>
        </w:rPr>
        <w:t>Контракту</w:t>
      </w:r>
      <w:r>
        <w:rPr>
          <w:b w:val="1"/>
          <w:color w:val="26282F"/>
        </w:rPr>
        <w:br/>
      </w:r>
      <w:r>
        <w:rPr>
          <w:b w:val="1"/>
          <w:color w:val="26282F"/>
        </w:rPr>
        <w:t>от "____"____________20____г.</w:t>
      </w:r>
      <w:r>
        <w:rPr>
          <w:b w:val="1"/>
          <w:color w:val="26282F"/>
        </w:rPr>
        <w:br/>
      </w:r>
      <w:r>
        <w:rPr>
          <w:b w:val="1"/>
          <w:color w:val="26282F"/>
        </w:rPr>
        <w:t>N__________</w:t>
      </w:r>
      <w:bookmarkEnd w:id="95"/>
    </w:p>
    <w:p w14:paraId="B3010000">
      <w:pPr>
        <w:spacing w:after="0"/>
        <w:ind/>
      </w:pPr>
    </w:p>
    <w:p w14:paraId="B4010000">
      <w:pPr>
        <w:spacing w:after="0"/>
        <w:ind w:firstLine="698" w:left="0"/>
        <w:jc w:val="right"/>
      </w:pPr>
      <w:r>
        <w:rPr>
          <w:b w:val="1"/>
          <w:color w:val="26282F"/>
        </w:rPr>
        <w:t>Образец</w:t>
      </w:r>
    </w:p>
    <w:p w14:paraId="B5010000">
      <w:pPr>
        <w:keepNext w:val="1"/>
        <w:spacing w:before="240"/>
        <w:ind w:firstLine="0" w:left="432"/>
        <w:jc w:val="center"/>
        <w:outlineLvl w:val="0"/>
        <w:rPr>
          <w:b w:val="1"/>
          <w:color w:val="26282F"/>
          <w:sz w:val="28"/>
        </w:rPr>
      </w:pPr>
      <w:r>
        <w:rPr>
          <w:color w:val="26282F"/>
          <w:sz w:val="28"/>
        </w:rPr>
        <w:t>Акт</w:t>
      </w:r>
      <w:r>
        <w:rPr>
          <w:color w:val="26282F"/>
          <w:sz w:val="28"/>
        </w:rPr>
        <w:br/>
      </w:r>
      <w:r>
        <w:rPr>
          <w:color w:val="26282F"/>
          <w:sz w:val="28"/>
        </w:rPr>
        <w:t xml:space="preserve">приема-передачи Товара </w:t>
      </w:r>
      <w:r>
        <w:rPr>
          <w:color w:val="26282F"/>
          <w:sz w:val="28"/>
        </w:rPr>
        <w:br/>
      </w:r>
      <w:r>
        <w:rPr>
          <w:color w:val="26282F"/>
          <w:sz w:val="28"/>
        </w:rPr>
        <w:t>от "____" ______________ 20__ г.   N_______</w:t>
      </w:r>
    </w:p>
    <w:p w14:paraId="B6010000">
      <w:pPr>
        <w:spacing w:after="0"/>
        <w:ind/>
      </w:pPr>
    </w:p>
    <w:p w14:paraId="B7010000">
      <w:pPr>
        <w:spacing w:after="0"/>
        <w:ind/>
      </w:pPr>
      <w:r>
        <w:t>Поставщик _________________ (полное наименование), в лице ___________ (должность, фамилия, имя, отчество (при наличии) лица, подписывающего Акт) действующего на основании _______________ (указываются реквизиты документа, удостоверяющие полномочия лица на подписание Акта), с одной стороны и Заказчик (Получатель) (полное наименование)________ в лице _______________ (должность, фамилия, имя, отчество (при наличии) лица, подписывающего Акт), действующего на основании____________(указываются реквизиты документа, удостоверяющие полномочия лица на подписание Акта), с другой стороны составили настоящий Акт о следующем:</w:t>
      </w:r>
    </w:p>
    <w:p w14:paraId="B8010000">
      <w:pPr>
        <w:spacing w:after="0"/>
        <w:ind/>
        <w:rPr>
          <w:sz w:val="23"/>
        </w:rPr>
      </w:pPr>
      <w:r>
        <w:rPr>
          <w:sz w:val="23"/>
        </w:rPr>
        <w:t>Поставщик поставил, а Заказчик (Получатель) принял следующий Товар согласно Спецификации (</w:t>
      </w:r>
      <w:r>
        <w:rPr>
          <w:sz w:val="23"/>
        </w:rPr>
        <w:fldChar w:fldCharType="begin"/>
      </w:r>
      <w:r>
        <w:rPr>
          <w:sz w:val="23"/>
        </w:rPr>
        <w:instrText>HYPERLINK \l "sub_10000"</w:instrText>
      </w:r>
      <w:r>
        <w:rPr>
          <w:sz w:val="23"/>
        </w:rPr>
        <w:fldChar w:fldCharType="separate"/>
      </w:r>
      <w:r>
        <w:rPr>
          <w:sz w:val="23"/>
        </w:rPr>
        <w:t>Приложение N 1</w:t>
      </w:r>
      <w:r>
        <w:rPr>
          <w:sz w:val="23"/>
        </w:rPr>
        <w:fldChar w:fldCharType="end"/>
      </w:r>
      <w:r>
        <w:rPr>
          <w:sz w:val="23"/>
        </w:rPr>
        <w:t xml:space="preserve"> к </w:t>
      </w:r>
      <w:r>
        <w:t>Контракт</w:t>
      </w:r>
      <w:r>
        <w:t>у</w:t>
      </w:r>
      <w:r>
        <w:rPr>
          <w:sz w:val="23"/>
        </w:rPr>
        <w:t>):</w:t>
      </w:r>
    </w:p>
    <w:tbl>
      <w:tblPr>
        <w:tblStyle w:val="Style_7"/>
        <w:tblW w:type="auto" w:w="0"/>
        <w:tblInd w:type="dxa" w:w="334"/>
        <w:tblLayout w:type="fixed"/>
      </w:tblPr>
      <w:tblGrid>
        <w:gridCol w:w="564"/>
        <w:gridCol w:w="2921"/>
        <w:gridCol w:w="1579"/>
        <w:gridCol w:w="1178"/>
        <w:gridCol w:w="988"/>
        <w:gridCol w:w="1418"/>
        <w:gridCol w:w="1417"/>
      </w:tblGrid>
      <w:tr>
        <w:tc>
          <w:tcPr>
            <w:tcW w:type="dxa" w:w="5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9010000">
            <w:pPr>
              <w:widowControl w:val="0"/>
              <w:spacing w:after="0"/>
              <w:ind/>
              <w:jc w:val="center"/>
              <w:rPr>
                <w:sz w:val="23"/>
              </w:rPr>
            </w:pPr>
            <w:r>
              <w:rPr>
                <w:sz w:val="23"/>
              </w:rPr>
              <w:t>N п/п</w:t>
            </w:r>
          </w:p>
        </w:tc>
        <w:tc>
          <w:tcPr>
            <w:tcW w:type="dxa" w:w="29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A010000">
            <w:pPr>
              <w:widowControl w:val="0"/>
              <w:spacing w:after="0"/>
              <w:ind/>
              <w:jc w:val="center"/>
              <w:rPr>
                <w:sz w:val="23"/>
              </w:rPr>
            </w:pPr>
            <w:r>
              <w:rPr>
                <w:sz w:val="23"/>
              </w:rPr>
              <w:t xml:space="preserve">Наименование Товара, </w:t>
            </w:r>
            <w:r>
              <w:t>производитель, страна происхождения</w:t>
            </w:r>
          </w:p>
        </w:tc>
        <w:tc>
          <w:tcPr>
            <w:tcW w:type="dxa" w:w="1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B010000">
            <w:pPr>
              <w:widowControl w:val="0"/>
              <w:spacing w:after="0"/>
              <w:ind/>
              <w:jc w:val="center"/>
              <w:rPr>
                <w:sz w:val="23"/>
              </w:rPr>
            </w:pPr>
            <w:r>
              <w:rPr>
                <w:sz w:val="23"/>
              </w:rPr>
              <w:t>Технические характеристики</w:t>
            </w:r>
          </w:p>
        </w:tc>
        <w:tc>
          <w:tcPr>
            <w:tcW w:type="dxa" w:w="11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C010000">
            <w:pPr>
              <w:widowControl w:val="0"/>
              <w:spacing w:after="0"/>
              <w:ind/>
              <w:jc w:val="center"/>
              <w:rPr>
                <w:sz w:val="23"/>
              </w:rPr>
            </w:pPr>
            <w:r>
              <w:rPr>
                <w:sz w:val="23"/>
              </w:rPr>
              <w:t>Ед. измерения</w:t>
            </w:r>
          </w:p>
        </w:tc>
        <w:tc>
          <w:tcPr>
            <w:tcW w:type="dxa" w:w="9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D010000">
            <w:pPr>
              <w:widowControl w:val="0"/>
              <w:spacing w:after="0"/>
              <w:ind/>
              <w:jc w:val="center"/>
              <w:rPr>
                <w:sz w:val="23"/>
              </w:rPr>
            </w:pPr>
            <w:r>
              <w:rPr>
                <w:sz w:val="23"/>
              </w:rPr>
              <w:t>Количество, в ед.</w:t>
            </w:r>
          </w:p>
        </w:tc>
        <w:tc>
          <w:tcPr>
            <w:tcW w:type="dxa" w:w="14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E010000">
            <w:pPr>
              <w:widowControl w:val="0"/>
              <w:spacing w:after="0"/>
              <w:ind/>
              <w:jc w:val="center"/>
              <w:rPr>
                <w:sz w:val="23"/>
              </w:rPr>
            </w:pPr>
            <w:r>
              <w:rPr>
                <w:sz w:val="23"/>
              </w:rPr>
              <w:t>Цена за ед.,</w:t>
            </w:r>
          </w:p>
          <w:p w14:paraId="BF010000">
            <w:pPr>
              <w:widowControl w:val="0"/>
              <w:spacing w:after="0"/>
              <w:ind/>
              <w:jc w:val="center"/>
              <w:rPr>
                <w:sz w:val="23"/>
              </w:rPr>
            </w:pPr>
            <w:r>
              <w:rPr>
                <w:sz w:val="23"/>
              </w:rPr>
              <w:t>руб. (включая НДС)</w:t>
            </w:r>
          </w:p>
        </w:tc>
        <w:tc>
          <w:tcPr>
            <w:tcW w:type="dxa" w:w="14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0010000">
            <w:pPr>
              <w:widowControl w:val="0"/>
              <w:spacing w:after="0"/>
              <w:ind/>
              <w:jc w:val="center"/>
              <w:rPr>
                <w:sz w:val="23"/>
              </w:rPr>
            </w:pPr>
            <w:r>
              <w:rPr>
                <w:sz w:val="20"/>
              </w:rPr>
              <w:t>Общая стоимость, руб. (включая НДС)</w:t>
            </w:r>
          </w:p>
        </w:tc>
      </w:tr>
      <w:tr>
        <w:tc>
          <w:tcPr>
            <w:tcW w:type="dxa" w:w="5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1010000">
            <w:pPr>
              <w:widowControl w:val="0"/>
              <w:spacing w:after="0"/>
              <w:ind/>
              <w:jc w:val="center"/>
              <w:rPr>
                <w:sz w:val="23"/>
              </w:rPr>
            </w:pPr>
            <w:r>
              <w:rPr>
                <w:sz w:val="23"/>
              </w:rPr>
              <w:t>1</w:t>
            </w:r>
          </w:p>
        </w:tc>
        <w:tc>
          <w:tcPr>
            <w:tcW w:type="dxa" w:w="29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2010000">
            <w:pPr>
              <w:widowControl w:val="0"/>
              <w:spacing w:after="0"/>
              <w:ind/>
              <w:jc w:val="center"/>
              <w:rPr>
                <w:sz w:val="23"/>
              </w:rPr>
            </w:pPr>
            <w:r>
              <w:rPr>
                <w:sz w:val="23"/>
              </w:rPr>
              <w:t>2</w:t>
            </w:r>
          </w:p>
        </w:tc>
        <w:tc>
          <w:tcPr>
            <w:tcW w:type="dxa" w:w="1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3010000">
            <w:pPr>
              <w:widowControl w:val="0"/>
              <w:spacing w:after="0"/>
              <w:ind/>
              <w:jc w:val="center"/>
              <w:rPr>
                <w:sz w:val="23"/>
              </w:rPr>
            </w:pPr>
          </w:p>
        </w:tc>
        <w:tc>
          <w:tcPr>
            <w:tcW w:type="dxa" w:w="11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4010000">
            <w:pPr>
              <w:widowControl w:val="0"/>
              <w:spacing w:after="0"/>
              <w:ind/>
              <w:jc w:val="center"/>
              <w:rPr>
                <w:sz w:val="23"/>
              </w:rPr>
            </w:pPr>
            <w:r>
              <w:rPr>
                <w:sz w:val="23"/>
              </w:rPr>
              <w:t>3</w:t>
            </w:r>
          </w:p>
        </w:tc>
        <w:tc>
          <w:tcPr>
            <w:tcW w:type="dxa" w:w="9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5010000">
            <w:pPr>
              <w:widowControl w:val="0"/>
              <w:spacing w:after="0"/>
              <w:ind/>
              <w:jc w:val="center"/>
              <w:rPr>
                <w:sz w:val="23"/>
              </w:rPr>
            </w:pPr>
            <w:r>
              <w:rPr>
                <w:sz w:val="23"/>
              </w:rPr>
              <w:t>4</w:t>
            </w:r>
          </w:p>
        </w:tc>
        <w:tc>
          <w:tcPr>
            <w:tcW w:type="dxa" w:w="14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6010000">
            <w:pPr>
              <w:widowControl w:val="0"/>
              <w:spacing w:after="0"/>
              <w:ind/>
              <w:jc w:val="center"/>
              <w:rPr>
                <w:sz w:val="23"/>
              </w:rPr>
            </w:pPr>
            <w:r>
              <w:rPr>
                <w:sz w:val="23"/>
              </w:rPr>
              <w:t>5</w:t>
            </w:r>
          </w:p>
        </w:tc>
        <w:tc>
          <w:tcPr>
            <w:tcW w:type="dxa" w:w="14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7010000">
            <w:pPr>
              <w:widowControl w:val="0"/>
              <w:spacing w:after="0"/>
              <w:ind/>
              <w:jc w:val="center"/>
              <w:rPr>
                <w:sz w:val="23"/>
              </w:rPr>
            </w:pPr>
            <w:r>
              <w:rPr>
                <w:sz w:val="23"/>
              </w:rPr>
              <w:t>6</w:t>
            </w:r>
          </w:p>
        </w:tc>
      </w:tr>
      <w:tr>
        <w:tc>
          <w:tcPr>
            <w:tcW w:type="dxa" w:w="5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8010000">
            <w:pPr>
              <w:widowControl w:val="0"/>
              <w:spacing w:after="0"/>
              <w:ind/>
              <w:jc w:val="center"/>
              <w:rPr>
                <w:sz w:val="23"/>
              </w:rPr>
            </w:pPr>
            <w:r>
              <w:rPr>
                <w:sz w:val="23"/>
              </w:rPr>
              <w:t>1.</w:t>
            </w:r>
          </w:p>
        </w:tc>
        <w:tc>
          <w:tcPr>
            <w:tcW w:type="dxa" w:w="29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9010000">
            <w:pPr>
              <w:widowControl w:val="0"/>
              <w:spacing w:after="0"/>
              <w:ind/>
              <w:rPr>
                <w:sz w:val="23"/>
              </w:rPr>
            </w:pPr>
          </w:p>
        </w:tc>
        <w:tc>
          <w:tcPr>
            <w:tcW w:type="dxa" w:w="1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A010000">
            <w:pPr>
              <w:widowControl w:val="0"/>
              <w:spacing w:after="0"/>
              <w:ind/>
              <w:rPr>
                <w:sz w:val="23"/>
              </w:rPr>
            </w:pPr>
          </w:p>
        </w:tc>
        <w:tc>
          <w:tcPr>
            <w:tcW w:type="dxa" w:w="11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B010000">
            <w:pPr>
              <w:widowControl w:val="0"/>
              <w:spacing w:after="0"/>
              <w:ind/>
              <w:rPr>
                <w:sz w:val="23"/>
              </w:rPr>
            </w:pPr>
          </w:p>
        </w:tc>
        <w:tc>
          <w:tcPr>
            <w:tcW w:type="dxa" w:w="9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C010000">
            <w:pPr>
              <w:widowControl w:val="0"/>
              <w:spacing w:after="0"/>
              <w:ind/>
              <w:rPr>
                <w:sz w:val="23"/>
              </w:rPr>
            </w:pPr>
          </w:p>
        </w:tc>
        <w:tc>
          <w:tcPr>
            <w:tcW w:type="dxa" w:w="14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D010000">
            <w:pPr>
              <w:widowControl w:val="0"/>
              <w:spacing w:after="0"/>
              <w:ind/>
              <w:rPr>
                <w:sz w:val="23"/>
              </w:rPr>
            </w:pPr>
          </w:p>
        </w:tc>
        <w:tc>
          <w:tcPr>
            <w:tcW w:type="dxa" w:w="14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E010000">
            <w:pPr>
              <w:widowControl w:val="0"/>
              <w:spacing w:after="0"/>
              <w:ind/>
              <w:rPr>
                <w:sz w:val="23"/>
              </w:rPr>
            </w:pPr>
          </w:p>
        </w:tc>
      </w:tr>
      <w:tr>
        <w:tc>
          <w:tcPr>
            <w:tcW w:type="dxa" w:w="5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F010000">
            <w:pPr>
              <w:widowControl w:val="0"/>
              <w:spacing w:after="0"/>
              <w:ind/>
              <w:jc w:val="center"/>
              <w:rPr>
                <w:sz w:val="23"/>
              </w:rPr>
            </w:pPr>
            <w:r>
              <w:rPr>
                <w:sz w:val="23"/>
              </w:rPr>
              <w:t>2.</w:t>
            </w:r>
          </w:p>
        </w:tc>
        <w:tc>
          <w:tcPr>
            <w:tcW w:type="dxa" w:w="29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0010000">
            <w:pPr>
              <w:widowControl w:val="0"/>
              <w:spacing w:after="0"/>
              <w:ind/>
              <w:rPr>
                <w:sz w:val="23"/>
              </w:rPr>
            </w:pPr>
          </w:p>
        </w:tc>
        <w:tc>
          <w:tcPr>
            <w:tcW w:type="dxa" w:w="1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1010000">
            <w:pPr>
              <w:widowControl w:val="0"/>
              <w:spacing w:after="0"/>
              <w:ind/>
              <w:rPr>
                <w:sz w:val="23"/>
              </w:rPr>
            </w:pPr>
          </w:p>
        </w:tc>
        <w:tc>
          <w:tcPr>
            <w:tcW w:type="dxa" w:w="11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2010000">
            <w:pPr>
              <w:widowControl w:val="0"/>
              <w:spacing w:after="0"/>
              <w:ind/>
              <w:rPr>
                <w:sz w:val="23"/>
              </w:rPr>
            </w:pPr>
          </w:p>
        </w:tc>
        <w:tc>
          <w:tcPr>
            <w:tcW w:type="dxa" w:w="9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3010000">
            <w:pPr>
              <w:widowControl w:val="0"/>
              <w:spacing w:after="0"/>
              <w:ind/>
              <w:rPr>
                <w:sz w:val="23"/>
              </w:rPr>
            </w:pPr>
          </w:p>
        </w:tc>
        <w:tc>
          <w:tcPr>
            <w:tcW w:type="dxa" w:w="14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4010000">
            <w:pPr>
              <w:widowControl w:val="0"/>
              <w:spacing w:after="0"/>
              <w:ind/>
              <w:rPr>
                <w:sz w:val="23"/>
              </w:rPr>
            </w:pPr>
          </w:p>
        </w:tc>
        <w:tc>
          <w:tcPr>
            <w:tcW w:type="dxa" w:w="14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5010000">
            <w:pPr>
              <w:widowControl w:val="0"/>
              <w:spacing w:after="0"/>
              <w:ind/>
              <w:rPr>
                <w:sz w:val="23"/>
              </w:rPr>
            </w:pPr>
          </w:p>
        </w:tc>
      </w:tr>
      <w:tr>
        <w:tc>
          <w:tcPr>
            <w:tcW w:type="dxa" w:w="5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6010000">
            <w:pPr>
              <w:widowControl w:val="0"/>
              <w:spacing w:after="0"/>
              <w:ind/>
              <w:jc w:val="center"/>
              <w:rPr>
                <w:sz w:val="23"/>
              </w:rPr>
            </w:pPr>
            <w:r>
              <w:rPr>
                <w:sz w:val="23"/>
              </w:rPr>
              <w:t>3.</w:t>
            </w:r>
          </w:p>
        </w:tc>
        <w:tc>
          <w:tcPr>
            <w:tcW w:type="dxa" w:w="29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7010000">
            <w:pPr>
              <w:widowControl w:val="0"/>
              <w:spacing w:after="0"/>
              <w:ind/>
              <w:rPr>
                <w:sz w:val="23"/>
              </w:rPr>
            </w:pPr>
          </w:p>
        </w:tc>
        <w:tc>
          <w:tcPr>
            <w:tcW w:type="dxa" w:w="1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8010000">
            <w:pPr>
              <w:widowControl w:val="0"/>
              <w:spacing w:after="0"/>
              <w:ind/>
              <w:rPr>
                <w:sz w:val="23"/>
              </w:rPr>
            </w:pPr>
          </w:p>
        </w:tc>
        <w:tc>
          <w:tcPr>
            <w:tcW w:type="dxa" w:w="11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9010000">
            <w:pPr>
              <w:widowControl w:val="0"/>
              <w:spacing w:after="0"/>
              <w:ind/>
              <w:rPr>
                <w:sz w:val="23"/>
              </w:rPr>
            </w:pPr>
          </w:p>
        </w:tc>
        <w:tc>
          <w:tcPr>
            <w:tcW w:type="dxa" w:w="9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A010000">
            <w:pPr>
              <w:widowControl w:val="0"/>
              <w:spacing w:after="0"/>
              <w:ind/>
              <w:rPr>
                <w:sz w:val="23"/>
              </w:rPr>
            </w:pPr>
          </w:p>
        </w:tc>
        <w:tc>
          <w:tcPr>
            <w:tcW w:type="dxa" w:w="14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B010000">
            <w:pPr>
              <w:widowControl w:val="0"/>
              <w:spacing w:after="0"/>
              <w:ind/>
              <w:rPr>
                <w:sz w:val="23"/>
              </w:rPr>
            </w:pPr>
          </w:p>
        </w:tc>
        <w:tc>
          <w:tcPr>
            <w:tcW w:type="dxa" w:w="14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C010000">
            <w:pPr>
              <w:widowControl w:val="0"/>
              <w:spacing w:after="0"/>
              <w:ind/>
              <w:rPr>
                <w:sz w:val="23"/>
              </w:rPr>
            </w:pPr>
          </w:p>
        </w:tc>
      </w:tr>
    </w:tbl>
    <w:p w14:paraId="DD010000">
      <w:pPr>
        <w:spacing w:after="0"/>
        <w:ind/>
        <w:rPr>
          <w:color w:val="000000"/>
          <w:sz w:val="22"/>
        </w:rPr>
      </w:pPr>
      <w:r>
        <w:rPr>
          <w:sz w:val="22"/>
        </w:rPr>
        <w:t xml:space="preserve">Приемка Товара </w:t>
      </w:r>
      <w:r>
        <w:rPr>
          <w:color w:val="000000"/>
          <w:sz w:val="22"/>
        </w:rPr>
        <w:t>произведена следующим образом:</w:t>
      </w:r>
    </w:p>
    <w:p w14:paraId="DE010000">
      <w:pPr>
        <w:spacing w:after="0"/>
        <w:ind/>
        <w:rPr>
          <w:color w:val="000000"/>
          <w:sz w:val="22"/>
        </w:rPr>
      </w:pPr>
      <w:r>
        <w:rPr>
          <w:color w:val="000000"/>
          <w:sz w:val="22"/>
        </w:rPr>
        <w:t>а) проверка по упаковочным листам номенклатуры поставленного Товара на соответствие Спецификации (</w:t>
      </w:r>
      <w:r>
        <w:rPr>
          <w:color w:val="000000"/>
          <w:sz w:val="22"/>
        </w:rPr>
        <w:fldChar w:fldCharType="begin"/>
      </w:r>
      <w:r>
        <w:rPr>
          <w:color w:val="000000"/>
          <w:sz w:val="22"/>
        </w:rPr>
        <w:instrText>HYPERLINK \l "sub_10000"</w:instrText>
      </w:r>
      <w:r>
        <w:rPr>
          <w:color w:val="000000"/>
          <w:sz w:val="22"/>
        </w:rPr>
        <w:fldChar w:fldCharType="separate"/>
      </w:r>
      <w:r>
        <w:rPr>
          <w:color w:val="000000"/>
          <w:sz w:val="22"/>
        </w:rPr>
        <w:t>приложение N 1</w:t>
      </w:r>
      <w:r>
        <w:rPr>
          <w:color w:val="000000"/>
          <w:sz w:val="22"/>
        </w:rPr>
        <w:fldChar w:fldCharType="end"/>
      </w:r>
      <w:r>
        <w:rPr>
          <w:color w:val="000000"/>
          <w:sz w:val="22"/>
        </w:rPr>
        <w:t xml:space="preserve"> </w:t>
      </w:r>
      <w:r>
        <w:rPr>
          <w:color w:val="000000"/>
          <w:sz w:val="18"/>
        </w:rPr>
        <w:t xml:space="preserve">к </w:t>
      </w:r>
      <w:r>
        <w:rPr>
          <w:sz w:val="20"/>
        </w:rPr>
        <w:t>Контракт</w:t>
      </w:r>
      <w:r>
        <w:rPr>
          <w:sz w:val="20"/>
        </w:rPr>
        <w:t>у</w:t>
      </w:r>
      <w:r>
        <w:rPr>
          <w:color w:val="000000"/>
          <w:sz w:val="22"/>
        </w:rPr>
        <w:t>);</w:t>
      </w:r>
    </w:p>
    <w:p w14:paraId="DF010000">
      <w:pPr>
        <w:spacing w:after="0"/>
        <w:ind/>
        <w:rPr>
          <w:color w:val="000000"/>
          <w:sz w:val="22"/>
        </w:rPr>
      </w:pPr>
      <w:r>
        <w:rPr>
          <w:color w:val="000000"/>
          <w:sz w:val="22"/>
        </w:rPr>
        <w:t xml:space="preserve">б) проверка полноты и правильности оформления комплекта сопроводительных документов в соответствии с условиями </w:t>
      </w:r>
      <w:r>
        <w:t>Контракт</w:t>
      </w:r>
      <w:r>
        <w:t>а</w:t>
      </w:r>
      <w:r>
        <w:rPr>
          <w:color w:val="000000"/>
          <w:sz w:val="22"/>
        </w:rPr>
        <w:t>;</w:t>
      </w:r>
    </w:p>
    <w:p w14:paraId="E0010000">
      <w:pPr>
        <w:spacing w:after="0"/>
        <w:ind/>
        <w:rPr>
          <w:sz w:val="22"/>
        </w:rPr>
      </w:pPr>
      <w:r>
        <w:rPr>
          <w:color w:val="000000"/>
          <w:sz w:val="22"/>
        </w:rPr>
        <w:t>в) контроль наличия/отсутствия внешних</w:t>
      </w:r>
      <w:r>
        <w:rPr>
          <w:sz w:val="22"/>
        </w:rPr>
        <w:t xml:space="preserve"> повреждений оригинальной упаковки Товара;</w:t>
      </w:r>
    </w:p>
    <w:p w14:paraId="E1010000">
      <w:pPr>
        <w:spacing w:after="0"/>
        <w:ind/>
        <w:rPr>
          <w:sz w:val="22"/>
        </w:rPr>
      </w:pPr>
      <w:r>
        <w:rPr>
          <w:sz w:val="22"/>
        </w:rPr>
        <w:t>г) проверка наличия необходимых документов (копий документов) на Товар: регистрационных удостоверений, документа, подтверждающего соответствие;</w:t>
      </w:r>
    </w:p>
    <w:p w14:paraId="E2010000">
      <w:pPr>
        <w:spacing w:after="0"/>
        <w:ind/>
        <w:rPr>
          <w:sz w:val="22"/>
        </w:rPr>
      </w:pPr>
      <w:r>
        <w:rPr>
          <w:sz w:val="22"/>
        </w:rPr>
        <w:t>д) проверка наличия технической и (или) эксплуатационной документации производителя (изготовителя) Товара на русском языке;</w:t>
      </w:r>
    </w:p>
    <w:p w14:paraId="E3010000">
      <w:pPr>
        <w:spacing w:after="0"/>
        <w:ind/>
        <w:rPr>
          <w:sz w:val="22"/>
        </w:rPr>
      </w:pPr>
      <w:r>
        <w:rPr>
          <w:sz w:val="22"/>
        </w:rPr>
        <w:t>е) проверка комплектности и целостности поставленного Товара.</w:t>
      </w:r>
    </w:p>
    <w:p w14:paraId="E4010000">
      <w:pPr>
        <w:spacing w:after="0"/>
        <w:ind/>
        <w:rPr>
          <w:sz w:val="22"/>
        </w:rPr>
      </w:pPr>
      <w:r>
        <w:rPr>
          <w:sz w:val="22"/>
        </w:rPr>
        <w:t>К настоящему Акту прилагаются следующие документы, подтверждающие поставку Товара:</w:t>
      </w:r>
    </w:p>
    <w:p w14:paraId="E5010000">
      <w:pPr>
        <w:spacing w:after="0"/>
        <w:ind/>
        <w:rPr>
          <w:sz w:val="22"/>
        </w:rPr>
      </w:pPr>
      <w:r>
        <w:rPr>
          <w:sz w:val="22"/>
        </w:rPr>
        <w:t>1. Товарная Накладная от "____"______________20___г. N________;</w:t>
      </w:r>
    </w:p>
    <w:p w14:paraId="E6010000">
      <w:pPr>
        <w:spacing w:after="0"/>
        <w:ind/>
        <w:rPr>
          <w:sz w:val="22"/>
        </w:rPr>
      </w:pPr>
      <w:r>
        <w:rPr>
          <w:sz w:val="22"/>
        </w:rPr>
        <w:t>2. Копия Регистрационного удостоверения от "______"_____________20_____г. N_____;</w:t>
      </w:r>
    </w:p>
    <w:p w14:paraId="E7010000">
      <w:pPr>
        <w:spacing w:after="0"/>
        <w:ind/>
        <w:rPr>
          <w:sz w:val="22"/>
        </w:rPr>
      </w:pPr>
      <w:r>
        <w:rPr>
          <w:sz w:val="22"/>
        </w:rPr>
        <w:t>3. Техническая и (или) эксплуатационная документация производителя (изготовителя) Товара на русском языке;</w:t>
      </w:r>
    </w:p>
    <w:p w14:paraId="E8010000">
      <w:pPr>
        <w:spacing w:after="0"/>
        <w:ind/>
        <w:rPr>
          <w:sz w:val="22"/>
        </w:rPr>
      </w:pPr>
      <w:r>
        <w:rPr>
          <w:sz w:val="22"/>
        </w:rPr>
        <w:t>4. Копия документа о соответствии от "____"______________20___г. N________;</w:t>
      </w:r>
    </w:p>
    <w:p w14:paraId="E9010000">
      <w:pPr>
        <w:spacing w:after="0"/>
        <w:ind/>
        <w:rPr>
          <w:sz w:val="22"/>
        </w:rPr>
      </w:pPr>
      <w:r>
        <w:rPr>
          <w:sz w:val="22"/>
        </w:rPr>
        <w:t>Заказчик (Получатель) несет полную материальную ответственность за принятый Товар. С момента подписания настоящего Акта все риски случайной гибели, утраты или повреждения Товара переходят к Заказчику (Получателю).</w:t>
      </w:r>
    </w:p>
    <w:tbl>
      <w:tblPr>
        <w:tblStyle w:val="Style_7"/>
        <w:tblpPr w:bottomFromText="0" w:horzAnchor="margin" w:leftFromText="180" w:rightFromText="180" w:tblpXSpec="left" w:tblpY="248" w:topFromText="0" w:vertAnchor="text"/>
        <w:tblW w:type="auto" w:w="0"/>
        <w:tblLayout w:type="fixed"/>
      </w:tblPr>
      <w:tblGrid>
        <w:gridCol w:w="2286"/>
        <w:gridCol w:w="8042"/>
      </w:tblGrid>
      <w:tr>
        <w:tc>
          <w:tcPr>
            <w:tcW w:type="dxa" w:w="2286"/>
          </w:tcPr>
          <w:p w14:paraId="EA010000">
            <w:pPr>
              <w:widowControl w:val="0"/>
              <w:ind w:hanging="437" w:left="437"/>
              <w:rPr>
                <w:b w:val="1"/>
                <w:sz w:val="23"/>
              </w:rPr>
            </w:pPr>
            <w:r>
              <w:rPr>
                <w:b w:val="1"/>
                <w:sz w:val="23"/>
              </w:rPr>
              <w:t xml:space="preserve">                     </w:t>
            </w:r>
            <w:r>
              <w:rPr>
                <w:b w:val="1"/>
                <w:sz w:val="23"/>
              </w:rPr>
              <w:t>Заказчик:</w:t>
            </w:r>
          </w:p>
          <w:p w14:paraId="EB010000">
            <w:pPr>
              <w:widowControl w:val="0"/>
              <w:ind w:hanging="437" w:left="437"/>
              <w:rPr>
                <w:b w:val="1"/>
                <w:sz w:val="23"/>
              </w:rPr>
            </w:pPr>
          </w:p>
          <w:p w14:paraId="EC010000">
            <w:pPr>
              <w:widowControl w:val="0"/>
              <w:ind w:hanging="437" w:left="437"/>
              <w:rPr>
                <w:b w:val="1"/>
                <w:sz w:val="23"/>
              </w:rPr>
            </w:pPr>
            <w:r>
              <w:rPr>
                <w:b w:val="1"/>
                <w:sz w:val="23"/>
              </w:rPr>
              <w:t>__________________</w:t>
            </w:r>
          </w:p>
          <w:p w14:paraId="ED010000">
            <w:pPr>
              <w:widowControl w:val="0"/>
              <w:ind w:hanging="437" w:left="437"/>
              <w:rPr>
                <w:sz w:val="23"/>
              </w:rPr>
            </w:pPr>
            <w:r>
              <w:rPr>
                <w:b w:val="1"/>
                <w:sz w:val="23"/>
              </w:rPr>
              <w:t>М.П.</w:t>
            </w:r>
          </w:p>
        </w:tc>
        <w:tc>
          <w:tcPr>
            <w:tcW w:type="dxa" w:w="8042"/>
            <w:vAlign w:val="bottom"/>
          </w:tcPr>
          <w:p w14:paraId="EE010000">
            <w:pPr>
              <w:widowControl w:val="0"/>
              <w:ind/>
              <w:rPr>
                <w:b w:val="1"/>
                <w:sz w:val="23"/>
              </w:rPr>
            </w:pPr>
          </w:p>
          <w:p w14:paraId="EF010000">
            <w:pPr>
              <w:widowControl w:val="0"/>
              <w:ind/>
              <w:rPr>
                <w:b w:val="1"/>
                <w:sz w:val="23"/>
              </w:rPr>
            </w:pPr>
            <w:r>
              <w:rPr>
                <w:b w:val="1"/>
                <w:sz w:val="23"/>
              </w:rPr>
              <w:t xml:space="preserve">                                                  </w:t>
            </w:r>
            <w:r>
              <w:rPr>
                <w:b w:val="1"/>
                <w:sz w:val="23"/>
              </w:rPr>
              <w:t>Поставщик:</w:t>
            </w:r>
          </w:p>
          <w:p w14:paraId="F0010000">
            <w:pPr>
              <w:widowControl w:val="0"/>
              <w:ind w:hanging="116" w:left="604"/>
              <w:jc w:val="center"/>
              <w:rPr>
                <w:b w:val="1"/>
                <w:sz w:val="23"/>
              </w:rPr>
            </w:pPr>
          </w:p>
          <w:p w14:paraId="F1010000">
            <w:pPr>
              <w:widowControl w:val="0"/>
              <w:ind w:hanging="116" w:left="604"/>
              <w:jc w:val="center"/>
              <w:rPr>
                <w:b w:val="1"/>
                <w:sz w:val="23"/>
              </w:rPr>
            </w:pPr>
            <w:r>
              <w:rPr>
                <w:b w:val="1"/>
                <w:sz w:val="23"/>
              </w:rPr>
              <w:t>__________________________</w:t>
            </w:r>
          </w:p>
          <w:p w14:paraId="F2010000">
            <w:pPr>
              <w:widowControl w:val="0"/>
              <w:ind w:hanging="116" w:left="604"/>
              <w:rPr>
                <w:b w:val="1"/>
                <w:sz w:val="23"/>
              </w:rPr>
            </w:pPr>
            <w:r>
              <w:rPr>
                <w:b w:val="1"/>
                <w:sz w:val="23"/>
              </w:rPr>
              <w:t xml:space="preserve">                                        </w:t>
            </w:r>
            <w:r>
              <w:rPr>
                <w:b w:val="1"/>
                <w:sz w:val="23"/>
              </w:rPr>
              <w:t>М.П.</w:t>
            </w:r>
          </w:p>
          <w:p w14:paraId="F3010000">
            <w:pPr>
              <w:widowControl w:val="0"/>
              <w:ind/>
              <w:rPr>
                <w:b w:val="1"/>
                <w:sz w:val="23"/>
              </w:rPr>
            </w:pPr>
          </w:p>
          <w:p w14:paraId="F4010000">
            <w:pPr>
              <w:widowControl w:val="0"/>
              <w:ind w:hanging="116" w:left="604"/>
              <w:jc w:val="center"/>
              <w:rPr>
                <w:b w:val="1"/>
                <w:sz w:val="23"/>
              </w:rPr>
            </w:pPr>
          </w:p>
          <w:p w14:paraId="F5010000">
            <w:pPr>
              <w:widowControl w:val="0"/>
              <w:spacing w:after="0"/>
              <w:ind/>
              <w:outlineLvl w:val="1"/>
            </w:pPr>
          </w:p>
          <w:p w14:paraId="F6010000">
            <w:pPr>
              <w:spacing w:after="0"/>
              <w:ind w:firstLine="698" w:left="0"/>
              <w:jc w:val="right"/>
            </w:pPr>
            <w:r>
              <w:rPr>
                <w:b w:val="1"/>
                <w:color w:val="26282F"/>
              </w:rPr>
              <w:t xml:space="preserve">Приложение N 3 к </w:t>
            </w:r>
            <w:r>
              <w:rPr>
                <w:b w:val="1"/>
              </w:rPr>
              <w:t>Контракту</w:t>
            </w:r>
            <w:r>
              <w:rPr>
                <w:b w:val="1"/>
                <w:color w:val="26282F"/>
              </w:rPr>
              <w:br/>
            </w:r>
            <w:r>
              <w:rPr>
                <w:b w:val="1"/>
                <w:color w:val="26282F"/>
              </w:rPr>
              <w:t>от "____"____________20____г.</w:t>
            </w:r>
            <w:r>
              <w:rPr>
                <w:b w:val="1"/>
                <w:color w:val="26282F"/>
              </w:rPr>
              <w:br/>
            </w:r>
            <w:r>
              <w:rPr>
                <w:b w:val="1"/>
                <w:color w:val="26282F"/>
              </w:rPr>
              <w:t>N__________</w:t>
            </w:r>
          </w:p>
          <w:p w14:paraId="F7010000">
            <w:pPr>
              <w:spacing w:after="0"/>
              <w:ind/>
            </w:pPr>
          </w:p>
          <w:p w14:paraId="F8010000">
            <w:pPr>
              <w:spacing w:after="0"/>
              <w:ind w:firstLine="698" w:left="0"/>
              <w:jc w:val="right"/>
            </w:pPr>
            <w:r>
              <w:rPr>
                <w:b w:val="1"/>
                <w:color w:val="26282F"/>
              </w:rPr>
              <w:t>Образец</w:t>
            </w:r>
          </w:p>
          <w:p w14:paraId="F9010000">
            <w:pPr>
              <w:widowControl w:val="0"/>
              <w:spacing w:after="0"/>
              <w:ind w:hanging="116" w:left="604"/>
              <w:jc w:val="right"/>
            </w:pPr>
          </w:p>
          <w:p w14:paraId="FA010000">
            <w:pPr>
              <w:widowControl w:val="0"/>
              <w:spacing w:after="0"/>
              <w:ind w:hanging="116" w:left="604"/>
              <w:jc w:val="center"/>
            </w:pPr>
          </w:p>
          <w:p w14:paraId="FB010000">
            <w:pPr>
              <w:widowControl w:val="0"/>
              <w:spacing w:after="0"/>
              <w:ind w:hanging="116" w:left="604"/>
              <w:jc w:val="center"/>
              <w:rPr>
                <w:rFonts w:ascii="Courier New" w:hAnsi="Courier New"/>
                <w:sz w:val="20"/>
              </w:rPr>
            </w:pPr>
            <w:bookmarkStart w:id="96" w:name="Par921"/>
            <w:bookmarkEnd w:id="96"/>
            <w:r>
              <w:rPr>
                <w:rFonts w:ascii="Courier New" w:hAnsi="Courier New"/>
                <w:sz w:val="20"/>
              </w:rPr>
              <w:t>АКТ СВЕРКИ РАСЧЕТОВ</w:t>
            </w:r>
          </w:p>
          <w:p w14:paraId="FC010000">
            <w:pPr>
              <w:widowControl w:val="0"/>
              <w:spacing w:after="0"/>
              <w:ind w:hanging="116" w:left="604"/>
              <w:jc w:val="center"/>
              <w:rPr>
                <w:rFonts w:ascii="Courier New" w:hAnsi="Courier New"/>
                <w:sz w:val="20"/>
              </w:rPr>
            </w:pPr>
            <w:r>
              <w:rPr>
                <w:rFonts w:ascii="Courier New" w:hAnsi="Courier New"/>
                <w:sz w:val="20"/>
              </w:rPr>
              <w:t>_______________________________________________________</w:t>
            </w:r>
          </w:p>
          <w:p w14:paraId="FD010000">
            <w:pPr>
              <w:widowControl w:val="0"/>
              <w:spacing w:after="0"/>
              <w:ind w:hanging="116" w:left="604"/>
              <w:jc w:val="center"/>
              <w:rPr>
                <w:rFonts w:ascii="Courier New" w:hAnsi="Courier New"/>
                <w:sz w:val="20"/>
              </w:rPr>
            </w:pPr>
            <w:r>
              <w:rPr>
                <w:rFonts w:ascii="Courier New" w:hAnsi="Courier New"/>
                <w:sz w:val="20"/>
              </w:rPr>
              <w:t>и _________________________________</w:t>
            </w:r>
          </w:p>
          <w:p w14:paraId="FE010000">
            <w:pPr>
              <w:widowControl w:val="0"/>
              <w:spacing w:after="0"/>
              <w:ind w:hanging="116" w:left="604"/>
              <w:jc w:val="center"/>
              <w:rPr>
                <w:rFonts w:ascii="Courier New" w:hAnsi="Courier New"/>
                <w:sz w:val="20"/>
              </w:rPr>
            </w:pPr>
          </w:p>
          <w:p w14:paraId="FF010000">
            <w:pPr>
              <w:widowControl w:val="0"/>
              <w:spacing w:after="0"/>
              <w:ind w:hanging="116" w:left="604"/>
              <w:jc w:val="center"/>
              <w:rPr>
                <w:rFonts w:ascii="Courier New" w:hAnsi="Courier New"/>
                <w:sz w:val="20"/>
              </w:rPr>
            </w:pPr>
            <w:r>
              <w:rPr>
                <w:rFonts w:ascii="Courier New" w:hAnsi="Courier New"/>
                <w:sz w:val="20"/>
              </w:rPr>
              <w:t>(</w:t>
            </w:r>
            <w:r>
              <w:rPr>
                <w:rFonts w:ascii="Courier New" w:hAnsi="Courier New"/>
                <w:sz w:val="20"/>
              </w:rPr>
              <w:t>Контракт</w:t>
            </w:r>
            <w:r>
              <w:rPr>
                <w:rFonts w:ascii="Courier New" w:hAnsi="Courier New"/>
                <w:sz w:val="20"/>
              </w:rPr>
              <w:t xml:space="preserve"> от "__" _________________ 20__ г.  N ______)</w:t>
            </w:r>
          </w:p>
          <w:p w14:paraId="00020000">
            <w:pPr>
              <w:widowControl w:val="0"/>
              <w:spacing w:after="0"/>
              <w:ind w:hanging="116" w:left="604"/>
              <w:jc w:val="center"/>
              <w:rPr>
                <w:rFonts w:ascii="Courier New" w:hAnsi="Courier New"/>
                <w:sz w:val="20"/>
              </w:rPr>
            </w:pPr>
          </w:p>
          <w:p w14:paraId="01020000">
            <w:pPr>
              <w:widowControl w:val="0"/>
              <w:spacing w:after="0"/>
              <w:ind w:hanging="116" w:left="604"/>
              <w:jc w:val="center"/>
              <w:rPr>
                <w:rFonts w:ascii="Courier New" w:hAnsi="Courier New"/>
                <w:sz w:val="20"/>
              </w:rPr>
            </w:pPr>
            <w:r>
              <w:rPr>
                <w:rFonts w:ascii="Courier New" w:hAnsi="Courier New"/>
                <w:sz w:val="20"/>
              </w:rPr>
              <w:t>Сальдо на __________ _______________     Раздел _________</w:t>
            </w:r>
          </w:p>
          <w:p w14:paraId="02020000">
            <w:pPr>
              <w:widowControl w:val="0"/>
              <w:spacing w:after="0"/>
              <w:ind/>
              <w:rPr>
                <w:rFonts w:ascii="Courier New" w:hAnsi="Courier New"/>
                <w:sz w:val="20"/>
              </w:rPr>
            </w:pPr>
            <w:r>
              <w:rPr>
                <w:rFonts w:ascii="Courier New" w:hAnsi="Courier New"/>
                <w:sz w:val="20"/>
              </w:rPr>
              <w:t xml:space="preserve">                 (</w:t>
            </w:r>
            <w:r>
              <w:rPr>
                <w:rFonts w:ascii="Courier New" w:hAnsi="Courier New"/>
                <w:sz w:val="20"/>
              </w:rPr>
              <w:t xml:space="preserve">дата)   </w:t>
            </w:r>
            <w:r>
              <w:rPr>
                <w:rFonts w:ascii="Courier New" w:hAnsi="Courier New"/>
                <w:sz w:val="20"/>
              </w:rPr>
              <w:t xml:space="preserve">    (сумма)</w:t>
            </w:r>
          </w:p>
          <w:p w14:paraId="03020000">
            <w:pPr>
              <w:widowControl w:val="0"/>
              <w:spacing w:after="0"/>
              <w:ind w:hanging="116" w:left="604"/>
              <w:jc w:val="center"/>
            </w:pPr>
          </w:p>
          <w:tbl>
            <w:tblPr>
              <w:tblStyle w:val="Style_7"/>
              <w:tblW w:type="auto" w:w="0"/>
              <w:tblInd w:type="dxa" w:w="62"/>
              <w:tblLayout w:type="fixed"/>
              <w:tblCellMar>
                <w:top w:type="dxa" w:w="102"/>
                <w:left w:type="dxa" w:w="62"/>
                <w:bottom w:type="dxa" w:w="102"/>
                <w:right w:type="dxa" w:w="62"/>
              </w:tblCellMar>
            </w:tblPr>
            <w:tblGrid>
              <w:gridCol w:w="2104"/>
              <w:gridCol w:w="1902"/>
              <w:gridCol w:w="1846"/>
              <w:gridCol w:w="1902"/>
            </w:tblGrid>
            <w:tr>
              <w:tc>
                <w:tcPr>
                  <w:tcW w:type="dxa" w:w="4006"/>
                  <w:gridSpan w:val="2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  <w:tcMar>
                    <w:top w:type="dxa" w:w="102"/>
                    <w:left w:type="dxa" w:w="62"/>
                    <w:bottom w:type="dxa" w:w="102"/>
                    <w:right w:type="dxa" w:w="62"/>
                  </w:tcMar>
                </w:tcPr>
                <w:p w14:paraId="04020000">
                  <w:pPr>
                    <w:widowControl w:val="0"/>
                    <w:spacing w:after="0"/>
                    <w:ind w:hanging="116" w:left="604"/>
                    <w:jc w:val="left"/>
                  </w:pPr>
                  <w:r>
                    <w:t>Наименование Заказчика</w:t>
                  </w:r>
                </w:p>
              </w:tc>
              <w:tc>
                <w:tcPr>
                  <w:tcW w:type="dxa" w:w="3748"/>
                  <w:gridSpan w:val="2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  <w:tcMar>
                    <w:top w:type="dxa" w:w="102"/>
                    <w:left w:type="dxa" w:w="62"/>
                    <w:bottom w:type="dxa" w:w="102"/>
                    <w:right w:type="dxa" w:w="62"/>
                  </w:tcMar>
                </w:tcPr>
                <w:p w14:paraId="05020000">
                  <w:pPr>
                    <w:widowControl w:val="0"/>
                    <w:spacing w:after="0"/>
                    <w:ind w:hanging="116" w:left="604"/>
                    <w:jc w:val="left"/>
                  </w:pPr>
                  <w:r>
                    <w:t>Наименование Поставщика</w:t>
                  </w:r>
                </w:p>
              </w:tc>
            </w:tr>
            <w:tr>
              <w:tc>
                <w:tcPr>
                  <w:tcW w:type="dxa" w:w="2104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  <w:tcMar>
                    <w:top w:type="dxa" w:w="102"/>
                    <w:left w:type="dxa" w:w="62"/>
                    <w:bottom w:type="dxa" w:w="102"/>
                    <w:right w:type="dxa" w:w="62"/>
                  </w:tcMar>
                </w:tcPr>
                <w:p w14:paraId="06020000">
                  <w:pPr>
                    <w:widowControl w:val="0"/>
                    <w:spacing w:after="0"/>
                    <w:ind w:hanging="116" w:left="604"/>
                    <w:jc w:val="left"/>
                  </w:pPr>
                  <w:r>
                    <w:t>N платежных поручений</w:t>
                  </w:r>
                </w:p>
              </w:tc>
              <w:tc>
                <w:tcPr>
                  <w:tcW w:type="dxa" w:w="1902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  <w:tcMar>
                    <w:top w:type="dxa" w:w="102"/>
                    <w:left w:type="dxa" w:w="62"/>
                    <w:bottom w:type="dxa" w:w="102"/>
                    <w:right w:type="dxa" w:w="62"/>
                  </w:tcMar>
                </w:tcPr>
                <w:p w14:paraId="07020000">
                  <w:pPr>
                    <w:widowControl w:val="0"/>
                    <w:spacing w:after="0"/>
                    <w:ind w:hanging="116" w:left="604"/>
                    <w:jc w:val="left"/>
                  </w:pPr>
                  <w:r>
                    <w:t>Сумма, руб.</w:t>
                  </w:r>
                </w:p>
              </w:tc>
              <w:tc>
                <w:tcPr>
                  <w:tcW w:type="dxa" w:w="1846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  <w:tcMar>
                    <w:top w:type="dxa" w:w="102"/>
                    <w:left w:type="dxa" w:w="62"/>
                    <w:bottom w:type="dxa" w:w="102"/>
                    <w:right w:type="dxa" w:w="62"/>
                  </w:tcMar>
                </w:tcPr>
                <w:p w14:paraId="08020000">
                  <w:pPr>
                    <w:widowControl w:val="0"/>
                    <w:spacing w:after="0"/>
                    <w:ind w:hanging="116" w:left="604"/>
                    <w:jc w:val="left"/>
                  </w:pPr>
                  <w:r>
                    <w:t>N акта, дата</w:t>
                  </w:r>
                </w:p>
              </w:tc>
              <w:tc>
                <w:tcPr>
                  <w:tcW w:type="dxa" w:w="1902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  <w:tcMar>
                    <w:top w:type="dxa" w:w="102"/>
                    <w:left w:type="dxa" w:w="62"/>
                    <w:bottom w:type="dxa" w:w="102"/>
                    <w:right w:type="dxa" w:w="62"/>
                  </w:tcMar>
                </w:tcPr>
                <w:p w14:paraId="09020000">
                  <w:pPr>
                    <w:widowControl w:val="0"/>
                    <w:spacing w:after="0"/>
                    <w:ind w:hanging="116" w:left="604"/>
                    <w:jc w:val="left"/>
                  </w:pPr>
                  <w:r>
                    <w:t>Сумма, руб.</w:t>
                  </w:r>
                </w:p>
              </w:tc>
            </w:tr>
            <w:tr>
              <w:tc>
                <w:tcPr>
                  <w:tcW w:type="dxa" w:w="2104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  <w:tcMar>
                    <w:top w:type="dxa" w:w="102"/>
                    <w:left w:type="dxa" w:w="62"/>
                    <w:bottom w:type="dxa" w:w="102"/>
                    <w:right w:type="dxa" w:w="62"/>
                  </w:tcMar>
                </w:tcPr>
                <w:p w14:paraId="0A020000">
                  <w:pPr>
                    <w:widowControl w:val="0"/>
                    <w:spacing w:after="0"/>
                    <w:ind w:hanging="116" w:left="604"/>
                    <w:jc w:val="left"/>
                  </w:pPr>
                </w:p>
              </w:tc>
              <w:tc>
                <w:tcPr>
                  <w:tcW w:type="dxa" w:w="1902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  <w:tcMar>
                    <w:top w:type="dxa" w:w="102"/>
                    <w:left w:type="dxa" w:w="62"/>
                    <w:bottom w:type="dxa" w:w="102"/>
                    <w:right w:type="dxa" w:w="62"/>
                  </w:tcMar>
                </w:tcPr>
                <w:p w14:paraId="0B020000">
                  <w:pPr>
                    <w:widowControl w:val="0"/>
                    <w:spacing w:after="0"/>
                    <w:ind w:hanging="116" w:left="604"/>
                    <w:jc w:val="left"/>
                  </w:pPr>
                </w:p>
              </w:tc>
              <w:tc>
                <w:tcPr>
                  <w:tcW w:type="dxa" w:w="1846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  <w:tcMar>
                    <w:top w:type="dxa" w:w="102"/>
                    <w:left w:type="dxa" w:w="62"/>
                    <w:bottom w:type="dxa" w:w="102"/>
                    <w:right w:type="dxa" w:w="62"/>
                  </w:tcMar>
                </w:tcPr>
                <w:p w14:paraId="0C020000">
                  <w:pPr>
                    <w:widowControl w:val="0"/>
                    <w:spacing w:after="0"/>
                    <w:ind w:hanging="116" w:left="604"/>
                    <w:jc w:val="left"/>
                  </w:pPr>
                </w:p>
              </w:tc>
              <w:tc>
                <w:tcPr>
                  <w:tcW w:type="dxa" w:w="1902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  <w:tcMar>
                    <w:top w:type="dxa" w:w="102"/>
                    <w:left w:type="dxa" w:w="62"/>
                    <w:bottom w:type="dxa" w:w="102"/>
                    <w:right w:type="dxa" w:w="62"/>
                  </w:tcMar>
                </w:tcPr>
                <w:p w14:paraId="0D020000">
                  <w:pPr>
                    <w:widowControl w:val="0"/>
                    <w:spacing w:after="0"/>
                    <w:ind w:hanging="116" w:left="604"/>
                    <w:jc w:val="left"/>
                  </w:pPr>
                </w:p>
              </w:tc>
            </w:tr>
            <w:tr>
              <w:tc>
                <w:tcPr>
                  <w:tcW w:type="dxa" w:w="2104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  <w:tcMar>
                    <w:top w:type="dxa" w:w="102"/>
                    <w:left w:type="dxa" w:w="62"/>
                    <w:bottom w:type="dxa" w:w="102"/>
                    <w:right w:type="dxa" w:w="62"/>
                  </w:tcMar>
                </w:tcPr>
                <w:p w14:paraId="0E020000">
                  <w:pPr>
                    <w:widowControl w:val="0"/>
                    <w:spacing w:after="0"/>
                    <w:ind w:hanging="116" w:left="604"/>
                    <w:jc w:val="left"/>
                  </w:pPr>
                  <w:r>
                    <w:t>Итого:</w:t>
                  </w:r>
                </w:p>
              </w:tc>
              <w:tc>
                <w:tcPr>
                  <w:tcW w:type="dxa" w:w="1902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  <w:tcMar>
                    <w:top w:type="dxa" w:w="102"/>
                    <w:left w:type="dxa" w:w="62"/>
                    <w:bottom w:type="dxa" w:w="102"/>
                    <w:right w:type="dxa" w:w="62"/>
                  </w:tcMar>
                </w:tcPr>
                <w:p w14:paraId="0F020000">
                  <w:pPr>
                    <w:widowControl w:val="0"/>
                    <w:spacing w:after="0"/>
                    <w:ind w:hanging="116" w:left="604"/>
                    <w:jc w:val="left"/>
                  </w:pPr>
                </w:p>
              </w:tc>
              <w:tc>
                <w:tcPr>
                  <w:tcW w:type="dxa" w:w="1846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  <w:tcMar>
                    <w:top w:type="dxa" w:w="102"/>
                    <w:left w:type="dxa" w:w="62"/>
                    <w:bottom w:type="dxa" w:w="102"/>
                    <w:right w:type="dxa" w:w="62"/>
                  </w:tcMar>
                </w:tcPr>
                <w:p w14:paraId="10020000">
                  <w:pPr>
                    <w:widowControl w:val="0"/>
                    <w:spacing w:after="0"/>
                    <w:ind w:hanging="116" w:left="604"/>
                    <w:jc w:val="left"/>
                  </w:pPr>
                </w:p>
              </w:tc>
              <w:tc>
                <w:tcPr>
                  <w:tcW w:type="dxa" w:w="1902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  <w:tcMar>
                    <w:top w:type="dxa" w:w="102"/>
                    <w:left w:type="dxa" w:w="62"/>
                    <w:bottom w:type="dxa" w:w="102"/>
                    <w:right w:type="dxa" w:w="62"/>
                  </w:tcMar>
                </w:tcPr>
                <w:p w14:paraId="11020000">
                  <w:pPr>
                    <w:widowControl w:val="0"/>
                    <w:spacing w:after="0"/>
                    <w:ind w:hanging="116" w:left="604"/>
                    <w:jc w:val="left"/>
                  </w:pPr>
                </w:p>
              </w:tc>
            </w:tr>
          </w:tbl>
          <w:p w14:paraId="12020000">
            <w:pPr>
              <w:widowControl w:val="0"/>
              <w:spacing w:after="0"/>
              <w:ind w:hanging="116" w:left="604"/>
              <w:jc w:val="center"/>
            </w:pPr>
          </w:p>
          <w:p w14:paraId="13020000">
            <w:pPr>
              <w:widowControl w:val="0"/>
              <w:spacing w:after="0"/>
              <w:ind w:hanging="116" w:left="604"/>
              <w:jc w:val="left"/>
              <w:rPr>
                <w:rFonts w:ascii="Courier New" w:hAnsi="Courier New"/>
                <w:sz w:val="20"/>
              </w:rPr>
            </w:pPr>
            <w:r>
              <w:rPr>
                <w:rFonts w:ascii="Courier New" w:hAnsi="Courier New"/>
                <w:sz w:val="20"/>
              </w:rPr>
              <w:t>Сальдо на __________ _______________</w:t>
            </w:r>
          </w:p>
          <w:p w14:paraId="14020000">
            <w:pPr>
              <w:widowControl w:val="0"/>
              <w:spacing w:after="0"/>
              <w:ind w:hanging="116" w:left="604"/>
              <w:jc w:val="left"/>
              <w:rPr>
                <w:rFonts w:ascii="Courier New" w:hAnsi="Courier New"/>
                <w:sz w:val="20"/>
              </w:rPr>
            </w:pPr>
            <w:r>
              <w:rPr>
                <w:rFonts w:ascii="Courier New" w:hAnsi="Courier New"/>
                <w:sz w:val="20"/>
              </w:rPr>
              <w:t xml:space="preserve">            </w:t>
            </w:r>
            <w:r>
              <w:rPr>
                <w:rFonts w:ascii="Courier New" w:hAnsi="Courier New"/>
                <w:sz w:val="20"/>
              </w:rPr>
              <w:t>(</w:t>
            </w:r>
            <w:r>
              <w:rPr>
                <w:rFonts w:ascii="Courier New" w:hAnsi="Courier New"/>
                <w:sz w:val="20"/>
              </w:rPr>
              <w:t xml:space="preserve">дата)   </w:t>
            </w:r>
            <w:r>
              <w:rPr>
                <w:rFonts w:ascii="Courier New" w:hAnsi="Courier New"/>
                <w:sz w:val="20"/>
              </w:rPr>
              <w:t xml:space="preserve">    (сумма)</w:t>
            </w:r>
          </w:p>
          <w:p w14:paraId="15020000">
            <w:pPr>
              <w:widowControl w:val="0"/>
              <w:spacing w:after="0"/>
              <w:ind w:hanging="116" w:left="604"/>
              <w:jc w:val="left"/>
              <w:rPr>
                <w:rFonts w:ascii="Courier New" w:hAnsi="Courier New"/>
                <w:sz w:val="20"/>
              </w:rPr>
            </w:pPr>
          </w:p>
          <w:p w14:paraId="16020000">
            <w:pPr>
              <w:widowControl w:val="0"/>
              <w:spacing w:after="0"/>
              <w:ind w:hanging="116" w:left="604"/>
              <w:jc w:val="left"/>
              <w:rPr>
                <w:rFonts w:ascii="Courier New" w:hAnsi="Courier New"/>
                <w:sz w:val="20"/>
              </w:rPr>
            </w:pPr>
            <w:r>
              <w:rPr>
                <w:rFonts w:ascii="Courier New" w:hAnsi="Courier New"/>
                <w:sz w:val="20"/>
              </w:rPr>
              <w:t>В пользу ____________</w:t>
            </w:r>
          </w:p>
          <w:p w14:paraId="17020000">
            <w:pPr>
              <w:widowControl w:val="0"/>
              <w:spacing w:after="0"/>
              <w:ind w:hanging="116" w:left="604"/>
              <w:jc w:val="left"/>
            </w:pPr>
          </w:p>
          <w:p w14:paraId="18020000">
            <w:pPr>
              <w:widowControl w:val="0"/>
              <w:spacing w:after="0"/>
              <w:ind w:hanging="116" w:left="604"/>
              <w:jc w:val="left"/>
            </w:pPr>
          </w:p>
          <w:tbl>
            <w:tblPr>
              <w:tblStyle w:val="Style_7"/>
              <w:tblW w:type="auto" w:w="0"/>
              <w:tblInd w:type="dxa" w:w="62"/>
              <w:tblLayout w:type="fixed"/>
              <w:tblCellMar>
                <w:top w:type="dxa" w:w="102"/>
                <w:left w:type="dxa" w:w="62"/>
                <w:bottom w:type="dxa" w:w="102"/>
                <w:right w:type="dxa" w:w="62"/>
              </w:tblCellMar>
            </w:tblPr>
            <w:tblGrid>
              <w:gridCol w:w="1616"/>
              <w:gridCol w:w="130"/>
              <w:gridCol w:w="2071"/>
              <w:gridCol w:w="130"/>
              <w:gridCol w:w="1616"/>
              <w:gridCol w:w="130"/>
              <w:gridCol w:w="2071"/>
            </w:tblGrid>
            <w:tr>
              <w:tc>
                <w:tcPr>
                  <w:tcW w:type="dxa" w:w="3817"/>
                  <w:gridSpan w:val="3"/>
                  <w:tcMar>
                    <w:top w:type="dxa" w:w="102"/>
                    <w:left w:type="dxa" w:w="62"/>
                    <w:bottom w:type="dxa" w:w="102"/>
                    <w:right w:type="dxa" w:w="62"/>
                  </w:tcMar>
                </w:tcPr>
                <w:p w14:paraId="19020000">
                  <w:pPr>
                    <w:widowControl w:val="0"/>
                    <w:spacing w:after="0"/>
                    <w:ind w:hanging="116" w:left="604"/>
                    <w:jc w:val="left"/>
                  </w:pPr>
                  <w:r>
                    <w:t>Заказчик</w:t>
                  </w:r>
                </w:p>
              </w:tc>
              <w:tc>
                <w:tcPr>
                  <w:tcW w:type="dxa" w:w="130"/>
                  <w:tcMar>
                    <w:top w:type="dxa" w:w="102"/>
                    <w:left w:type="dxa" w:w="62"/>
                    <w:bottom w:type="dxa" w:w="102"/>
                    <w:right w:type="dxa" w:w="62"/>
                  </w:tcMar>
                </w:tcPr>
                <w:p w14:paraId="1A020000">
                  <w:pPr>
                    <w:widowControl w:val="0"/>
                    <w:spacing w:after="0"/>
                    <w:ind w:hanging="116" w:left="604"/>
                    <w:jc w:val="left"/>
                  </w:pPr>
                </w:p>
              </w:tc>
              <w:tc>
                <w:tcPr>
                  <w:tcW w:type="dxa" w:w="3817"/>
                  <w:gridSpan w:val="3"/>
                  <w:tcMar>
                    <w:top w:type="dxa" w:w="102"/>
                    <w:left w:type="dxa" w:w="62"/>
                    <w:bottom w:type="dxa" w:w="102"/>
                    <w:right w:type="dxa" w:w="62"/>
                  </w:tcMar>
                </w:tcPr>
                <w:p w14:paraId="1B020000">
                  <w:pPr>
                    <w:widowControl w:val="0"/>
                    <w:spacing w:after="0"/>
                    <w:ind w:hanging="116" w:left="604"/>
                    <w:jc w:val="left"/>
                  </w:pPr>
                  <w:r>
                    <w:t>Поставщик</w:t>
                  </w:r>
                </w:p>
              </w:tc>
            </w:tr>
            <w:tr>
              <w:tc>
                <w:tcPr>
                  <w:tcW w:type="dxa" w:w="1616"/>
                  <w:tcBorders>
                    <w:bottom w:color="000000" w:sz="4" w:val="single"/>
                  </w:tcBorders>
                  <w:tcMar>
                    <w:top w:type="dxa" w:w="102"/>
                    <w:left w:type="dxa" w:w="62"/>
                    <w:bottom w:type="dxa" w:w="102"/>
                    <w:right w:type="dxa" w:w="62"/>
                  </w:tcMar>
                  <w:vAlign w:val="bottom"/>
                </w:tcPr>
                <w:p w14:paraId="1C020000">
                  <w:pPr>
                    <w:widowControl w:val="0"/>
                    <w:spacing w:after="0"/>
                    <w:ind w:hanging="116" w:left="604"/>
                    <w:jc w:val="left"/>
                  </w:pPr>
                </w:p>
              </w:tc>
              <w:tc>
                <w:tcPr>
                  <w:tcW w:type="dxa" w:w="130"/>
                  <w:tcMar>
                    <w:top w:type="dxa" w:w="102"/>
                    <w:left w:type="dxa" w:w="62"/>
                    <w:bottom w:type="dxa" w:w="102"/>
                    <w:right w:type="dxa" w:w="62"/>
                  </w:tcMar>
                </w:tcPr>
                <w:p w14:paraId="1D020000">
                  <w:pPr>
                    <w:widowControl w:val="0"/>
                    <w:spacing w:after="0"/>
                    <w:ind w:hanging="116" w:left="604"/>
                    <w:jc w:val="left"/>
                  </w:pPr>
                </w:p>
              </w:tc>
              <w:tc>
                <w:tcPr>
                  <w:tcW w:type="dxa" w:w="2071"/>
                  <w:tcBorders>
                    <w:bottom w:color="000000" w:sz="4" w:val="single"/>
                  </w:tcBorders>
                  <w:tcMar>
                    <w:top w:type="dxa" w:w="102"/>
                    <w:left w:type="dxa" w:w="62"/>
                    <w:bottom w:type="dxa" w:w="102"/>
                    <w:right w:type="dxa" w:w="62"/>
                  </w:tcMar>
                  <w:vAlign w:val="bottom"/>
                </w:tcPr>
                <w:p w14:paraId="1E020000">
                  <w:pPr>
                    <w:widowControl w:val="0"/>
                    <w:spacing w:after="0"/>
                    <w:ind w:hanging="116" w:left="604"/>
                    <w:jc w:val="left"/>
                  </w:pPr>
                </w:p>
              </w:tc>
              <w:tc>
                <w:tcPr>
                  <w:tcW w:type="dxa" w:w="130"/>
                  <w:tcMar>
                    <w:top w:type="dxa" w:w="102"/>
                    <w:left w:type="dxa" w:w="62"/>
                    <w:bottom w:type="dxa" w:w="102"/>
                    <w:right w:type="dxa" w:w="62"/>
                  </w:tcMar>
                </w:tcPr>
                <w:p w14:paraId="1F020000">
                  <w:pPr>
                    <w:widowControl w:val="0"/>
                    <w:spacing w:after="0"/>
                    <w:ind w:hanging="116" w:left="604"/>
                    <w:jc w:val="left"/>
                  </w:pPr>
                </w:p>
              </w:tc>
              <w:tc>
                <w:tcPr>
                  <w:tcW w:type="dxa" w:w="1616"/>
                  <w:tcBorders>
                    <w:bottom w:color="000000" w:sz="4" w:val="single"/>
                  </w:tcBorders>
                  <w:tcMar>
                    <w:top w:type="dxa" w:w="102"/>
                    <w:left w:type="dxa" w:w="62"/>
                    <w:bottom w:type="dxa" w:w="102"/>
                    <w:right w:type="dxa" w:w="62"/>
                  </w:tcMar>
                  <w:vAlign w:val="bottom"/>
                </w:tcPr>
                <w:p w14:paraId="20020000">
                  <w:pPr>
                    <w:widowControl w:val="0"/>
                    <w:spacing w:after="0"/>
                    <w:ind w:hanging="116" w:left="604"/>
                    <w:jc w:val="left"/>
                  </w:pPr>
                </w:p>
              </w:tc>
              <w:tc>
                <w:tcPr>
                  <w:tcW w:type="dxa" w:w="130"/>
                  <w:tcMar>
                    <w:top w:type="dxa" w:w="102"/>
                    <w:left w:type="dxa" w:w="62"/>
                    <w:bottom w:type="dxa" w:w="102"/>
                    <w:right w:type="dxa" w:w="62"/>
                  </w:tcMar>
                </w:tcPr>
                <w:p w14:paraId="21020000">
                  <w:pPr>
                    <w:widowControl w:val="0"/>
                    <w:spacing w:after="0"/>
                    <w:ind w:hanging="116" w:left="604"/>
                    <w:jc w:val="left"/>
                  </w:pPr>
                </w:p>
              </w:tc>
              <w:tc>
                <w:tcPr>
                  <w:tcW w:type="dxa" w:w="2071"/>
                  <w:tcBorders>
                    <w:bottom w:color="000000" w:sz="4" w:val="single"/>
                  </w:tcBorders>
                  <w:tcMar>
                    <w:top w:type="dxa" w:w="102"/>
                    <w:left w:type="dxa" w:w="62"/>
                    <w:bottom w:type="dxa" w:w="102"/>
                    <w:right w:type="dxa" w:w="62"/>
                  </w:tcMar>
                  <w:vAlign w:val="bottom"/>
                </w:tcPr>
                <w:p w14:paraId="22020000">
                  <w:pPr>
                    <w:widowControl w:val="0"/>
                    <w:spacing w:after="0"/>
                    <w:ind w:hanging="116" w:left="604"/>
                    <w:jc w:val="left"/>
                  </w:pPr>
                </w:p>
              </w:tc>
            </w:tr>
            <w:tr>
              <w:tc>
                <w:tcPr>
                  <w:tcW w:type="dxa" w:w="1616"/>
                  <w:tcBorders>
                    <w:top w:color="000000" w:sz="4" w:val="single"/>
                  </w:tcBorders>
                  <w:tcMar>
                    <w:top w:type="dxa" w:w="102"/>
                    <w:left w:type="dxa" w:w="62"/>
                    <w:bottom w:type="dxa" w:w="102"/>
                    <w:right w:type="dxa" w:w="62"/>
                  </w:tcMar>
                </w:tcPr>
                <w:p w14:paraId="23020000">
                  <w:pPr>
                    <w:widowControl w:val="0"/>
                    <w:spacing w:after="0"/>
                    <w:ind w:hanging="116" w:left="604"/>
                    <w:jc w:val="left"/>
                  </w:pPr>
                  <w:r>
                    <w:t>(подпись)</w:t>
                  </w:r>
                </w:p>
              </w:tc>
              <w:tc>
                <w:tcPr>
                  <w:tcW w:type="dxa" w:w="130"/>
                  <w:tcMar>
                    <w:top w:type="dxa" w:w="102"/>
                    <w:left w:type="dxa" w:w="62"/>
                    <w:bottom w:type="dxa" w:w="102"/>
                    <w:right w:type="dxa" w:w="62"/>
                  </w:tcMar>
                </w:tcPr>
                <w:p w14:paraId="24020000">
                  <w:pPr>
                    <w:widowControl w:val="0"/>
                    <w:spacing w:after="0"/>
                    <w:ind w:hanging="116" w:left="604"/>
                    <w:jc w:val="left"/>
                  </w:pPr>
                </w:p>
              </w:tc>
              <w:tc>
                <w:tcPr>
                  <w:tcW w:type="dxa" w:w="2071"/>
                  <w:tcBorders>
                    <w:top w:color="000000" w:sz="4" w:val="single"/>
                  </w:tcBorders>
                  <w:tcMar>
                    <w:top w:type="dxa" w:w="102"/>
                    <w:left w:type="dxa" w:w="62"/>
                    <w:bottom w:type="dxa" w:w="102"/>
                    <w:right w:type="dxa" w:w="62"/>
                  </w:tcMar>
                </w:tcPr>
                <w:p w14:paraId="25020000">
                  <w:pPr>
                    <w:widowControl w:val="0"/>
                    <w:spacing w:after="0"/>
                    <w:ind w:hanging="116" w:left="604"/>
                    <w:jc w:val="left"/>
                  </w:pPr>
                  <w:r>
                    <w:t>(расшифровка подписи)</w:t>
                  </w:r>
                </w:p>
              </w:tc>
              <w:tc>
                <w:tcPr>
                  <w:tcW w:type="dxa" w:w="130"/>
                  <w:tcMar>
                    <w:top w:type="dxa" w:w="102"/>
                    <w:left w:type="dxa" w:w="62"/>
                    <w:bottom w:type="dxa" w:w="102"/>
                    <w:right w:type="dxa" w:w="62"/>
                  </w:tcMar>
                </w:tcPr>
                <w:p w14:paraId="26020000">
                  <w:pPr>
                    <w:widowControl w:val="0"/>
                    <w:spacing w:after="0"/>
                    <w:ind w:hanging="116" w:left="604"/>
                    <w:jc w:val="left"/>
                  </w:pPr>
                </w:p>
              </w:tc>
              <w:tc>
                <w:tcPr>
                  <w:tcW w:type="dxa" w:w="1616"/>
                  <w:tcBorders>
                    <w:top w:color="000000" w:sz="4" w:val="single"/>
                  </w:tcBorders>
                  <w:tcMar>
                    <w:top w:type="dxa" w:w="102"/>
                    <w:left w:type="dxa" w:w="62"/>
                    <w:bottom w:type="dxa" w:w="102"/>
                    <w:right w:type="dxa" w:w="62"/>
                  </w:tcMar>
                </w:tcPr>
                <w:p w14:paraId="27020000">
                  <w:pPr>
                    <w:widowControl w:val="0"/>
                    <w:spacing w:after="0"/>
                    <w:ind w:hanging="116" w:left="604"/>
                    <w:jc w:val="left"/>
                  </w:pPr>
                  <w:r>
                    <w:t>(подпись)</w:t>
                  </w:r>
                </w:p>
              </w:tc>
              <w:tc>
                <w:tcPr>
                  <w:tcW w:type="dxa" w:w="130"/>
                  <w:tcMar>
                    <w:top w:type="dxa" w:w="102"/>
                    <w:left w:type="dxa" w:w="62"/>
                    <w:bottom w:type="dxa" w:w="102"/>
                    <w:right w:type="dxa" w:w="62"/>
                  </w:tcMar>
                </w:tcPr>
                <w:p w14:paraId="28020000">
                  <w:pPr>
                    <w:widowControl w:val="0"/>
                    <w:spacing w:after="0"/>
                    <w:ind w:hanging="116" w:left="604"/>
                    <w:jc w:val="left"/>
                  </w:pPr>
                </w:p>
              </w:tc>
              <w:tc>
                <w:tcPr>
                  <w:tcW w:type="dxa" w:w="2071"/>
                  <w:tcBorders>
                    <w:top w:color="000000" w:sz="4" w:val="single"/>
                  </w:tcBorders>
                  <w:tcMar>
                    <w:top w:type="dxa" w:w="102"/>
                    <w:left w:type="dxa" w:w="62"/>
                    <w:bottom w:type="dxa" w:w="102"/>
                    <w:right w:type="dxa" w:w="62"/>
                  </w:tcMar>
                </w:tcPr>
                <w:p w14:paraId="29020000">
                  <w:pPr>
                    <w:widowControl w:val="0"/>
                    <w:spacing w:after="0"/>
                    <w:ind w:hanging="116" w:left="604"/>
                    <w:jc w:val="left"/>
                  </w:pPr>
                  <w:r>
                    <w:t>(расшифровка подписи)</w:t>
                  </w:r>
                </w:p>
              </w:tc>
            </w:tr>
            <w:tr>
              <w:tc>
                <w:tcPr>
                  <w:tcW w:type="dxa" w:w="3817"/>
                  <w:gridSpan w:val="3"/>
                  <w:tcMar>
                    <w:top w:type="dxa" w:w="102"/>
                    <w:left w:type="dxa" w:w="62"/>
                    <w:bottom w:type="dxa" w:w="102"/>
                    <w:right w:type="dxa" w:w="62"/>
                  </w:tcMar>
                </w:tcPr>
                <w:p w14:paraId="2A020000">
                  <w:pPr>
                    <w:widowControl w:val="0"/>
                    <w:spacing w:after="0"/>
                    <w:ind w:hanging="116" w:left="604"/>
                    <w:jc w:val="left"/>
                  </w:pPr>
                  <w:r>
                    <w:t>Главный бухгалтер</w:t>
                  </w:r>
                </w:p>
                <w:p w14:paraId="2B020000">
                  <w:pPr>
                    <w:widowControl w:val="0"/>
                    <w:spacing w:after="0"/>
                    <w:ind w:hanging="116" w:left="604"/>
                    <w:jc w:val="left"/>
                  </w:pPr>
                  <w:r>
                    <w:t>(иное уполномоченное лицо)</w:t>
                  </w:r>
                </w:p>
              </w:tc>
              <w:tc>
                <w:tcPr>
                  <w:tcW w:type="dxa" w:w="130"/>
                  <w:tcMar>
                    <w:top w:type="dxa" w:w="102"/>
                    <w:left w:type="dxa" w:w="62"/>
                    <w:bottom w:type="dxa" w:w="102"/>
                    <w:right w:type="dxa" w:w="62"/>
                  </w:tcMar>
                </w:tcPr>
                <w:p w14:paraId="2C020000">
                  <w:pPr>
                    <w:widowControl w:val="0"/>
                    <w:spacing w:after="0"/>
                    <w:ind w:hanging="116" w:left="604"/>
                    <w:jc w:val="left"/>
                  </w:pPr>
                </w:p>
              </w:tc>
              <w:tc>
                <w:tcPr>
                  <w:tcW w:type="dxa" w:w="3817"/>
                  <w:gridSpan w:val="3"/>
                  <w:tcMar>
                    <w:top w:type="dxa" w:w="102"/>
                    <w:left w:type="dxa" w:w="62"/>
                    <w:bottom w:type="dxa" w:w="102"/>
                    <w:right w:type="dxa" w:w="62"/>
                  </w:tcMar>
                </w:tcPr>
                <w:p w14:paraId="2D020000">
                  <w:pPr>
                    <w:widowControl w:val="0"/>
                    <w:spacing w:after="0"/>
                    <w:ind w:hanging="116" w:left="604"/>
                    <w:jc w:val="left"/>
                  </w:pPr>
                  <w:r>
                    <w:t>Главный бухгалтер</w:t>
                  </w:r>
                </w:p>
                <w:p w14:paraId="2E020000">
                  <w:pPr>
                    <w:widowControl w:val="0"/>
                    <w:spacing w:after="0"/>
                    <w:ind w:hanging="116" w:left="604"/>
                    <w:jc w:val="left"/>
                  </w:pPr>
                  <w:r>
                    <w:t>(иное уполномоченное лицо)</w:t>
                  </w:r>
                </w:p>
              </w:tc>
            </w:tr>
            <w:tr>
              <w:tc>
                <w:tcPr>
                  <w:tcW w:type="dxa" w:w="1616"/>
                  <w:tcBorders>
                    <w:bottom w:color="000000" w:sz="4" w:val="single"/>
                  </w:tcBorders>
                  <w:tcMar>
                    <w:top w:type="dxa" w:w="102"/>
                    <w:left w:type="dxa" w:w="62"/>
                    <w:bottom w:type="dxa" w:w="102"/>
                    <w:right w:type="dxa" w:w="62"/>
                  </w:tcMar>
                  <w:vAlign w:val="bottom"/>
                </w:tcPr>
                <w:p w14:paraId="2F020000">
                  <w:pPr>
                    <w:widowControl w:val="0"/>
                    <w:spacing w:after="0"/>
                    <w:ind w:hanging="116" w:left="604"/>
                    <w:jc w:val="left"/>
                  </w:pPr>
                </w:p>
              </w:tc>
              <w:tc>
                <w:tcPr>
                  <w:tcW w:type="dxa" w:w="130"/>
                  <w:tcMar>
                    <w:top w:type="dxa" w:w="102"/>
                    <w:left w:type="dxa" w:w="62"/>
                    <w:bottom w:type="dxa" w:w="102"/>
                    <w:right w:type="dxa" w:w="62"/>
                  </w:tcMar>
                </w:tcPr>
                <w:p w14:paraId="30020000">
                  <w:pPr>
                    <w:widowControl w:val="0"/>
                    <w:spacing w:after="0"/>
                    <w:ind w:hanging="116" w:left="604"/>
                    <w:jc w:val="left"/>
                  </w:pPr>
                </w:p>
              </w:tc>
              <w:tc>
                <w:tcPr>
                  <w:tcW w:type="dxa" w:w="2071"/>
                  <w:tcBorders>
                    <w:bottom w:color="000000" w:sz="4" w:val="single"/>
                  </w:tcBorders>
                  <w:tcMar>
                    <w:top w:type="dxa" w:w="102"/>
                    <w:left w:type="dxa" w:w="62"/>
                    <w:bottom w:type="dxa" w:w="102"/>
                    <w:right w:type="dxa" w:w="62"/>
                  </w:tcMar>
                  <w:vAlign w:val="bottom"/>
                </w:tcPr>
                <w:p w14:paraId="31020000">
                  <w:pPr>
                    <w:widowControl w:val="0"/>
                    <w:spacing w:after="0"/>
                    <w:ind w:hanging="116" w:left="604"/>
                    <w:jc w:val="left"/>
                  </w:pPr>
                </w:p>
              </w:tc>
              <w:tc>
                <w:tcPr>
                  <w:tcW w:type="dxa" w:w="130"/>
                  <w:tcMar>
                    <w:top w:type="dxa" w:w="102"/>
                    <w:left w:type="dxa" w:w="62"/>
                    <w:bottom w:type="dxa" w:w="102"/>
                    <w:right w:type="dxa" w:w="62"/>
                  </w:tcMar>
                </w:tcPr>
                <w:p w14:paraId="32020000">
                  <w:pPr>
                    <w:widowControl w:val="0"/>
                    <w:spacing w:after="0"/>
                    <w:ind w:hanging="116" w:left="604"/>
                    <w:jc w:val="left"/>
                  </w:pPr>
                </w:p>
              </w:tc>
              <w:tc>
                <w:tcPr>
                  <w:tcW w:type="dxa" w:w="1616"/>
                  <w:tcBorders>
                    <w:bottom w:color="000000" w:sz="4" w:val="single"/>
                  </w:tcBorders>
                  <w:tcMar>
                    <w:top w:type="dxa" w:w="102"/>
                    <w:left w:type="dxa" w:w="62"/>
                    <w:bottom w:type="dxa" w:w="102"/>
                    <w:right w:type="dxa" w:w="62"/>
                  </w:tcMar>
                  <w:vAlign w:val="bottom"/>
                </w:tcPr>
                <w:p w14:paraId="33020000">
                  <w:pPr>
                    <w:widowControl w:val="0"/>
                    <w:spacing w:after="0"/>
                    <w:ind w:hanging="116" w:left="604"/>
                    <w:jc w:val="left"/>
                  </w:pPr>
                </w:p>
              </w:tc>
              <w:tc>
                <w:tcPr>
                  <w:tcW w:type="dxa" w:w="130"/>
                  <w:tcMar>
                    <w:top w:type="dxa" w:w="102"/>
                    <w:left w:type="dxa" w:w="62"/>
                    <w:bottom w:type="dxa" w:w="102"/>
                    <w:right w:type="dxa" w:w="62"/>
                  </w:tcMar>
                </w:tcPr>
                <w:p w14:paraId="34020000">
                  <w:pPr>
                    <w:widowControl w:val="0"/>
                    <w:spacing w:after="0"/>
                    <w:ind w:hanging="116" w:left="604"/>
                    <w:jc w:val="left"/>
                  </w:pPr>
                </w:p>
              </w:tc>
              <w:tc>
                <w:tcPr>
                  <w:tcW w:type="dxa" w:w="2071"/>
                  <w:tcBorders>
                    <w:bottom w:color="000000" w:sz="4" w:val="single"/>
                  </w:tcBorders>
                  <w:tcMar>
                    <w:top w:type="dxa" w:w="102"/>
                    <w:left w:type="dxa" w:w="62"/>
                    <w:bottom w:type="dxa" w:w="102"/>
                    <w:right w:type="dxa" w:w="62"/>
                  </w:tcMar>
                  <w:vAlign w:val="bottom"/>
                </w:tcPr>
                <w:p w14:paraId="35020000">
                  <w:pPr>
                    <w:widowControl w:val="0"/>
                    <w:spacing w:after="0"/>
                    <w:ind w:hanging="116" w:left="604"/>
                    <w:jc w:val="left"/>
                  </w:pPr>
                </w:p>
              </w:tc>
            </w:tr>
            <w:tr>
              <w:tc>
                <w:tcPr>
                  <w:tcW w:type="dxa" w:w="1616"/>
                  <w:tcBorders>
                    <w:top w:color="000000" w:sz="4" w:val="single"/>
                  </w:tcBorders>
                  <w:tcMar>
                    <w:top w:type="dxa" w:w="102"/>
                    <w:left w:type="dxa" w:w="62"/>
                    <w:bottom w:type="dxa" w:w="102"/>
                    <w:right w:type="dxa" w:w="62"/>
                  </w:tcMar>
                </w:tcPr>
                <w:p w14:paraId="36020000">
                  <w:pPr>
                    <w:widowControl w:val="0"/>
                    <w:spacing w:after="0"/>
                    <w:ind w:hanging="116" w:left="604"/>
                    <w:jc w:val="left"/>
                  </w:pPr>
                  <w:r>
                    <w:t>(подпись)</w:t>
                  </w:r>
                </w:p>
              </w:tc>
              <w:tc>
                <w:tcPr>
                  <w:tcW w:type="dxa" w:w="130"/>
                  <w:tcMar>
                    <w:top w:type="dxa" w:w="102"/>
                    <w:left w:type="dxa" w:w="62"/>
                    <w:bottom w:type="dxa" w:w="102"/>
                    <w:right w:type="dxa" w:w="62"/>
                  </w:tcMar>
                </w:tcPr>
                <w:p w14:paraId="37020000">
                  <w:pPr>
                    <w:widowControl w:val="0"/>
                    <w:spacing w:after="0"/>
                    <w:ind w:hanging="116" w:left="604"/>
                    <w:jc w:val="left"/>
                  </w:pPr>
                </w:p>
              </w:tc>
              <w:tc>
                <w:tcPr>
                  <w:tcW w:type="dxa" w:w="2071"/>
                  <w:tcBorders>
                    <w:top w:color="000000" w:sz="4" w:val="single"/>
                  </w:tcBorders>
                  <w:tcMar>
                    <w:top w:type="dxa" w:w="102"/>
                    <w:left w:type="dxa" w:w="62"/>
                    <w:bottom w:type="dxa" w:w="102"/>
                    <w:right w:type="dxa" w:w="62"/>
                  </w:tcMar>
                </w:tcPr>
                <w:p w14:paraId="38020000">
                  <w:pPr>
                    <w:widowControl w:val="0"/>
                    <w:spacing w:after="0"/>
                    <w:ind w:hanging="116" w:left="604"/>
                    <w:jc w:val="left"/>
                  </w:pPr>
                  <w:r>
                    <w:t>(расшифровка подписи)</w:t>
                  </w:r>
                </w:p>
              </w:tc>
              <w:tc>
                <w:tcPr>
                  <w:tcW w:type="dxa" w:w="130"/>
                  <w:tcMar>
                    <w:top w:type="dxa" w:w="102"/>
                    <w:left w:type="dxa" w:w="62"/>
                    <w:bottom w:type="dxa" w:w="102"/>
                    <w:right w:type="dxa" w:w="62"/>
                  </w:tcMar>
                </w:tcPr>
                <w:p w14:paraId="39020000">
                  <w:pPr>
                    <w:widowControl w:val="0"/>
                    <w:spacing w:after="0"/>
                    <w:ind w:hanging="116" w:left="604"/>
                    <w:jc w:val="left"/>
                  </w:pPr>
                </w:p>
              </w:tc>
              <w:tc>
                <w:tcPr>
                  <w:tcW w:type="dxa" w:w="1616"/>
                  <w:tcBorders>
                    <w:top w:color="000000" w:sz="4" w:val="single"/>
                  </w:tcBorders>
                  <w:tcMar>
                    <w:top w:type="dxa" w:w="102"/>
                    <w:left w:type="dxa" w:w="62"/>
                    <w:bottom w:type="dxa" w:w="102"/>
                    <w:right w:type="dxa" w:w="62"/>
                  </w:tcMar>
                </w:tcPr>
                <w:p w14:paraId="3A020000">
                  <w:pPr>
                    <w:widowControl w:val="0"/>
                    <w:spacing w:after="0"/>
                    <w:ind w:hanging="116" w:left="604"/>
                    <w:jc w:val="left"/>
                  </w:pPr>
                  <w:r>
                    <w:t>(подпись)</w:t>
                  </w:r>
                </w:p>
              </w:tc>
              <w:tc>
                <w:tcPr>
                  <w:tcW w:type="dxa" w:w="130"/>
                  <w:tcMar>
                    <w:top w:type="dxa" w:w="102"/>
                    <w:left w:type="dxa" w:w="62"/>
                    <w:bottom w:type="dxa" w:w="102"/>
                    <w:right w:type="dxa" w:w="62"/>
                  </w:tcMar>
                </w:tcPr>
                <w:p w14:paraId="3B020000">
                  <w:pPr>
                    <w:widowControl w:val="0"/>
                    <w:spacing w:after="0"/>
                    <w:ind w:hanging="116" w:left="604"/>
                    <w:jc w:val="left"/>
                  </w:pPr>
                </w:p>
              </w:tc>
              <w:tc>
                <w:tcPr>
                  <w:tcW w:type="dxa" w:w="2071"/>
                  <w:tcBorders>
                    <w:top w:color="000000" w:sz="4" w:val="single"/>
                  </w:tcBorders>
                  <w:tcMar>
                    <w:top w:type="dxa" w:w="102"/>
                    <w:left w:type="dxa" w:w="62"/>
                    <w:bottom w:type="dxa" w:w="102"/>
                    <w:right w:type="dxa" w:w="62"/>
                  </w:tcMar>
                </w:tcPr>
                <w:p w14:paraId="3C020000">
                  <w:pPr>
                    <w:widowControl w:val="0"/>
                    <w:spacing w:after="0"/>
                    <w:ind w:hanging="116" w:left="604"/>
                    <w:jc w:val="left"/>
                  </w:pPr>
                  <w:r>
                    <w:t>(расшифровка подписи)</w:t>
                  </w:r>
                </w:p>
              </w:tc>
            </w:tr>
          </w:tbl>
          <w:p w14:paraId="3D020000">
            <w:pPr>
              <w:widowControl w:val="0"/>
              <w:spacing w:after="0"/>
              <w:ind w:hanging="116" w:left="604"/>
              <w:jc w:val="center"/>
            </w:pPr>
          </w:p>
          <w:p w14:paraId="3E020000">
            <w:pPr>
              <w:widowControl w:val="0"/>
              <w:spacing w:after="0"/>
              <w:ind w:hanging="116" w:left="604"/>
              <w:jc w:val="center"/>
            </w:pPr>
          </w:p>
          <w:p w14:paraId="3F020000">
            <w:pPr>
              <w:widowControl w:val="0"/>
              <w:spacing w:after="0"/>
              <w:ind w:hanging="116" w:left="604"/>
              <w:jc w:val="center"/>
            </w:pPr>
          </w:p>
          <w:p w14:paraId="40020000"/>
          <w:p w14:paraId="41020000">
            <w:pPr>
              <w:widowControl w:val="0"/>
              <w:ind w:hanging="116" w:left="604"/>
              <w:jc w:val="center"/>
              <w:rPr>
                <w:b w:val="1"/>
                <w:sz w:val="23"/>
              </w:rPr>
            </w:pPr>
          </w:p>
        </w:tc>
      </w:tr>
    </w:tbl>
    <w:p w14:paraId="42020000"/>
    <w:sectPr>
      <w:footerReference r:id="rId2" w:type="default"/>
      <w:footerReference r:id="rId6" w:type="first"/>
      <w:footerReference r:id="rId8" w:type="even"/>
      <w:pgSz w:h="16838" w:orient="portrait" w:w="11906"/>
      <w:pgMar w:bottom="1134" w:footer="709" w:gutter="0" w:header="0" w:left="709" w:right="766" w:top="567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1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ind w:right="360"/>
    </w:pPr>
    <w: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<wp:anchor allowOverlap="true" behindDoc="false" distB="0" distL="0" distR="0" distT="0" layoutInCell="true" locked="false" relativeHeight="251658240" simplePos="false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605"/>
              <wp:wrapSquare distB="0" distL="0" distR="0" distT="0" wrapText="bothSides"/>
              <wp:docPr hidden="false" id="1" name="Picture 1"/>
              <a:graphic>
                <a:graphicData uri="http://schemas.microsoft.com/office/word/2010/wordprocessingShape">
                  <wps:wsp>
                    <wps:cNvSpPr txBox="false"/>
                    <wps:spPr>
                      <a:xfrm flipH="false" flipV="false" rot="0">
                        <a:off x="0" y="0"/>
                        <a:ext cx="14605" cy="1460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txbx>
                      <w:txbxContent>
                        <w:p w14:paraId="02000000">
                          <w:pPr>
                            <w:pStyle w:val="Style_1"/>
                            <w:rPr>
                              <w:rStyle w:val="Style_2_ch"/>
                            </w:rPr>
                          </w:pPr>
                          <w:r>
                            <w:rPr>
                              <w:rStyle w:val="Style_2_ch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Style_2_ch"/>
                              <w:color w:val="000000"/>
                            </w:rPr>
                            <w:instrText xml:space="preserve">PAGE </w:instrText>
                          </w:r>
                          <w:r>
                            <w:rPr>
                              <w:rStyle w:val="Style_2_ch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Style_2_ch"/>
                              <w:color w:val="000000"/>
                            </w:rPr>
                            <w:t xml:space="preserve"> </w:t>
                          </w:r>
                          <w:r>
                            <w:rPr>
                              <w:rStyle w:val="Style_2_ch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bIns="0" lIns="0" rIns="0" tIns="0">
                      <a:sp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ftr>
</file>

<file path=word/footer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3000000">
    <w:pPr>
      <w:pStyle w:val="Style_1"/>
      <w:ind w:right="360"/>
    </w:pPr>
    <w: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<wp:anchor allowOverlap="true" behindDoc="false" distB="0" distL="0" distR="0" distT="0" layoutInCell="true" locked="false" relativeHeight="251658240" simplePos="false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53035" cy="213359"/>
              <wp:wrapSquare distB="0" distL="0" distR="0" distT="0" wrapText="bothSides"/>
              <wp:docPr hidden="false" id="2" name="Picture 2"/>
              <a:graphic>
                <a:graphicData uri="http://schemas.microsoft.com/office/word/2010/wordprocessingShape">
                  <wps:wsp>
                    <wps:cNvSpPr txBox="false"/>
                    <wps:spPr>
                      <a:xfrm flipH="false" flipV="false" rot="0">
                        <a:off x="0" y="0"/>
                        <a:ext cx="153035" cy="213359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txbx>
                      <w:txbxContent>
                        <w:p w14:paraId="04000000">
                          <w:pPr>
                            <w:pStyle w:val="Style_1"/>
                            <w:rPr>
                              <w:rStyle w:val="Style_2_ch"/>
                            </w:rPr>
                          </w:pPr>
                          <w:r>
                            <w:rPr>
                              <w:rStyle w:val="Style_2_ch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Style_2_ch"/>
                              <w:color w:val="000000"/>
                            </w:rPr>
                            <w:instrText xml:space="preserve">PAGE </w:instrText>
                          </w:r>
                          <w:r>
                            <w:rPr>
                              <w:rStyle w:val="Style_2_ch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Style_2_ch"/>
                              <w:color w:val="000000"/>
                            </w:rPr>
                            <w:t xml:space="preserve"> </w:t>
                          </w:r>
                          <w:r>
                            <w:rPr>
                              <w:rStyle w:val="Style_2_ch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bIns="0" lIns="0" rIns="0" tIns="0">
                      <a:sp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ftr>
</file>

<file path=word/footer3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5000000">
    <w:pPr>
      <w:pStyle w:val="Style_1"/>
      <w:ind w:right="360"/>
    </w:pPr>
    <w: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<wp:anchor allowOverlap="true" behindDoc="false" distB="0" distL="0" distR="0" distT="0" layoutInCell="true" locked="false" relativeHeight="251658240" simplePos="false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605"/>
              <wp:wrapSquare distB="0" distL="0" distR="0" distT="0" wrapText="bothSides"/>
              <wp:docPr hidden="false" id="3" name="Picture 3"/>
              <a:graphic>
                <a:graphicData uri="http://schemas.microsoft.com/office/word/2010/wordprocessingShape">
                  <wps:wsp>
                    <wps:cNvSpPr txBox="false"/>
                    <wps:spPr>
                      <a:xfrm flipH="false" flipV="false" rot="0">
                        <a:off x="0" y="0"/>
                        <a:ext cx="14605" cy="1460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txbx>
                      <w:txbxContent>
                        <w:p w14:paraId="06000000">
                          <w:pPr>
                            <w:pStyle w:val="Style_1"/>
                            <w:rPr>
                              <w:rStyle w:val="Style_2_ch"/>
                            </w:rPr>
                          </w:pPr>
                          <w:r>
                            <w:rPr>
                              <w:rStyle w:val="Style_2_ch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Style_2_ch"/>
                              <w:color w:val="000000"/>
                            </w:rPr>
                            <w:instrText xml:space="preserve">PAGE </w:instrText>
                          </w:r>
                          <w:r>
                            <w:rPr>
                              <w:rStyle w:val="Style_2_ch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Style_2_ch"/>
                              <w:color w:val="000000"/>
                            </w:rPr>
                            <w:t xml:space="preserve"> </w:t>
                          </w:r>
                          <w:r>
                            <w:rPr>
                              <w:rStyle w:val="Style_2_ch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bIns="0" lIns="0" rIns="0" tIns="0">
                      <a:sp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ftr>
</file>

<file path=word/footer4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7000000"/>
</w:ftr>
</file>

<file path=word/footer5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8000000">
    <w:pPr>
      <w:pStyle w:val="Style_1"/>
      <w:ind w:right="360"/>
    </w:pPr>
    <w: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<wp:anchor allowOverlap="true" behindDoc="false" distB="0" distL="0" distR="0" distT="0" layoutInCell="true" locked="false" relativeHeight="251658240" simplePos="false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6835" cy="213359"/>
              <wp:wrapSquare distB="0" distL="0" distR="0" distT="0" wrapText="bothSides"/>
              <wp:docPr hidden="false" id="4" name="Picture 4"/>
              <a:graphic>
                <a:graphicData uri="http://schemas.microsoft.com/office/word/2010/wordprocessingShape">
                  <wps:wsp>
                    <wps:cNvSpPr txBox="false"/>
                    <wps:spPr>
                      <a:xfrm flipH="false" flipV="false" rot="0">
                        <a:off x="0" y="0"/>
                        <a:ext cx="76835" cy="213359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txbx>
                      <w:txbxContent>
                        <w:p w14:paraId="09000000">
                          <w:pPr>
                            <w:pStyle w:val="Style_1"/>
                            <w:rPr>
                              <w:rStyle w:val="Style_2_ch"/>
                            </w:rPr>
                          </w:pPr>
                          <w:r>
                            <w:rPr>
                              <w:rStyle w:val="Style_2_ch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Style_2_ch"/>
                              <w:color w:val="000000"/>
                            </w:rPr>
                            <w:instrText xml:space="preserve">PAGE </w:instrText>
                          </w:r>
                          <w:r>
                            <w:rPr>
                              <w:rStyle w:val="Style_2_ch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Style_2_ch"/>
                              <w:color w:val="000000"/>
                            </w:rPr>
                            <w:t xml:space="preserve"> </w:t>
                          </w:r>
                          <w:r>
                            <w:rPr>
                              <w:rStyle w:val="Style_2_ch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bIns="0" lIns="0" rIns="0" tIns="0">
                      <a:sp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ftr>
</file>

<file path=word/footer6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A000000"/>
</w:ftr>
</file>

<file path=word/footer7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B000000"/>
</w:ftr>
</file>

<file path=word/footer8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C000000">
    <w:pPr>
      <w:pStyle w:val="Style_1"/>
      <w:ind w:right="360"/>
    </w:pPr>
    <w: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<wp:anchor allowOverlap="true" behindDoc="false" distB="0" distL="0" distR="0" distT="0" layoutInCell="true" locked="false" relativeHeight="251658240" simplePos="false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605"/>
              <wp:wrapSquare distB="0" distL="0" distR="0" distT="0" wrapText="bothSides"/>
              <wp:docPr hidden="false" id="5" name="Picture 5"/>
              <a:graphic>
                <a:graphicData uri="http://schemas.microsoft.com/office/word/2010/wordprocessingShape">
                  <wps:wsp>
                    <wps:cNvSpPr txBox="false"/>
                    <wps:spPr>
                      <a:xfrm flipH="false" flipV="false" rot="0">
                        <a:off x="0" y="0"/>
                        <a:ext cx="14605" cy="1460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txbx>
                      <w:txbxContent>
                        <w:p w14:paraId="0D000000">
                          <w:pPr>
                            <w:pStyle w:val="Style_1"/>
                            <w:rPr>
                              <w:rStyle w:val="Style_2_ch"/>
                            </w:rPr>
                          </w:pPr>
                          <w:r>
                            <w:rPr>
                              <w:rStyle w:val="Style_2_ch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Style_2_ch"/>
                              <w:color w:val="000000"/>
                            </w:rPr>
                            <w:instrText xml:space="preserve">PAGE </w:instrText>
                          </w:r>
                          <w:r>
                            <w:rPr>
                              <w:rStyle w:val="Style_2_ch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Style_2_ch"/>
                              <w:color w:val="000000"/>
                            </w:rPr>
                            <w:t xml:space="preserve"> </w:t>
                          </w:r>
                          <w:r>
                            <w:rPr>
                              <w:rStyle w:val="Style_2_ch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bIns="0" lIns="0" rIns="0" tIns="0">
                      <a:sp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ft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."/>
      <w:lvlJc w:val="left"/>
      <w:pPr>
        <w:tabs>
          <w:tab w:leader="none" w:pos="0" w:val="left"/>
        </w:tabs>
        <w:ind w:hanging="360" w:left="720"/>
      </w:pPr>
    </w:lvl>
    <w:lvl w:ilvl="1">
      <w:start w:val="1"/>
      <w:numFmt w:val="lowerLetter"/>
      <w:lvlText w:val="%2."/>
      <w:lvlJc w:val="left"/>
      <w:pPr>
        <w:tabs>
          <w:tab w:leader="none" w:pos="0" w:val="left"/>
        </w:tabs>
        <w:ind w:hanging="360" w:left="1440"/>
      </w:pPr>
    </w:lvl>
    <w:lvl w:ilvl="2">
      <w:start w:val="1"/>
      <w:numFmt w:val="lowerRoman"/>
      <w:lvlText w:val="%3."/>
      <w:lvlJc w:val="right"/>
      <w:pPr>
        <w:tabs>
          <w:tab w:leader="none" w:pos="0" w:val="left"/>
        </w:tabs>
        <w:ind w:hanging="180" w:left="2160"/>
      </w:pPr>
    </w:lvl>
    <w:lvl w:ilvl="3">
      <w:start w:val="1"/>
      <w:numFmt w:val="decimal"/>
      <w:lvlText w:val="%4."/>
      <w:lvlJc w:val="left"/>
      <w:pPr>
        <w:tabs>
          <w:tab w:leader="none" w:pos="0" w:val="left"/>
        </w:tabs>
        <w:ind w:hanging="360" w:left="2880"/>
      </w:pPr>
    </w:lvl>
    <w:lvl w:ilvl="4">
      <w:start w:val="1"/>
      <w:numFmt w:val="lowerLetter"/>
      <w:lvlText w:val="%5."/>
      <w:lvlJc w:val="left"/>
      <w:pPr>
        <w:tabs>
          <w:tab w:leader="none" w:pos="0" w:val="left"/>
        </w:tabs>
        <w:ind w:hanging="360" w:left="3600"/>
      </w:pPr>
    </w:lvl>
    <w:lvl w:ilvl="5">
      <w:start w:val="1"/>
      <w:numFmt w:val="lowerRoman"/>
      <w:lvlText w:val="%6."/>
      <w:lvlJc w:val="right"/>
      <w:pPr>
        <w:tabs>
          <w:tab w:leader="none" w:pos="0" w:val="left"/>
        </w:tabs>
        <w:ind w:hanging="180" w:left="4320"/>
      </w:pPr>
    </w:lvl>
    <w:lvl w:ilvl="6">
      <w:start w:val="1"/>
      <w:numFmt w:val="decimal"/>
      <w:lvlText w:val="%7."/>
      <w:lvlJc w:val="left"/>
      <w:pPr>
        <w:tabs>
          <w:tab w:leader="none" w:pos="0" w:val="left"/>
        </w:tabs>
        <w:ind w:hanging="360" w:left="5040"/>
      </w:pPr>
    </w:lvl>
    <w:lvl w:ilvl="7">
      <w:start w:val="1"/>
      <w:numFmt w:val="lowerLetter"/>
      <w:lvlText w:val="%8."/>
      <w:lvlJc w:val="left"/>
      <w:pPr>
        <w:tabs>
          <w:tab w:leader="none" w:pos="0" w:val="left"/>
        </w:tabs>
        <w:ind w:hanging="360" w:left="5760"/>
      </w:pPr>
    </w:lvl>
    <w:lvl w:ilvl="8">
      <w:start w:val="1"/>
      <w:numFmt w:val="lowerRoman"/>
      <w:lvlText w:val="%9."/>
      <w:lvlJc w:val="right"/>
      <w:pPr>
        <w:tabs>
          <w:tab w:leader="none" w:pos="0" w:val="left"/>
        </w:tabs>
        <w:ind w:hanging="180" w:left="6480"/>
      </w:pPr>
    </w:lvl>
  </w:abstractNum>
  <w:abstractNum w:abstractNumId="1">
    <w:lvl w:ilvl="0">
      <w:start w:val="1"/>
      <w:numFmt w:val="decimal"/>
      <w:pStyle w:val="Style_10"/>
      <w:lvlText w:val="%1."/>
      <w:lvlJc w:val="left"/>
      <w:pPr>
        <w:tabs>
          <w:tab w:leader="none" w:pos="432" w:val="left"/>
        </w:tabs>
        <w:ind w:hanging="432" w:left="432"/>
      </w:pPr>
      <w:rPr>
        <w:rFonts w:ascii="Times New Roman" w:hAnsi="Times New Roman"/>
        <w:b w:val="0"/>
        <w:sz w:val="28"/>
      </w:rPr>
    </w:lvl>
    <w:lvl w:ilvl="1">
      <w:start w:val="1"/>
      <w:numFmt w:val="decimal"/>
      <w:pStyle w:val="Style_11"/>
      <w:lvlText w:val="%1.%2."/>
      <w:lvlJc w:val="left"/>
      <w:pPr>
        <w:tabs>
          <w:tab w:leader="none" w:pos="1476" w:val="left"/>
        </w:tabs>
        <w:ind w:hanging="576" w:left="1476"/>
      </w:pPr>
      <w:rPr>
        <w:b w:val="0"/>
      </w:rPr>
    </w:lvl>
    <w:lvl w:ilvl="2">
      <w:start w:val="1"/>
      <w:numFmt w:val="decimal"/>
      <w:pStyle w:val="Style_40"/>
      <w:lvlText w:val="%1.%2.%3."/>
      <w:lvlJc w:val="left"/>
      <w:pPr>
        <w:tabs>
          <w:tab w:leader="none" w:pos="170" w:val="left"/>
        </w:tabs>
        <w:ind w:hanging="720" w:left="720"/>
      </w:pPr>
      <w:rPr>
        <w:rFonts w:ascii="Times New Roman" w:hAnsi="Times New Roman"/>
        <w:b w:val="0"/>
        <w:i w:val="0"/>
        <w:sz w:val="26"/>
      </w:rPr>
    </w:lvl>
    <w:lvl w:ilvl="3">
      <w:start w:val="1"/>
      <w:numFmt w:val="decimal"/>
      <w:pStyle w:val="Style_17"/>
      <w:lvlText w:val="%1.%2.%3.%4."/>
      <w:lvlJc w:val="left"/>
      <w:pPr>
        <w:tabs>
          <w:tab w:leader="none" w:pos="864" w:val="left"/>
        </w:tabs>
        <w:ind w:hanging="864" w:left="864"/>
      </w:pPr>
      <w:rPr>
        <w:rFonts w:ascii="Times New Roman" w:hAnsi="Times New Roman"/>
        <w:sz w:val="26"/>
      </w:rPr>
    </w:lvl>
    <w:lvl w:ilvl="4">
      <w:start w:val="1"/>
      <w:numFmt w:val="russianLower"/>
      <w:lvlText w:val="%5)"/>
      <w:lvlJc w:val="left"/>
      <w:pPr>
        <w:tabs>
          <w:tab w:leader="none" w:pos="1800" w:val="left"/>
        </w:tabs>
        <w:ind w:hanging="360" w:left="1800"/>
      </w:pPr>
      <w:rPr>
        <w:sz w:val="26"/>
      </w:rPr>
    </w:lvl>
    <w:lvl w:ilvl="5">
      <w:start w:val="1"/>
      <w:numFmt w:val="decimal"/>
      <w:lvlText w:val="%5.%6."/>
      <w:lvlJc w:val="left"/>
      <w:pPr>
        <w:tabs>
          <w:tab w:leader="none" w:pos="1152" w:val="left"/>
        </w:tabs>
        <w:ind w:hanging="1152" w:left="1152"/>
      </w:pPr>
    </w:lvl>
    <w:lvl w:ilvl="6">
      <w:start w:val="1"/>
      <w:numFmt w:val="decimal"/>
      <w:lvlText w:val="%1.%2.%3.%4.%5.%6.%7"/>
      <w:lvlJc w:val="left"/>
      <w:pPr>
        <w:tabs>
          <w:tab w:leader="none" w:pos="1296" w:val="left"/>
        </w:tabs>
        <w:ind w:hanging="1296" w:left="1296"/>
      </w:pPr>
    </w:lvl>
    <w:lvl w:ilvl="7">
      <w:start w:val="1"/>
      <w:numFmt w:val="decimal"/>
      <w:lvlText w:val="%1.%2.%3.%4.%5.%6.%7.%8"/>
      <w:lvlJc w:val="left"/>
      <w:pPr>
        <w:tabs>
          <w:tab w:leader="none" w:pos="1440" w:val="left"/>
        </w:tabs>
        <w:ind w:hanging="1440" w:left="1440"/>
      </w:pPr>
    </w:lvl>
    <w:lvl w:ilvl="8">
      <w:start w:val="1"/>
      <w:numFmt w:val="decimal"/>
      <w:lvlText w:val="%1.%2.%3.%4.%5.%6.%7.%8.%9"/>
      <w:lvlJc w:val="left"/>
      <w:pPr>
        <w:tabs>
          <w:tab w:leader="none" w:pos="1584" w:val="left"/>
        </w:tabs>
        <w:ind w:hanging="1584" w:left="1584"/>
      </w:pPr>
    </w:lvl>
  </w:abstractNum>
  <w:abstractNum w:abstractNumId="2">
    <w:lvl w:ilvl="0">
      <w:start w:val="1"/>
      <w:numFmt w:val="decimal"/>
      <w:pStyle w:val="Style_31"/>
      <w:lvlText w:val="%1."/>
      <w:lvlJc w:val="left"/>
      <w:pPr>
        <w:tabs>
          <w:tab w:leader="none" w:pos="432" w:val="left"/>
        </w:tabs>
        <w:ind w:hanging="432" w:left="432"/>
      </w:pPr>
      <w:rPr>
        <w:rFonts w:ascii="Times New Roman" w:hAnsi="Times New Roman"/>
        <w:b w:val="0"/>
        <w:sz w:val="22"/>
      </w:rPr>
    </w:lvl>
    <w:lvl w:ilvl="1">
      <w:start w:val="1"/>
      <w:numFmt w:val="decimal"/>
      <w:pStyle w:val="Style_60"/>
      <w:lvlText w:val="%1.%2."/>
      <w:lvlJc w:val="left"/>
      <w:pPr>
        <w:tabs>
          <w:tab w:leader="none" w:pos="576" w:val="left"/>
        </w:tabs>
        <w:ind w:hanging="576" w:left="576"/>
      </w:pPr>
    </w:lvl>
    <w:lvl w:ilvl="2">
      <w:start w:val="1"/>
      <w:numFmt w:val="decimal"/>
      <w:pStyle w:val="Style_20"/>
      <w:lvlText w:val="%1.%2.%3."/>
      <w:lvlJc w:val="left"/>
      <w:pPr>
        <w:tabs>
          <w:tab w:leader="none" w:pos="170" w:val="left"/>
        </w:tabs>
        <w:ind w:hanging="720" w:left="720"/>
      </w:pPr>
      <w:rPr>
        <w:rFonts w:ascii="Times New Roman" w:hAnsi="Times New Roman"/>
        <w:b w:val="0"/>
        <w:i w:val="0"/>
        <w:sz w:val="26"/>
      </w:rPr>
    </w:lvl>
    <w:lvl w:ilvl="3">
      <w:start w:val="1"/>
      <w:numFmt w:val="decimal"/>
      <w:lvlText w:val="%4)"/>
      <w:lvlJc w:val="left"/>
      <w:pPr>
        <w:tabs>
          <w:tab w:leader="none" w:pos="360" w:val="left"/>
        </w:tabs>
        <w:ind w:hanging="360" w:left="360"/>
      </w:pPr>
      <w:rPr>
        <w:b w:val="0"/>
        <w:sz w:val="28"/>
      </w:rPr>
    </w:lvl>
    <w:lvl w:ilvl="4">
      <w:start w:val="1"/>
      <w:numFmt w:val="russianLower"/>
      <w:lvlText w:val="%5)"/>
      <w:lvlJc w:val="left"/>
      <w:pPr>
        <w:tabs>
          <w:tab w:leader="none" w:pos="1800" w:val="left"/>
        </w:tabs>
        <w:ind w:hanging="360" w:left="1800"/>
      </w:pPr>
      <w:rPr>
        <w:sz w:val="26"/>
      </w:rPr>
    </w:lvl>
    <w:lvl w:ilvl="5">
      <w:start w:val="1"/>
      <w:numFmt w:val="decimal"/>
      <w:lvlText w:val="%5.%6."/>
      <w:lvlJc w:val="left"/>
      <w:pPr>
        <w:tabs>
          <w:tab w:leader="none" w:pos="1152" w:val="left"/>
        </w:tabs>
        <w:ind w:hanging="1152" w:left="1152"/>
      </w:pPr>
    </w:lvl>
    <w:lvl w:ilvl="6">
      <w:start w:val="1"/>
      <w:numFmt w:val="decimal"/>
      <w:lvlText w:val="%1.%2.%3.%4.%5.%6.%7"/>
      <w:lvlJc w:val="left"/>
      <w:pPr>
        <w:tabs>
          <w:tab w:leader="none" w:pos="1296" w:val="left"/>
        </w:tabs>
        <w:ind w:hanging="1296" w:left="1296"/>
      </w:pPr>
    </w:lvl>
    <w:lvl w:ilvl="7">
      <w:start w:val="1"/>
      <w:numFmt w:val="decimal"/>
      <w:lvlText w:val="%1.%2.%3.%4.%5.%6.%7.%8"/>
      <w:lvlJc w:val="left"/>
      <w:pPr>
        <w:tabs>
          <w:tab w:leader="none" w:pos="1440" w:val="left"/>
        </w:tabs>
        <w:ind w:hanging="1440" w:left="1440"/>
      </w:pPr>
    </w:lvl>
    <w:lvl w:ilvl="8">
      <w:start w:val="1"/>
      <w:numFmt w:val="decimal"/>
      <w:lvlText w:val="%1.%2.%3.%4.%5.%6.%7.%8.%9"/>
      <w:lvlJc w:val="left"/>
      <w:pPr>
        <w:tabs>
          <w:tab w:leader="none" w:pos="1584" w:val="left"/>
        </w:tabs>
        <w:ind w:hanging="1584" w:left="1584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Calibri" w:hAnsi="Calibri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8" w:type="paragraph">
    <w:name w:val="Normal"/>
    <w:link w:val="Style_8_ch"/>
    <w:uiPriority w:val="0"/>
    <w:qFormat/>
    <w:pPr>
      <w:spacing w:after="60"/>
      <w:ind/>
      <w:jc w:val="both"/>
    </w:pPr>
    <w:rPr>
      <w:rFonts w:ascii="Times New Roman" w:hAnsi="Times New Roman"/>
      <w:sz w:val="24"/>
    </w:rPr>
  </w:style>
  <w:style w:default="1" w:styleId="Style_8_ch" w:type="character">
    <w:name w:val="Normal"/>
    <w:link w:val="Style_8"/>
    <w:rPr>
      <w:rFonts w:ascii="Times New Roman" w:hAnsi="Times New Roman"/>
      <w:sz w:val="24"/>
    </w:rPr>
  </w:style>
  <w:style w:styleId="Style_9" w:type="paragraph">
    <w:name w:val="toc 2"/>
    <w:next w:val="Style_8"/>
    <w:link w:val="Style_9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9_ch" w:type="character">
    <w:name w:val="toc 2"/>
    <w:link w:val="Style_9"/>
    <w:rPr>
      <w:rFonts w:ascii="XO Thames" w:hAnsi="XO Thames"/>
      <w:sz w:val="28"/>
    </w:rPr>
  </w:style>
  <w:style w:styleId="Style_10" w:type="paragraph">
    <w:name w:val="Контракт-раздел"/>
    <w:basedOn w:val="Style_8"/>
    <w:next w:val="Style_11"/>
    <w:link w:val="Style_10_ch"/>
    <w:pPr>
      <w:keepNext w:val="1"/>
      <w:numPr>
        <w:numId w:val="2"/>
      </w:numPr>
      <w:tabs>
        <w:tab w:leader="none" w:pos="0" w:val="left"/>
        <w:tab w:leader="none" w:pos="360" w:val="left"/>
        <w:tab w:leader="none" w:pos="540" w:val="left"/>
      </w:tabs>
      <w:spacing w:after="120" w:before="360"/>
      <w:ind w:firstLine="0" w:left="0"/>
      <w:jc w:val="center"/>
      <w:outlineLvl w:val="3"/>
    </w:pPr>
    <w:rPr>
      <w:b w:val="1"/>
      <w:smallCaps w:val="1"/>
    </w:rPr>
  </w:style>
  <w:style w:styleId="Style_10_ch" w:type="character">
    <w:name w:val="Контракт-раздел"/>
    <w:basedOn w:val="Style_8_ch"/>
    <w:link w:val="Style_10"/>
    <w:rPr>
      <w:b w:val="1"/>
      <w:smallCaps w:val="1"/>
    </w:rPr>
  </w:style>
  <w:style w:styleId="Style_12" w:type="paragraph">
    <w:name w:val="Default Paragraph Font"/>
    <w:link w:val="Style_12_ch"/>
  </w:style>
  <w:style w:styleId="Style_12_ch" w:type="character">
    <w:name w:val="Default Paragraph Font"/>
    <w:link w:val="Style_12"/>
  </w:style>
  <w:style w:styleId="Style_13" w:type="paragraph">
    <w:name w:val="toc 4"/>
    <w:next w:val="Style_8"/>
    <w:link w:val="Style_13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13_ch" w:type="character">
    <w:name w:val="toc 4"/>
    <w:link w:val="Style_13"/>
    <w:rPr>
      <w:rFonts w:ascii="XO Thames" w:hAnsi="XO Thames"/>
      <w:sz w:val="28"/>
    </w:rPr>
  </w:style>
  <w:style w:styleId="Style_14" w:type="paragraph">
    <w:name w:val="Дата1"/>
    <w:basedOn w:val="Style_8"/>
    <w:next w:val="Style_8"/>
    <w:link w:val="Style_14_ch"/>
  </w:style>
  <w:style w:styleId="Style_14_ch" w:type="character">
    <w:name w:val="Дата1"/>
    <w:basedOn w:val="Style_8_ch"/>
    <w:link w:val="Style_14"/>
  </w:style>
  <w:style w:styleId="Style_15" w:type="paragraph">
    <w:name w:val="toc 6"/>
    <w:next w:val="Style_8"/>
    <w:link w:val="Style_15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15_ch" w:type="character">
    <w:name w:val="toc 6"/>
    <w:link w:val="Style_15"/>
    <w:rPr>
      <w:rFonts w:ascii="XO Thames" w:hAnsi="XO Thames"/>
      <w:sz w:val="28"/>
    </w:rPr>
  </w:style>
  <w:style w:styleId="Style_16" w:type="paragraph">
    <w:name w:val="toc 7"/>
    <w:next w:val="Style_8"/>
    <w:link w:val="Style_16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16_ch" w:type="character">
    <w:name w:val="toc 7"/>
    <w:link w:val="Style_16"/>
    <w:rPr>
      <w:rFonts w:ascii="XO Thames" w:hAnsi="XO Thames"/>
      <w:sz w:val="28"/>
    </w:rPr>
  </w:style>
  <w:style w:styleId="Style_17" w:type="paragraph">
    <w:name w:val="Контракт-подподпункт"/>
    <w:basedOn w:val="Style_8"/>
    <w:link w:val="Style_17_ch"/>
    <w:pPr>
      <w:numPr>
        <w:ilvl w:val="3"/>
        <w:numId w:val="2"/>
      </w:numPr>
      <w:tabs>
        <w:tab w:leader="none" w:pos="1418" w:val="left"/>
      </w:tabs>
      <w:spacing w:after="0"/>
      <w:ind w:hanging="567" w:left="1418"/>
    </w:pPr>
  </w:style>
  <w:style w:styleId="Style_17_ch" w:type="character">
    <w:name w:val="Контракт-подподпункт"/>
    <w:basedOn w:val="Style_8_ch"/>
    <w:link w:val="Style_17"/>
  </w:style>
  <w:style w:styleId="Style_18" w:type="paragraph">
    <w:name w:val="Balloon Text Char1"/>
    <w:link w:val="Style_18_ch"/>
    <w:rPr>
      <w:rFonts w:ascii="Times New Roman" w:hAnsi="Times New Roman"/>
      <w:sz w:val="2"/>
    </w:rPr>
  </w:style>
  <w:style w:styleId="Style_18_ch" w:type="character">
    <w:name w:val="Balloon Text Char1"/>
    <w:link w:val="Style_18"/>
    <w:rPr>
      <w:rFonts w:ascii="Times New Roman" w:hAnsi="Times New Roman"/>
      <w:sz w:val="2"/>
    </w:rPr>
  </w:style>
  <w:style w:styleId="Style_19" w:type="paragraph">
    <w:name w:val="Endnote"/>
    <w:link w:val="Style_19_ch"/>
    <w:pPr>
      <w:ind w:firstLine="851" w:left="0"/>
      <w:jc w:val="both"/>
    </w:pPr>
    <w:rPr>
      <w:rFonts w:ascii="XO Thames" w:hAnsi="XO Thames"/>
      <w:sz w:val="22"/>
    </w:rPr>
  </w:style>
  <w:style w:styleId="Style_19_ch" w:type="character">
    <w:name w:val="Endnote"/>
    <w:link w:val="Style_19"/>
    <w:rPr>
      <w:rFonts w:ascii="XO Thames" w:hAnsi="XO Thames"/>
      <w:sz w:val="22"/>
    </w:rPr>
  </w:style>
  <w:style w:styleId="Style_20" w:type="paragraph">
    <w:name w:val="heading 3"/>
    <w:basedOn w:val="Style_8"/>
    <w:next w:val="Style_8"/>
    <w:link w:val="Style_20_ch"/>
    <w:uiPriority w:val="9"/>
    <w:qFormat/>
    <w:pPr>
      <w:keepNext w:val="1"/>
      <w:numPr>
        <w:ilvl w:val="2"/>
        <w:numId w:val="3"/>
      </w:numPr>
      <w:spacing w:before="240"/>
      <w:ind/>
      <w:outlineLvl w:val="2"/>
    </w:pPr>
    <w:rPr>
      <w:rFonts w:ascii="Arial" w:hAnsi="Arial"/>
      <w:b w:val="1"/>
    </w:rPr>
  </w:style>
  <w:style w:styleId="Style_20_ch" w:type="character">
    <w:name w:val="heading 3"/>
    <w:basedOn w:val="Style_8_ch"/>
    <w:link w:val="Style_20"/>
    <w:rPr>
      <w:rFonts w:ascii="Arial" w:hAnsi="Arial"/>
      <w:b w:val="1"/>
    </w:rPr>
  </w:style>
  <w:style w:styleId="Style_21" w:type="paragraph">
    <w:name w:val="Body Text Char1"/>
    <w:link w:val="Style_21_ch"/>
    <w:rPr>
      <w:rFonts w:ascii="Times New Roman" w:hAnsi="Times New Roman"/>
      <w:sz w:val="24"/>
    </w:rPr>
  </w:style>
  <w:style w:styleId="Style_21_ch" w:type="character">
    <w:name w:val="Body Text Char1"/>
    <w:link w:val="Style_21"/>
    <w:rPr>
      <w:rFonts w:ascii="Times New Roman" w:hAnsi="Times New Roman"/>
      <w:sz w:val="24"/>
    </w:rPr>
  </w:style>
  <w:style w:styleId="Style_22" w:type="paragraph">
    <w:name w:val="List Bullet 3"/>
    <w:basedOn w:val="Style_8"/>
    <w:link w:val="Style_22_ch"/>
    <w:pPr>
      <w:spacing w:after="0"/>
      <w:ind w:hanging="283" w:left="566"/>
      <w:jc w:val="left"/>
    </w:pPr>
  </w:style>
  <w:style w:styleId="Style_22_ch" w:type="character">
    <w:name w:val="List Bullet 3"/>
    <w:basedOn w:val="Style_8_ch"/>
    <w:link w:val="Style_22"/>
  </w:style>
  <w:style w:styleId="Style_23" w:type="paragraph">
    <w:name w:val="Font Style45"/>
    <w:link w:val="Style_23_ch"/>
    <w:rPr>
      <w:rFonts w:ascii="Times New Roman" w:hAnsi="Times New Roman"/>
      <w:sz w:val="22"/>
    </w:rPr>
  </w:style>
  <w:style w:styleId="Style_23_ch" w:type="character">
    <w:name w:val="Font Style45"/>
    <w:link w:val="Style_23"/>
    <w:rPr>
      <w:rFonts w:ascii="Times New Roman" w:hAnsi="Times New Roman"/>
      <w:sz w:val="22"/>
    </w:rPr>
  </w:style>
  <w:style w:styleId="Style_4" w:type="paragraph">
    <w:name w:val="Гипертекстовая ссылка"/>
    <w:link w:val="Style_4_ch"/>
    <w:rPr>
      <w:color w:val="106BBE"/>
    </w:rPr>
  </w:style>
  <w:style w:styleId="Style_4_ch" w:type="character">
    <w:name w:val="Гипертекстовая ссылка"/>
    <w:link w:val="Style_4"/>
    <w:rPr>
      <w:color w:val="106BBE"/>
    </w:rPr>
  </w:style>
  <w:style w:styleId="Style_1" w:type="paragraph">
    <w:name w:val="footer"/>
    <w:basedOn w:val="Style_8"/>
    <w:link w:val="Style_1_ch"/>
    <w:pPr>
      <w:tabs>
        <w:tab w:leader="none" w:pos="4677" w:val="center"/>
        <w:tab w:leader="none" w:pos="9355" w:val="right"/>
      </w:tabs>
      <w:ind/>
    </w:pPr>
  </w:style>
  <w:style w:styleId="Style_1_ch" w:type="character">
    <w:name w:val="footer"/>
    <w:basedOn w:val="Style_8_ch"/>
    <w:link w:val="Style_1"/>
  </w:style>
  <w:style w:styleId="Style_24" w:type="paragraph">
    <w:name w:val="Заголовок1"/>
    <w:basedOn w:val="Style_8"/>
    <w:next w:val="Style_5"/>
    <w:link w:val="Style_24_ch"/>
    <w:pPr>
      <w:keepNext w:val="1"/>
      <w:spacing w:after="120" w:before="240"/>
      <w:ind/>
    </w:pPr>
    <w:rPr>
      <w:rFonts w:ascii="Liberation Sans" w:hAnsi="Liberation Sans"/>
      <w:sz w:val="28"/>
    </w:rPr>
  </w:style>
  <w:style w:styleId="Style_24_ch" w:type="character">
    <w:name w:val="Заголовок1"/>
    <w:basedOn w:val="Style_8_ch"/>
    <w:link w:val="Style_24"/>
    <w:rPr>
      <w:rFonts w:ascii="Liberation Sans" w:hAnsi="Liberation Sans"/>
      <w:sz w:val="28"/>
    </w:rPr>
  </w:style>
  <w:style w:styleId="Style_25" w:type="paragraph">
    <w:name w:val="toc 3"/>
    <w:next w:val="Style_8"/>
    <w:link w:val="Style_25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25_ch" w:type="character">
    <w:name w:val="toc 3"/>
    <w:link w:val="Style_25"/>
    <w:rPr>
      <w:rFonts w:ascii="XO Thames" w:hAnsi="XO Thames"/>
      <w:sz w:val="28"/>
    </w:rPr>
  </w:style>
  <w:style w:styleId="Style_26" w:type="paragraph">
    <w:name w:val="Table Paragraph"/>
    <w:basedOn w:val="Style_8"/>
    <w:link w:val="Style_26_ch"/>
    <w:pPr>
      <w:widowControl w:val="0"/>
      <w:spacing w:after="0"/>
      <w:ind/>
      <w:jc w:val="left"/>
    </w:pPr>
    <w:rPr>
      <w:sz w:val="22"/>
    </w:rPr>
  </w:style>
  <w:style w:styleId="Style_26_ch" w:type="character">
    <w:name w:val="Table Paragraph"/>
    <w:basedOn w:val="Style_8_ch"/>
    <w:link w:val="Style_26"/>
    <w:rPr>
      <w:sz w:val="22"/>
    </w:rPr>
  </w:style>
  <w:style w:styleId="Style_11" w:type="paragraph">
    <w:name w:val="Контракт-пункт"/>
    <w:basedOn w:val="Style_8"/>
    <w:link w:val="Style_11_ch"/>
    <w:pPr>
      <w:numPr>
        <w:ilvl w:val="1"/>
        <w:numId w:val="2"/>
      </w:numPr>
      <w:tabs>
        <w:tab w:leader="none" w:pos="360" w:val="left"/>
        <w:tab w:leader="none" w:pos="851" w:val="left"/>
      </w:tabs>
      <w:spacing w:after="0"/>
      <w:ind w:hanging="851" w:left="851"/>
    </w:pPr>
  </w:style>
  <w:style w:styleId="Style_11_ch" w:type="character">
    <w:name w:val="Контракт-пункт"/>
    <w:basedOn w:val="Style_8_ch"/>
    <w:link w:val="Style_11"/>
  </w:style>
  <w:style w:styleId="Style_27" w:type="paragraph">
    <w:name w:val="Колонтитул"/>
    <w:basedOn w:val="Style_8"/>
    <w:link w:val="Style_27_ch"/>
  </w:style>
  <w:style w:styleId="Style_27_ch" w:type="character">
    <w:name w:val="Колонтитул"/>
    <w:basedOn w:val="Style_8_ch"/>
    <w:link w:val="Style_27"/>
  </w:style>
  <w:style w:styleId="Style_28" w:type="paragraph">
    <w:name w:val="Содержимое врезки"/>
    <w:basedOn w:val="Style_8"/>
    <w:link w:val="Style_28_ch"/>
  </w:style>
  <w:style w:styleId="Style_28_ch" w:type="character">
    <w:name w:val="Содержимое врезки"/>
    <w:basedOn w:val="Style_8_ch"/>
    <w:link w:val="Style_28"/>
  </w:style>
  <w:style w:styleId="Style_5" w:type="paragraph">
    <w:name w:val="Body Text"/>
    <w:basedOn w:val="Style_8"/>
    <w:link w:val="Style_5_ch"/>
    <w:pPr>
      <w:spacing w:after="120"/>
      <w:ind/>
    </w:pPr>
  </w:style>
  <w:style w:styleId="Style_5_ch" w:type="character">
    <w:name w:val="Body Text"/>
    <w:basedOn w:val="Style_8_ch"/>
    <w:link w:val="Style_5"/>
  </w:style>
  <w:style w:styleId="Style_29" w:type="paragraph">
    <w:name w:val="heading 5"/>
    <w:next w:val="Style_8"/>
    <w:link w:val="Style_29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29_ch" w:type="character">
    <w:name w:val="heading 5"/>
    <w:link w:val="Style_29"/>
    <w:rPr>
      <w:rFonts w:ascii="XO Thames" w:hAnsi="XO Thames"/>
      <w:b w:val="1"/>
      <w:sz w:val="22"/>
    </w:rPr>
  </w:style>
  <w:style w:styleId="Style_30" w:type="paragraph">
    <w:name w:val="ConsPlusNonformat"/>
    <w:link w:val="Style_30_ch"/>
    <w:pPr>
      <w:spacing w:line="100" w:lineRule="atLeast"/>
      <w:ind/>
    </w:pPr>
    <w:rPr>
      <w:rFonts w:ascii="Courier New" w:hAnsi="Courier New"/>
    </w:rPr>
  </w:style>
  <w:style w:styleId="Style_30_ch" w:type="character">
    <w:name w:val="ConsPlusNonformat"/>
    <w:link w:val="Style_30"/>
    <w:rPr>
      <w:rFonts w:ascii="Courier New" w:hAnsi="Courier New"/>
    </w:rPr>
  </w:style>
  <w:style w:styleId="Style_31" w:type="paragraph">
    <w:name w:val="heading 1"/>
    <w:basedOn w:val="Style_8"/>
    <w:next w:val="Style_8"/>
    <w:link w:val="Style_31_ch"/>
    <w:uiPriority w:val="9"/>
    <w:qFormat/>
    <w:pPr>
      <w:keepNext w:val="1"/>
      <w:numPr>
        <w:numId w:val="3"/>
      </w:numPr>
      <w:spacing w:before="240"/>
      <w:ind/>
      <w:jc w:val="center"/>
      <w:outlineLvl w:val="0"/>
    </w:pPr>
    <w:rPr>
      <w:b w:val="1"/>
      <w:sz w:val="36"/>
    </w:rPr>
  </w:style>
  <w:style w:styleId="Style_31_ch" w:type="character">
    <w:name w:val="heading 1"/>
    <w:basedOn w:val="Style_8_ch"/>
    <w:link w:val="Style_31"/>
    <w:rPr>
      <w:b w:val="1"/>
      <w:sz w:val="36"/>
    </w:rPr>
  </w:style>
  <w:style w:styleId="Style_2" w:type="paragraph">
    <w:name w:val="page number"/>
    <w:link w:val="Style_2_ch"/>
  </w:style>
  <w:style w:styleId="Style_2_ch" w:type="character">
    <w:name w:val="page number"/>
    <w:link w:val="Style_2"/>
  </w:style>
  <w:style w:styleId="Style_32" w:type="paragraph">
    <w:name w:val="Hyperlink"/>
    <w:link w:val="Style_32_ch"/>
    <w:rPr>
      <w:color w:val="000080"/>
      <w:u w:val="single"/>
    </w:rPr>
  </w:style>
  <w:style w:styleId="Style_32_ch" w:type="character">
    <w:name w:val="Hyperlink"/>
    <w:link w:val="Style_32"/>
    <w:rPr>
      <w:color w:val="000080"/>
      <w:u w:val="single"/>
    </w:rPr>
  </w:style>
  <w:style w:styleId="Style_33" w:type="paragraph">
    <w:name w:val="Footnote"/>
    <w:link w:val="Style_33_ch"/>
    <w:pPr>
      <w:ind w:firstLine="851" w:left="0"/>
      <w:jc w:val="both"/>
    </w:pPr>
    <w:rPr>
      <w:rFonts w:ascii="XO Thames" w:hAnsi="XO Thames"/>
      <w:sz w:val="22"/>
    </w:rPr>
  </w:style>
  <w:style w:styleId="Style_33_ch" w:type="character">
    <w:name w:val="Footnote"/>
    <w:link w:val="Style_33"/>
    <w:rPr>
      <w:rFonts w:ascii="XO Thames" w:hAnsi="XO Thames"/>
      <w:sz w:val="22"/>
    </w:rPr>
  </w:style>
  <w:style w:styleId="Style_34" w:type="paragraph">
    <w:name w:val="toc 1"/>
    <w:next w:val="Style_8"/>
    <w:link w:val="Style_34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34_ch" w:type="character">
    <w:name w:val="toc 1"/>
    <w:link w:val="Style_34"/>
    <w:rPr>
      <w:rFonts w:ascii="XO Thames" w:hAnsi="XO Thames"/>
      <w:b w:val="1"/>
      <w:sz w:val="28"/>
    </w:rPr>
  </w:style>
  <w:style w:styleId="Style_35" w:type="paragraph">
    <w:name w:val="Header and Footer"/>
    <w:link w:val="Style_35_ch"/>
    <w:pPr>
      <w:spacing w:line="240" w:lineRule="auto"/>
      <w:ind/>
      <w:jc w:val="both"/>
    </w:pPr>
    <w:rPr>
      <w:rFonts w:ascii="XO Thames" w:hAnsi="XO Thames"/>
      <w:sz w:val="28"/>
    </w:rPr>
  </w:style>
  <w:style w:styleId="Style_35_ch" w:type="character">
    <w:name w:val="Header and Footer"/>
    <w:link w:val="Style_35"/>
    <w:rPr>
      <w:rFonts w:ascii="XO Thames" w:hAnsi="XO Thames"/>
      <w:sz w:val="28"/>
    </w:rPr>
  </w:style>
  <w:style w:styleId="Style_36" w:type="paragraph">
    <w:name w:val="Balloon Text"/>
    <w:basedOn w:val="Style_8"/>
    <w:link w:val="Style_36_ch"/>
    <w:pPr>
      <w:spacing w:after="0"/>
      <w:ind/>
    </w:pPr>
    <w:rPr>
      <w:rFonts w:ascii="Segoe UI" w:hAnsi="Segoe UI"/>
      <w:sz w:val="18"/>
    </w:rPr>
  </w:style>
  <w:style w:styleId="Style_36_ch" w:type="character">
    <w:name w:val="Balloon Text"/>
    <w:basedOn w:val="Style_8_ch"/>
    <w:link w:val="Style_36"/>
    <w:rPr>
      <w:rFonts w:ascii="Segoe UI" w:hAnsi="Segoe UI"/>
      <w:sz w:val="18"/>
    </w:rPr>
  </w:style>
  <w:style w:styleId="Style_37" w:type="paragraph">
    <w:name w:val="Body Text Indent Char1"/>
    <w:link w:val="Style_37_ch"/>
    <w:rPr>
      <w:rFonts w:ascii="Times New Roman" w:hAnsi="Times New Roman"/>
      <w:sz w:val="24"/>
    </w:rPr>
  </w:style>
  <w:style w:styleId="Style_37_ch" w:type="character">
    <w:name w:val="Body Text Indent Char1"/>
    <w:link w:val="Style_37"/>
    <w:rPr>
      <w:rFonts w:ascii="Times New Roman" w:hAnsi="Times New Roman"/>
      <w:sz w:val="24"/>
    </w:rPr>
  </w:style>
  <w:style w:styleId="Style_38" w:type="paragraph">
    <w:name w:val="Цветовое выделение"/>
    <w:link w:val="Style_38_ch"/>
    <w:rPr>
      <w:b w:val="1"/>
      <w:color w:val="26282F"/>
    </w:rPr>
  </w:style>
  <w:style w:styleId="Style_38_ch" w:type="character">
    <w:name w:val="Цветовое выделение"/>
    <w:link w:val="Style_38"/>
    <w:rPr>
      <w:b w:val="1"/>
      <w:color w:val="26282F"/>
    </w:rPr>
  </w:style>
  <w:style w:styleId="Style_39" w:type="paragraph">
    <w:name w:val="toc 9"/>
    <w:next w:val="Style_8"/>
    <w:link w:val="Style_39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39_ch" w:type="character">
    <w:name w:val="toc 9"/>
    <w:link w:val="Style_39"/>
    <w:rPr>
      <w:rFonts w:ascii="XO Thames" w:hAnsi="XO Thames"/>
      <w:sz w:val="28"/>
    </w:rPr>
  </w:style>
  <w:style w:styleId="Style_40" w:type="paragraph">
    <w:name w:val="Контракт-подпункт"/>
    <w:basedOn w:val="Style_8"/>
    <w:link w:val="Style_40_ch"/>
    <w:pPr>
      <w:numPr>
        <w:ilvl w:val="2"/>
        <w:numId w:val="2"/>
      </w:numPr>
      <w:tabs>
        <w:tab w:leader="none" w:pos="851" w:val="left"/>
      </w:tabs>
      <w:spacing w:after="0"/>
      <w:ind w:hanging="851" w:left="851"/>
    </w:pPr>
  </w:style>
  <w:style w:styleId="Style_40_ch" w:type="character">
    <w:name w:val="Контракт-подпункт"/>
    <w:basedOn w:val="Style_8_ch"/>
    <w:link w:val="Style_40"/>
  </w:style>
  <w:style w:styleId="Style_6" w:type="paragraph">
    <w:name w:val="No Spacing"/>
    <w:link w:val="Style_6_ch"/>
    <w:rPr>
      <w:sz w:val="22"/>
    </w:rPr>
  </w:style>
  <w:style w:styleId="Style_6_ch" w:type="character">
    <w:name w:val="No Spacing"/>
    <w:link w:val="Style_6"/>
    <w:rPr>
      <w:sz w:val="22"/>
    </w:rPr>
  </w:style>
  <w:style w:styleId="Style_41" w:type="paragraph">
    <w:name w:val="Body text (2)"/>
    <w:link w:val="Style_41_ch"/>
    <w:rPr>
      <w:rFonts w:ascii="Times New Roman" w:hAnsi="Times New Roman"/>
      <w:b w:val="1"/>
      <w:color w:val="000000"/>
      <w:spacing w:val="0"/>
      <w:sz w:val="19"/>
      <w:u w:val="none"/>
    </w:rPr>
  </w:style>
  <w:style w:styleId="Style_41_ch" w:type="character">
    <w:name w:val="Body text (2)"/>
    <w:link w:val="Style_41"/>
    <w:rPr>
      <w:rFonts w:ascii="Times New Roman" w:hAnsi="Times New Roman"/>
      <w:b w:val="1"/>
      <w:color w:val="000000"/>
      <w:spacing w:val="0"/>
      <w:sz w:val="19"/>
      <w:u w:val="none"/>
    </w:rPr>
  </w:style>
  <w:style w:styleId="Style_3" w:type="paragraph">
    <w:name w:val="Body Text Indent"/>
    <w:basedOn w:val="Style_8"/>
    <w:link w:val="Style_3_ch"/>
    <w:pPr>
      <w:spacing w:after="120"/>
      <w:ind w:firstLine="0" w:left="283"/>
      <w:jc w:val="left"/>
    </w:pPr>
  </w:style>
  <w:style w:styleId="Style_3_ch" w:type="character">
    <w:name w:val="Body Text Indent"/>
    <w:basedOn w:val="Style_8_ch"/>
    <w:link w:val="Style_3"/>
  </w:style>
  <w:style w:styleId="Style_42" w:type="paragraph">
    <w:name w:val="toc 8"/>
    <w:next w:val="Style_8"/>
    <w:link w:val="Style_42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42_ch" w:type="character">
    <w:name w:val="toc 8"/>
    <w:link w:val="Style_42"/>
    <w:rPr>
      <w:rFonts w:ascii="XO Thames" w:hAnsi="XO Thames"/>
      <w:sz w:val="28"/>
    </w:rPr>
  </w:style>
  <w:style w:styleId="Style_43" w:type="paragraph">
    <w:name w:val="index 1"/>
    <w:basedOn w:val="Style_8"/>
    <w:next w:val="Style_8"/>
    <w:link w:val="Style_43_ch"/>
    <w:pPr>
      <w:ind w:hanging="240" w:left="240"/>
    </w:pPr>
  </w:style>
  <w:style w:styleId="Style_43_ch" w:type="character">
    <w:name w:val="index 1"/>
    <w:basedOn w:val="Style_8_ch"/>
    <w:link w:val="Style_43"/>
  </w:style>
  <w:style w:styleId="Style_44" w:type="paragraph">
    <w:name w:val="ConsPlusNormal"/>
    <w:link w:val="Style_44_ch"/>
    <w:pPr>
      <w:widowControl w:val="0"/>
      <w:ind w:firstLine="720" w:left="0"/>
    </w:pPr>
    <w:rPr>
      <w:rFonts w:ascii="Arial" w:hAnsi="Arial"/>
    </w:rPr>
  </w:style>
  <w:style w:styleId="Style_44_ch" w:type="character">
    <w:name w:val="ConsPlusNormal"/>
    <w:link w:val="Style_44"/>
    <w:rPr>
      <w:rFonts w:ascii="Arial" w:hAnsi="Arial"/>
    </w:rPr>
  </w:style>
  <w:style w:styleId="Style_45" w:type="paragraph">
    <w:name w:val="List Paragraph"/>
    <w:basedOn w:val="Style_8"/>
    <w:link w:val="Style_45_ch"/>
    <w:pPr>
      <w:spacing w:after="200" w:line="276" w:lineRule="auto"/>
      <w:ind w:firstLine="0" w:left="720"/>
      <w:contextualSpacing w:val="1"/>
      <w:jc w:val="left"/>
    </w:pPr>
    <w:rPr>
      <w:rFonts w:ascii="Calibri" w:hAnsi="Calibri"/>
      <w:sz w:val="22"/>
    </w:rPr>
  </w:style>
  <w:style w:styleId="Style_45_ch" w:type="character">
    <w:name w:val="List Paragraph"/>
    <w:basedOn w:val="Style_8_ch"/>
    <w:link w:val="Style_45"/>
    <w:rPr>
      <w:rFonts w:ascii="Calibri" w:hAnsi="Calibri"/>
      <w:sz w:val="22"/>
    </w:rPr>
  </w:style>
  <w:style w:styleId="Style_46" w:type="paragraph">
    <w:name w:val="FollowedHyperlink"/>
    <w:link w:val="Style_46_ch"/>
    <w:rPr>
      <w:color w:val="800080"/>
      <w:u w:val="single"/>
    </w:rPr>
  </w:style>
  <w:style w:styleId="Style_46_ch" w:type="character">
    <w:name w:val="FollowedHyperlink"/>
    <w:link w:val="Style_46"/>
    <w:rPr>
      <w:color w:val="800080"/>
      <w:u w:val="single"/>
    </w:rPr>
  </w:style>
  <w:style w:styleId="Style_47" w:type="paragraph">
    <w:name w:val="List"/>
    <w:basedOn w:val="Style_5"/>
    <w:link w:val="Style_47_ch"/>
  </w:style>
  <w:style w:styleId="Style_47_ch" w:type="character">
    <w:name w:val="List"/>
    <w:basedOn w:val="Style_5_ch"/>
    <w:link w:val="Style_47"/>
  </w:style>
  <w:style w:styleId="Style_48" w:type="paragraph">
    <w:name w:val="toc 5"/>
    <w:next w:val="Style_8"/>
    <w:link w:val="Style_48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48_ch" w:type="character">
    <w:name w:val="toc 5"/>
    <w:link w:val="Style_48"/>
    <w:rPr>
      <w:rFonts w:ascii="XO Thames" w:hAnsi="XO Thames"/>
      <w:sz w:val="28"/>
    </w:rPr>
  </w:style>
  <w:style w:styleId="Style_49" w:type="paragraph">
    <w:name w:val="Заголовок 1 Знак"/>
    <w:link w:val="Style_49_ch"/>
    <w:rPr>
      <w:rFonts w:ascii="Cambria" w:hAnsi="Cambria"/>
      <w:b w:val="1"/>
      <w:color w:val="365F91"/>
      <w:sz w:val="28"/>
    </w:rPr>
  </w:style>
  <w:style w:styleId="Style_49_ch" w:type="character">
    <w:name w:val="Заголовок 1 Знак"/>
    <w:link w:val="Style_49"/>
    <w:rPr>
      <w:rFonts w:ascii="Cambria" w:hAnsi="Cambria"/>
      <w:b w:val="1"/>
      <w:color w:val="365F91"/>
      <w:sz w:val="28"/>
    </w:rPr>
  </w:style>
  <w:style w:styleId="Style_50" w:type="paragraph">
    <w:name w:val="caption"/>
    <w:basedOn w:val="Style_8"/>
    <w:link w:val="Style_50_ch"/>
    <w:pPr>
      <w:spacing w:after="120" w:before="120"/>
      <w:ind/>
    </w:pPr>
    <w:rPr>
      <w:i w:val="1"/>
    </w:rPr>
  </w:style>
  <w:style w:styleId="Style_50_ch" w:type="character">
    <w:name w:val="caption"/>
    <w:basedOn w:val="Style_8_ch"/>
    <w:link w:val="Style_50"/>
    <w:rPr>
      <w:i w:val="1"/>
    </w:rPr>
  </w:style>
  <w:style w:styleId="Style_51" w:type="paragraph">
    <w:name w:val="Footer Char1"/>
    <w:link w:val="Style_51_ch"/>
    <w:rPr>
      <w:rFonts w:ascii="Times New Roman" w:hAnsi="Times New Roman"/>
      <w:sz w:val="24"/>
    </w:rPr>
  </w:style>
  <w:style w:styleId="Style_51_ch" w:type="character">
    <w:name w:val="Footer Char1"/>
    <w:link w:val="Style_51"/>
    <w:rPr>
      <w:rFonts w:ascii="Times New Roman" w:hAnsi="Times New Roman"/>
      <w:sz w:val="24"/>
    </w:rPr>
  </w:style>
  <w:style w:styleId="Style_52" w:type="paragraph">
    <w:name w:val="Содержимое таблицы"/>
    <w:basedOn w:val="Style_8"/>
    <w:link w:val="Style_52_ch"/>
    <w:pPr>
      <w:widowControl w:val="0"/>
      <w:spacing w:after="0" w:line="100" w:lineRule="atLeast"/>
      <w:ind/>
      <w:jc w:val="left"/>
    </w:pPr>
    <w:rPr>
      <w:rFonts w:ascii="Arial" w:hAnsi="Arial"/>
      <w:sz w:val="20"/>
    </w:rPr>
  </w:style>
  <w:style w:styleId="Style_52_ch" w:type="character">
    <w:name w:val="Содержимое таблицы"/>
    <w:basedOn w:val="Style_8_ch"/>
    <w:link w:val="Style_52"/>
    <w:rPr>
      <w:rFonts w:ascii="Arial" w:hAnsi="Arial"/>
      <w:sz w:val="20"/>
    </w:rPr>
  </w:style>
  <w:style w:styleId="Style_53" w:type="paragraph">
    <w:name w:val="msonormal_mr_css_attr_mr_css_attr"/>
    <w:basedOn w:val="Style_8"/>
    <w:link w:val="Style_53_ch"/>
    <w:pPr>
      <w:spacing w:afterAutospacing="on" w:beforeAutospacing="on"/>
      <w:ind/>
      <w:jc w:val="left"/>
    </w:pPr>
  </w:style>
  <w:style w:styleId="Style_53_ch" w:type="character">
    <w:name w:val="msonormal_mr_css_attr_mr_css_attr"/>
    <w:basedOn w:val="Style_8_ch"/>
    <w:link w:val="Style_53"/>
  </w:style>
  <w:style w:styleId="Style_54" w:type="paragraph">
    <w:name w:val="Body text (2)_"/>
    <w:link w:val="Style_54_ch"/>
    <w:rPr>
      <w:rFonts w:ascii="Times New Roman" w:hAnsi="Times New Roman"/>
      <w:b w:val="1"/>
      <w:sz w:val="19"/>
      <w:u w:val="none"/>
    </w:rPr>
  </w:style>
  <w:style w:styleId="Style_54_ch" w:type="character">
    <w:name w:val="Body text (2)_"/>
    <w:link w:val="Style_54"/>
    <w:rPr>
      <w:rFonts w:ascii="Times New Roman" w:hAnsi="Times New Roman"/>
      <w:b w:val="1"/>
      <w:sz w:val="19"/>
      <w:u w:val="none"/>
    </w:rPr>
  </w:style>
  <w:style w:styleId="Style_55" w:type="paragraph">
    <w:name w:val="Subtitle"/>
    <w:next w:val="Style_8"/>
    <w:link w:val="Style_55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55_ch" w:type="character">
    <w:name w:val="Subtitle"/>
    <w:link w:val="Style_55"/>
    <w:rPr>
      <w:rFonts w:ascii="XO Thames" w:hAnsi="XO Thames"/>
      <w:i w:val="1"/>
      <w:sz w:val="24"/>
    </w:rPr>
  </w:style>
  <w:style w:styleId="Style_56" w:type="paragraph">
    <w:name w:val="Нормальный (таблица)"/>
    <w:basedOn w:val="Style_8"/>
    <w:next w:val="Style_8"/>
    <w:link w:val="Style_56_ch"/>
    <w:pPr>
      <w:widowControl w:val="0"/>
      <w:spacing w:after="0"/>
      <w:ind/>
    </w:pPr>
    <w:rPr>
      <w:rFonts w:ascii="Arial" w:hAnsi="Arial"/>
    </w:rPr>
  </w:style>
  <w:style w:styleId="Style_56_ch" w:type="character">
    <w:name w:val="Нормальный (таблица)"/>
    <w:basedOn w:val="Style_8_ch"/>
    <w:link w:val="Style_56"/>
    <w:rPr>
      <w:rFonts w:ascii="Arial" w:hAnsi="Arial"/>
    </w:rPr>
  </w:style>
  <w:style w:styleId="Style_57" w:type="paragraph">
    <w:name w:val="Title"/>
    <w:basedOn w:val="Style_8"/>
    <w:next w:val="Style_5"/>
    <w:link w:val="Style_57_ch"/>
    <w:uiPriority w:val="10"/>
    <w:qFormat/>
    <w:pPr>
      <w:keepNext w:val="1"/>
      <w:spacing w:after="120" w:before="240"/>
      <w:ind/>
    </w:pPr>
    <w:rPr>
      <w:rFonts w:ascii="Liberation Sans" w:hAnsi="Liberation Sans"/>
      <w:sz w:val="28"/>
    </w:rPr>
  </w:style>
  <w:style w:styleId="Style_57_ch" w:type="character">
    <w:name w:val="Title"/>
    <w:basedOn w:val="Style_8_ch"/>
    <w:link w:val="Style_57"/>
    <w:rPr>
      <w:rFonts w:ascii="Liberation Sans" w:hAnsi="Liberation Sans"/>
      <w:sz w:val="28"/>
    </w:rPr>
  </w:style>
  <w:style w:styleId="Style_58" w:type="paragraph">
    <w:name w:val="heading 4"/>
    <w:next w:val="Style_8"/>
    <w:link w:val="Style_58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58_ch" w:type="character">
    <w:name w:val="heading 4"/>
    <w:link w:val="Style_58"/>
    <w:rPr>
      <w:rFonts w:ascii="XO Thames" w:hAnsi="XO Thames"/>
      <w:b w:val="1"/>
      <w:sz w:val="24"/>
    </w:rPr>
  </w:style>
  <w:style w:styleId="Style_59" w:type="paragraph">
    <w:name w:val="Standard"/>
    <w:link w:val="Style_59_ch"/>
    <w:pPr>
      <w:spacing w:after="200" w:line="276" w:lineRule="auto"/>
      <w:ind/>
    </w:pPr>
    <w:rPr>
      <w:sz w:val="22"/>
    </w:rPr>
  </w:style>
  <w:style w:styleId="Style_59_ch" w:type="character">
    <w:name w:val="Standard"/>
    <w:link w:val="Style_59"/>
    <w:rPr>
      <w:sz w:val="22"/>
    </w:rPr>
  </w:style>
  <w:style w:styleId="Style_60" w:type="paragraph">
    <w:name w:val="heading 2"/>
    <w:basedOn w:val="Style_8"/>
    <w:next w:val="Style_8"/>
    <w:link w:val="Style_60_ch"/>
    <w:uiPriority w:val="9"/>
    <w:qFormat/>
    <w:pPr>
      <w:keepNext w:val="1"/>
      <w:numPr>
        <w:ilvl w:val="1"/>
        <w:numId w:val="3"/>
      </w:numPr>
      <w:ind/>
      <w:jc w:val="center"/>
      <w:outlineLvl w:val="1"/>
    </w:pPr>
    <w:rPr>
      <w:b w:val="1"/>
      <w:sz w:val="30"/>
    </w:rPr>
  </w:style>
  <w:style w:styleId="Style_60_ch" w:type="character">
    <w:name w:val="heading 2"/>
    <w:basedOn w:val="Style_8_ch"/>
    <w:link w:val="Style_60"/>
    <w:rPr>
      <w:b w:val="1"/>
      <w:sz w:val="30"/>
    </w:rPr>
  </w:style>
  <w:style w:styleId="Style_61" w:type="paragraph">
    <w:name w:val="Body text (2) + Not Bold"/>
    <w:link w:val="Style_61_ch"/>
    <w:rPr>
      <w:rFonts w:ascii="Times New Roman" w:hAnsi="Times New Roman"/>
      <w:b w:val="1"/>
      <w:color w:val="000000"/>
      <w:spacing w:val="0"/>
      <w:sz w:val="19"/>
      <w:u w:val="none"/>
    </w:rPr>
  </w:style>
  <w:style w:styleId="Style_61_ch" w:type="character">
    <w:name w:val="Body text (2) + Not Bold"/>
    <w:link w:val="Style_61"/>
    <w:rPr>
      <w:rFonts w:ascii="Times New Roman" w:hAnsi="Times New Roman"/>
      <w:b w:val="1"/>
      <w:color w:val="000000"/>
      <w:spacing w:val="0"/>
      <w:sz w:val="19"/>
      <w:u w:val="none"/>
    </w:rPr>
  </w:style>
  <w:style w:styleId="Style_62" w:type="paragraph">
    <w:name w:val="Font Style27"/>
    <w:link w:val="Style_62_ch"/>
    <w:rPr>
      <w:rFonts w:ascii="Times New Roman" w:hAnsi="Times New Roman"/>
      <w:b w:val="1"/>
      <w:sz w:val="22"/>
    </w:rPr>
  </w:style>
  <w:style w:styleId="Style_62_ch" w:type="character">
    <w:name w:val="Font Style27"/>
    <w:link w:val="Style_62"/>
    <w:rPr>
      <w:rFonts w:ascii="Times New Roman" w:hAnsi="Times New Roman"/>
      <w:b w:val="1"/>
      <w:sz w:val="22"/>
    </w:rPr>
  </w:style>
  <w:style w:styleId="Style_63" w:type="paragraph">
    <w:name w:val="Body text (2) + 7 pt"/>
    <w:link w:val="Style_63_ch"/>
    <w:rPr>
      <w:rFonts w:ascii="Times New Roman" w:hAnsi="Times New Roman"/>
      <w:b w:val="1"/>
      <w:color w:val="000000"/>
      <w:spacing w:val="0"/>
      <w:sz w:val="14"/>
      <w:u w:val="none"/>
    </w:rPr>
  </w:style>
  <w:style w:styleId="Style_63_ch" w:type="character">
    <w:name w:val="Body text (2) + 7 pt"/>
    <w:link w:val="Style_63"/>
    <w:rPr>
      <w:rFonts w:ascii="Times New Roman" w:hAnsi="Times New Roman"/>
      <w:b w:val="1"/>
      <w:color w:val="000000"/>
      <w:spacing w:val="0"/>
      <w:sz w:val="14"/>
      <w:u w:val="none"/>
    </w:rPr>
  </w:style>
  <w:style w:styleId="Style_64" w:type="paragraph">
    <w:name w:val="index heading"/>
    <w:basedOn w:val="Style_8"/>
    <w:link w:val="Style_64_ch"/>
  </w:style>
  <w:style w:styleId="Style_64_ch" w:type="character">
    <w:name w:val="index heading"/>
    <w:basedOn w:val="Style_8_ch"/>
    <w:link w:val="Style_64"/>
  </w:style>
  <w:style w:styleId="Style_65" w:type="table">
    <w:name w:val="Table Normal1"/>
    <w:rPr>
      <w:sz w:val="22"/>
    </w:rPr>
    <w:tblPr>
      <w:tblCellMar>
        <w:top w:type="dxa" w:w="0"/>
        <w:left w:type="dxa" w:w="0"/>
        <w:bottom w:type="dxa" w:w="0"/>
        <w:right w:type="dxa" w:w="0"/>
      </w:tblCellMar>
    </w:tblPr>
  </w:style>
  <w:style w:styleId="Style_66" w:type="table">
    <w:name w:val="Table Grid"/>
    <w:basedOn w:val="Style_7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7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7" Target="footer7.xml" Type="http://schemas.openxmlformats.org/officeDocument/2006/relationships/footer"/>
  <Relationship Id="rId6" Target="footer6.xml" Type="http://schemas.openxmlformats.org/officeDocument/2006/relationships/footer"/>
  <Relationship Id="rId14" Target="theme/theme1.xml" Type="http://schemas.openxmlformats.org/officeDocument/2006/relationships/theme"/>
  <Relationship Id="rId13" Target="webSettings.xml" Type="http://schemas.openxmlformats.org/officeDocument/2006/relationships/webSettings"/>
  <Relationship Id="rId4" Target="footer4.xml" Type="http://schemas.openxmlformats.org/officeDocument/2006/relationships/footer"/>
  <Relationship Id="rId3" Target="footer3.xml" Type="http://schemas.openxmlformats.org/officeDocument/2006/relationships/footer"/>
  <Relationship Id="rId12" Target="stylesWithEffects.xml" Type="http://schemas.microsoft.com/office/2007/relationships/stylesWithEffects"/>
  <Relationship Id="rId10" Target="settings.xml" Type="http://schemas.openxmlformats.org/officeDocument/2006/relationships/settings"/>
  <Relationship Id="rId5" Target="footer5.xml" Type="http://schemas.openxmlformats.org/officeDocument/2006/relationships/footer"/>
  <Relationship Id="rId11" Target="styles.xml" Type="http://schemas.openxmlformats.org/officeDocument/2006/relationships/styles"/>
  <Relationship Id="rId8" Target="footer8.xml" Type="http://schemas.openxmlformats.org/officeDocument/2006/relationships/footer"/>
  <Relationship Id="rId2" Target="footer2.xml" Type="http://schemas.openxmlformats.org/officeDocument/2006/relationships/footer"/>
  <Relationship Id="rId9" Target="fontTable.xml" Type="http://schemas.openxmlformats.org/officeDocument/2006/relationships/fontTable"/>
  <Relationship Id="rId15" Target="numbering.xml" Type="http://schemas.openxmlformats.org/officeDocument/2006/relationships/numbering"/>
  <Relationship Id="rId1" Target="footer1.xml" Type="http://schemas.openxmlformats.org/officeDocument/2006/relationships/foot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MyOffice-CoreFramework-Windows/31-1191.804.9045.819.1@01270b6a23d25f32067dc36f8846da406ea65219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2026-10-26T12:21:46Z</dcterms:modified>
</cp:coreProperties>
</file>