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</w:rPr>
      </w:pPr>
      <w:r>
        <w:rPr>
          <w:b/>
        </w:rPr>
        <w:t xml:space="preserve">Обоснование начальной (максимальной) цены контракта</w:t>
      </w:r>
      <w:r>
        <w:rPr>
          <w:b/>
        </w:rPr>
      </w:r>
      <w:r>
        <w:rPr>
          <w:b/>
        </w:rPr>
      </w:r>
    </w:p>
    <w:p>
      <w:pPr>
        <w:ind w:firstLine="567"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29"/>
        <w:ind w:left="0" w:right="0" w:firstLine="567"/>
        <w:jc w:val="both"/>
        <w:rPr>
          <w:rFonts w:eastAsia="MS Mincho"/>
          <w:b w:val="0"/>
          <w:bCs w:val="0"/>
        </w:rPr>
      </w:pPr>
      <w:r>
        <w:rPr>
          <w:b/>
          <w:bCs/>
        </w:rPr>
        <w:t xml:space="preserve">Объект закупки: </w:t>
      </w:r>
      <w:r>
        <w:rPr>
          <w:rFonts w:eastAsia="MS Mincho"/>
          <w:b w:val="0"/>
          <w:bCs w:val="0"/>
        </w:rPr>
        <w:t xml:space="preserve">оказание услуг по коллективному страхованию от несчастных случаев и болезней</w:t>
      </w:r>
      <w:r>
        <w:rPr>
          <w:rFonts w:eastAsia="MS Mincho"/>
          <w:b w:val="0"/>
          <w:bCs w:val="0"/>
        </w:rPr>
        <w:t xml:space="preserve"> </w:t>
      </w:r>
      <w:r>
        <w:rPr>
          <w:rFonts w:eastAsia="MS Mincho"/>
          <w:b w:val="0"/>
          <w:bCs w:val="0"/>
        </w:rPr>
        <w:t xml:space="preserve">членов экипажа научно-экспедиционного судна «Академик </w:t>
      </w:r>
      <w:r>
        <w:rPr>
          <w:rFonts w:eastAsia="MS Mincho"/>
          <w:b w:val="0"/>
          <w:bCs w:val="0"/>
        </w:rPr>
        <w:t xml:space="preserve">Федоров</w:t>
      </w:r>
      <w:r>
        <w:rPr>
          <w:rFonts w:eastAsia="MS Mincho"/>
          <w:b w:val="0"/>
          <w:bCs w:val="0"/>
        </w:rPr>
        <w:t xml:space="preserve">»</w:t>
      </w:r>
      <w:r>
        <w:rPr>
          <w:rFonts w:eastAsia="Calibri"/>
          <w:b w:val="0"/>
          <w:bCs w:val="0"/>
        </w:rPr>
        <w:t xml:space="preserve">.</w:t>
      </w:r>
      <w:r>
        <w:rPr>
          <w:b w:val="0"/>
          <w:bCs w:val="0"/>
        </w:rPr>
      </w:r>
      <w:r>
        <w:rPr>
          <w:rFonts w:eastAsia="MS Mincho"/>
          <w:b w:val="0"/>
          <w:bCs w:val="0"/>
        </w:rPr>
      </w:r>
    </w:p>
    <w:p>
      <w:pPr>
        <w:ind w:firstLine="567"/>
        <w:jc w:val="both"/>
      </w:pPr>
      <w:r>
        <w:rPr>
          <w:b/>
        </w:rPr>
        <w:t xml:space="preserve">Основные характеристики объекта закупки: </w:t>
      </w:r>
      <w:r>
        <w:t xml:space="preserve">в соответствии со сведениями об объекте закупки, указанными в объявлении о закупке.</w:t>
      </w:r>
      <w:r/>
    </w:p>
    <w:p>
      <w:pPr>
        <w:ind w:firstLine="567"/>
        <w:jc w:val="both"/>
      </w:pPr>
      <w:r>
        <w:rPr>
          <w:b/>
          <w:bCs/>
        </w:rPr>
        <w:t xml:space="preserve">Используемый метод определения начальной (максимальной) цены контракта </w:t>
      </w:r>
      <w:r>
        <w:t xml:space="preserve">(далее – НМЦК): метод сопоставимых рыночных цен (анализ рынка). </w:t>
      </w:r>
      <w:r/>
    </w:p>
    <w:p>
      <w:pPr>
        <w:ind w:firstLine="567"/>
        <w:jc w:val="both"/>
      </w:pPr>
      <w:r>
        <w:t xml:space="preserve">Предложения по цене единицы планируемых к закупке </w:t>
      </w:r>
      <w:r>
        <w:rPr>
          <w:rFonts w:eastAsia="MS Mincho"/>
          <w:b w:val="0"/>
          <w:bCs w:val="0"/>
        </w:rPr>
        <w:t xml:space="preserve">услуг по коллективному страхованию от несчастных случаев и болезней</w:t>
      </w:r>
      <w:r>
        <w:rPr>
          <w:rFonts w:eastAsia="MS Mincho"/>
          <w:b w:val="0"/>
          <w:bCs w:val="0"/>
        </w:rPr>
        <w:t xml:space="preserve"> </w:t>
      </w:r>
      <w:r>
        <w:rPr>
          <w:rFonts w:eastAsia="MS Mincho"/>
          <w:b w:val="0"/>
          <w:bCs w:val="0"/>
        </w:rPr>
        <w:t xml:space="preserve">членов</w:t>
      </w:r>
      <w:r/>
      <w:r>
        <w:rPr>
          <w:rFonts w:eastAsia="Calibri"/>
        </w:rPr>
      </w:r>
      <w:r>
        <w:t xml:space="preserve"> получены из ответ</w:t>
      </w:r>
      <w:r>
        <w:t xml:space="preserve">ов</w:t>
      </w:r>
      <w:r>
        <w:t xml:space="preserve"> на запрос</w:t>
      </w:r>
      <w:r>
        <w:t xml:space="preserve">ы</w:t>
      </w:r>
      <w:r>
        <w:t xml:space="preserve"> цен</w:t>
      </w:r>
      <w:r>
        <w:t xml:space="preserve">, направленные Заказчиком потенциальным поставщикам (исполнителям, подрядчикам)</w:t>
      </w:r>
      <w:r>
        <w:t xml:space="preserve">. </w:t>
      </w:r>
      <w:r/>
    </w:p>
    <w:p>
      <w:pPr>
        <w:ind w:firstLine="567"/>
        <w:jc w:val="both"/>
        <w:rPr>
          <w:b/>
          <w:bCs/>
        </w:rPr>
      </w:pPr>
      <w:r>
        <w:rPr>
          <w:b/>
          <w:bCs/>
        </w:rPr>
        <w:t xml:space="preserve">Расчет начальной (максимальной) цены контракта:</w:t>
      </w:r>
      <w:r>
        <w:rPr>
          <w:b/>
          <w:bCs/>
        </w:rPr>
      </w:r>
      <w:r>
        <w:rPr>
          <w:b/>
          <w:bCs/>
        </w:rPr>
      </w:r>
    </w:p>
    <w:tbl>
      <w:tblPr>
        <w:tblStyle w:val="944"/>
        <w:tblW w:w="14738" w:type="dxa"/>
        <w:jc w:val="center"/>
        <w:tblLayout w:type="fixed"/>
        <w:tblLook w:val="04A0" w:firstRow="1" w:lastRow="0" w:firstColumn="1" w:lastColumn="0" w:noHBand="0" w:noVBand="1"/>
      </w:tblPr>
      <w:tblGrid>
        <w:gridCol w:w="403"/>
        <w:gridCol w:w="1984"/>
        <w:gridCol w:w="1154"/>
        <w:gridCol w:w="1417"/>
        <w:gridCol w:w="1417"/>
        <w:gridCol w:w="1417"/>
        <w:gridCol w:w="851"/>
        <w:gridCol w:w="1275"/>
        <w:gridCol w:w="1417"/>
        <w:gridCol w:w="1277"/>
        <w:gridCol w:w="2126"/>
      </w:tblGrid>
      <w:tr>
        <w:tblPrEx/>
        <w:trPr>
          <w:jc w:val="center"/>
        </w:trPr>
        <w:tc>
          <w:tcPr>
            <w:tcBorders>
              <w:bottom w:val="single" w:color="auto" w:sz="4" w:space="0"/>
            </w:tcBorders>
            <w:tcW w:w="403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lang w:eastAsia="en-US"/>
              </w:rPr>
              <w:t xml:space="preserve">№ п/п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>
              <w:bottom w:val="single" w:color="auto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 xml:space="preserve">Наименование</w:t>
            </w: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</w:p>
          <w:p>
            <w:pPr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 xml:space="preserve">товара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>
              <w:bottom w:val="single" w:color="auto" w:sz="4" w:space="0"/>
            </w:tcBorders>
            <w:tcW w:w="1154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lang w:eastAsia="en-US"/>
              </w:rPr>
              <w:t xml:space="preserve">Кол-во, ед. изм.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>
              <w:bottom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Предложение № 1 за единицу измерения, руб.</w:t>
            </w: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  <w:r>
              <w:rPr>
                <w:b/>
                <w:lang w:eastAsia="en-US"/>
              </w:rPr>
            </w:r>
          </w:p>
        </w:tc>
        <w:tc>
          <w:tcPr>
            <w:tcBorders>
              <w:bottom w:val="single" w:color="000000" w:sz="6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Предложение № 2 за единицу измерения, руб.</w:t>
            </w: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  <w:r>
              <w:rPr>
                <w:bCs/>
              </w:rPr>
            </w:r>
            <w:r>
              <w:rPr>
                <w:bCs/>
              </w:rPr>
            </w:r>
            <w:r>
              <w:rPr>
                <w:b/>
                <w:lang w:eastAsia="en-US"/>
              </w:rPr>
            </w:r>
          </w:p>
        </w:tc>
        <w:tc>
          <w:tcPr>
            <w:tcBorders>
              <w:bottom w:val="single" w:color="000000" w:sz="6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Предложение № 3 за единицу измерения, руб.</w:t>
            </w: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  <w:r>
              <w:rPr>
                <w:bCs/>
              </w:rPr>
            </w:r>
            <w:r>
              <w:rPr>
                <w:bCs/>
              </w:rPr>
            </w:r>
            <w:r>
              <w:rPr>
                <w:b/>
                <w:lang w:eastAsia="en-US"/>
              </w:rPr>
            </w:r>
          </w:p>
        </w:tc>
        <w:tc>
          <w:tcPr>
            <w:tcBorders>
              <w:bottom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lang w:eastAsia="en-US"/>
              </w:rPr>
              <w:t xml:space="preserve">Коэффициент вариации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>
              <w:bottom w:val="single" w:color="auto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Среднее </w:t>
            </w:r>
            <w:r>
              <w:rPr>
                <w:b/>
                <w:lang w:eastAsia="en-US"/>
              </w:rPr>
              <w:t xml:space="preserve">квадратическое</w:t>
            </w:r>
            <w:r>
              <w:rPr>
                <w:b/>
                <w:lang w:eastAsia="en-US"/>
              </w:rPr>
              <w:t xml:space="preserve"> отклонение</w:t>
            </w: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</w:p>
        </w:tc>
        <w:tc>
          <w:tcPr>
            <w:tcBorders>
              <w:bottom w:val="single" w:color="000000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lang w:eastAsia="en-US"/>
              </w:rPr>
              <w:t xml:space="preserve">Средняя цена за 1 единицу</w:t>
            </w:r>
            <w:r>
              <w:rPr>
                <w:b/>
                <w:lang w:eastAsia="en-US"/>
              </w:rPr>
              <w:t xml:space="preserve">, руб.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>
              <w:bottom w:val="single" w:color="auto" w:sz="4" w:space="0"/>
            </w:tcBorders>
            <w:tcW w:w="1277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lang w:eastAsia="en-US"/>
              </w:rPr>
              <w:t xml:space="preserve">Минимальная цена за 1 единицу</w:t>
            </w:r>
            <w:r>
              <w:rPr>
                <w:b/>
                <w:lang w:eastAsia="en-US"/>
              </w:rPr>
              <w:t xml:space="preserve">, руб.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>
            <w:pPr>
              <w:jc w:val="center"/>
              <w:rPr>
                <w:b/>
                <w:bCs/>
              </w:rPr>
            </w:pPr>
            <w:r>
              <w:rPr>
                <w:b/>
                <w:lang w:eastAsia="en-US"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highlight w:val="none"/>
              </w:rPr>
            </w:pPr>
            <w:r>
              <w:rPr>
                <w:b/>
                <w:lang w:eastAsia="en-US"/>
              </w:rPr>
              <w:t xml:space="preserve">Сумма, руб.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highlight w:val="none"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blPrEx/>
        <w:trPr>
          <w:jc w:val="center"/>
        </w:trPr>
        <w:tc>
          <w:tcPr>
            <w:tcW w:w="403" w:type="dxa"/>
            <w:vAlign w:val="center"/>
            <w:textDirection w:val="lrTb"/>
            <w:noWrap w:val="false"/>
          </w:tcPr>
          <w:p>
            <w:pPr>
              <w:jc w:val="both"/>
              <w:rPr>
                <w:bCs/>
              </w:rPr>
            </w:pPr>
            <w:r>
              <w:rPr>
                <w:bCs/>
              </w:rPr>
              <w:t xml:space="preserve">1.</w:t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84" w:type="dxa"/>
            <w:textDirection w:val="lrTb"/>
            <w:noWrap w:val="false"/>
          </w:tcPr>
          <w:p>
            <w:pPr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Страхование от несчастных случаев и болезней на период с 01.11.2026 по 31.05.2027 (6 мес)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jc w:val="both"/>
              <w:rPr>
                <w:bCs/>
              </w:rPr>
            </w:pPr>
            <w:r>
              <w:br/>
            </w:r>
            <w:r/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W w:w="1154" w:type="dxa"/>
            <w:vAlign w:val="center"/>
            <w:textDirection w:val="lrTb"/>
            <w:noWrap w:val="false"/>
          </w:tcPr>
          <w:p>
            <w:pPr>
              <w:jc w:val="both"/>
              <w:rPr>
                <w:bCs/>
              </w:rPr>
            </w:pPr>
            <w:r>
              <w:rPr>
                <w:bCs/>
              </w:rPr>
              <w:t xml:space="preserve">70 человек</w:t>
            </w:r>
            <w:r>
              <w:rPr>
                <w:bCs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  <w:t xml:space="preserve">1500,00</w:t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</w:rPr>
            </w:pPr>
            <w:r>
              <w:rPr>
                <w:bCs/>
              </w:rPr>
              <w:t xml:space="preserve">1900,00</w:t>
            </w:r>
            <w:r>
              <w:rPr>
                <w:bCs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  <w:t xml:space="preserve">2100,00</w:t>
            </w:r>
            <w:r>
              <w:rPr>
                <w:bCs/>
              </w:rPr>
            </w:r>
          </w:p>
        </w:tc>
        <w:tc>
          <w:tcPr>
            <w:tcW w:w="851" w:type="dxa"/>
            <w:vAlign w:val="center"/>
            <w:textDirection w:val="lrTb"/>
            <w:noWrap w:val="false"/>
          </w:tcPr>
          <w:p>
            <w:pPr>
              <w:jc w:val="both"/>
              <w:rPr>
                <w:bCs/>
              </w:rPr>
            </w:pPr>
            <w:r>
              <w:rPr>
                <w:bCs/>
              </w:rPr>
              <w:t xml:space="preserve">16,66</w:t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W w:w="1275" w:type="dxa"/>
            <w:vAlign w:val="center"/>
            <w:textDirection w:val="lrTb"/>
            <w:noWrap w:val="false"/>
          </w:tcPr>
          <w:p>
            <w:pPr>
              <w:jc w:val="both"/>
              <w:rPr>
                <w:bCs/>
              </w:rPr>
            </w:pPr>
            <w:r>
              <w:rPr>
                <w:bCs/>
              </w:rPr>
              <w:t xml:space="preserve">305,505</w:t>
            </w:r>
            <w:r>
              <w:rPr>
                <w:bCs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both"/>
              <w:rPr>
                <w:bCs/>
              </w:rPr>
            </w:pPr>
            <w:r>
              <w:rPr>
                <w:bCs/>
              </w:rPr>
              <w:t xml:space="preserve">1833,33</w:t>
            </w:r>
            <w:r>
              <w:rPr>
                <w:bCs/>
              </w:rPr>
            </w:r>
          </w:p>
        </w:tc>
        <w:tc>
          <w:tcPr>
            <w:tcW w:w="1277" w:type="dxa"/>
            <w:vAlign w:val="center"/>
            <w:textDirection w:val="lrTb"/>
            <w:noWrap w:val="false"/>
          </w:tcPr>
          <w:p>
            <w:pPr>
              <w:jc w:val="both"/>
              <w:rPr>
                <w:bCs/>
              </w:rPr>
            </w:pPr>
            <w:r>
              <w:rPr>
                <w:bCs/>
              </w:rPr>
              <w:t xml:space="preserve">1500,00</w:t>
            </w:r>
            <w:r>
              <w:rPr>
                <w:bCs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rPr>
                <w:bCs/>
                <w:highlight w:val="none"/>
              </w:rPr>
              <w:t xml:space="preserve">105 000,00</w:t>
            </w:r>
            <w:r/>
          </w:p>
        </w:tc>
      </w:tr>
      <w:tr>
        <w:tblPrEx/>
        <w:trPr>
          <w:jc w:val="center"/>
          <w:trHeight w:val="311"/>
        </w:trPr>
        <w:tc>
          <w:tcPr>
            <w:gridSpan w:val="10"/>
            <w:tcW w:w="12612" w:type="dxa"/>
            <w:vAlign w:val="center"/>
            <w:textDirection w:val="lrTb"/>
            <w:noWrap w:val="false"/>
          </w:tcPr>
          <w:p>
            <w:pPr>
              <w:jc w:val="both"/>
              <w:rPr>
                <w:bCs/>
              </w:rPr>
            </w:pPr>
            <w:r>
              <w:rPr>
                <w:bCs/>
              </w:rPr>
              <w:t xml:space="preserve">ИТОГО</w:t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jc w:val="both"/>
              <w:tabs>
                <w:tab w:val="center" w:pos="955" w:leader="none"/>
              </w:tabs>
              <w:rPr>
                <w:bCs/>
              </w:rPr>
            </w:pPr>
            <w:r>
              <w:rPr>
                <w:bCs/>
              </w:rPr>
              <w:t xml:space="preserve">105 000,00</w:t>
            </w:r>
            <w:r>
              <w:rPr>
                <w:bCs/>
              </w:rPr>
              <w:tab/>
            </w:r>
            <w:r>
              <w:rPr>
                <w:bCs/>
              </w:rPr>
            </w:r>
          </w:p>
        </w:tc>
      </w:tr>
    </w:tbl>
    <w:p>
      <w:pPr>
        <w:ind w:firstLine="567"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ind w:firstLine="709"/>
        <w:jc w:val="both"/>
        <w:rPr>
          <w:rFonts w:eastAsia="Calibri"/>
          <w:bCs/>
        </w:rPr>
      </w:pPr>
      <w:r>
        <w:rPr>
          <w:rFonts w:eastAsia="Calibri"/>
          <w:bCs/>
        </w:rPr>
        <w:t xml:space="preserve">Начальная (максимальная) цена контракта установлена Заказчиком в размере 105 000 </w:t>
      </w:r>
      <w:r>
        <w:rPr>
          <w:rFonts w:eastAsia="Calibri"/>
          <w:bCs/>
        </w:rPr>
        <w:t xml:space="preserve">руб.00</w:t>
      </w:r>
      <w:r>
        <w:rPr>
          <w:rFonts w:eastAsia="Calibri"/>
          <w:bCs/>
        </w:rPr>
        <w:t xml:space="preserve"> коп.</w:t>
      </w:r>
      <w:r>
        <w:rPr>
          <w:rFonts w:eastAsia="Calibri"/>
          <w:bCs/>
        </w:rPr>
      </w:r>
      <w:r>
        <w:rPr>
          <w:rFonts w:eastAsia="Calibri"/>
          <w:bCs/>
        </w:rPr>
      </w:r>
    </w:p>
    <w:p>
      <w:pPr>
        <w:ind w:firstLine="709"/>
        <w:jc w:val="both"/>
        <w:rPr>
          <w:rFonts w:eastAsia="Calibri"/>
        </w:rPr>
      </w:pPr>
      <w:r>
        <w:rPr>
          <w:rFonts w:eastAsia="Calibri"/>
          <w:bCs/>
        </w:rPr>
        <w:t xml:space="preserve">Дата подготовки обоснования начальной (максимальной) цены контракта:05.10.</w:t>
      </w:r>
      <w:r>
        <w:rPr>
          <w:rFonts w:eastAsia="Calibri"/>
          <w:bCs/>
        </w:rPr>
        <w:t xml:space="preserve">2026</w:t>
      </w:r>
      <w:r>
        <w:rPr>
          <w:rFonts w:eastAsia="Calibri"/>
        </w:rPr>
      </w:r>
      <w:r>
        <w:rPr>
          <w:rFonts w:eastAsia="Calibri"/>
        </w:rPr>
      </w:r>
    </w:p>
    <w:p>
      <w:pPr>
        <w:ind w:firstLine="567"/>
        <w:jc w:val="both"/>
        <w:rPr>
          <w:lang w:eastAsia="zh-CN"/>
        </w:rPr>
      </w:pPr>
      <w:r>
        <w:rPr>
          <w:lang w:eastAsia="zh-CN"/>
        </w:rPr>
      </w:r>
      <w:r>
        <w:rPr>
          <w:lang w:eastAsia="zh-CN"/>
        </w:rPr>
      </w:r>
      <w:r>
        <w:rPr>
          <w:lang w:eastAsia="zh-CN"/>
        </w:rPr>
      </w:r>
    </w:p>
    <w:sectPr>
      <w:headerReference w:type="default" r:id="rId9"/>
      <w:headerReference w:type="even" r:id="rId10"/>
      <w:footnotePr/>
      <w:endnotePr/>
      <w:type w:val="nextPage"/>
      <w:pgSz w:w="16838" w:h="11906" w:orient="landscape"/>
      <w:pgMar w:top="851" w:right="678" w:bottom="709" w:left="851" w:header="709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Times New Roman">
    <w:panose1 w:val="02020603050405020304"/>
  </w:font>
  <w:font w:name="Consolas">
    <w:panose1 w:val="020B0609020204030204"/>
  </w:font>
  <w:font w:name="MS Mincho">
    <w:panose1 w:val="02020503050405090304"/>
  </w:font>
  <w:font w:name="Tahoma">
    <w:panose1 w:val="020B0604030504040204"/>
  </w:font>
  <w:font w:name="Courier New">
    <w:panose1 w:val="020703090202050204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9"/>
      <w:rPr>
        <w:rStyle w:val="940"/>
      </w:rPr>
      <w:framePr w:wrap="around" w:vAnchor="text" w:hAnchor="margin" w:xAlign="center" w:y="1"/>
    </w:pPr>
    <w:r>
      <w:rPr>
        <w:rStyle w:val="940"/>
      </w:rPr>
      <w:fldChar w:fldCharType="begin"/>
    </w:r>
    <w:r>
      <w:rPr>
        <w:rStyle w:val="940"/>
      </w:rPr>
      <w:instrText xml:space="preserve">PAGE  </w:instrText>
    </w:r>
    <w:r>
      <w:rPr>
        <w:rStyle w:val="940"/>
      </w:rPr>
      <w:fldChar w:fldCharType="separate"/>
    </w:r>
    <w:r>
      <w:rPr>
        <w:rStyle w:val="940"/>
      </w:rPr>
      <w:t xml:space="preserve">2</w:t>
    </w:r>
    <w:r>
      <w:rPr>
        <w:rStyle w:val="940"/>
      </w:rPr>
      <w:fldChar w:fldCharType="end"/>
    </w:r>
    <w:r>
      <w:rPr>
        <w:rStyle w:val="940"/>
      </w:rPr>
    </w:r>
    <w:r>
      <w:rPr>
        <w:rStyle w:val="940"/>
      </w:rPr>
    </w:r>
  </w:p>
  <w:p>
    <w:pPr>
      <w:pStyle w:val="939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9"/>
      <w:rPr>
        <w:rStyle w:val="940"/>
      </w:rPr>
      <w:framePr w:wrap="around" w:vAnchor="text" w:hAnchor="margin" w:xAlign="center" w:y="1"/>
    </w:pPr>
    <w:r>
      <w:rPr>
        <w:rStyle w:val="940"/>
      </w:rPr>
      <w:fldChar w:fldCharType="begin"/>
    </w:r>
    <w:r>
      <w:rPr>
        <w:rStyle w:val="940"/>
      </w:rPr>
      <w:instrText xml:space="preserve">PAGE  </w:instrText>
    </w:r>
    <w:r>
      <w:rPr>
        <w:rStyle w:val="940"/>
      </w:rPr>
      <w:fldChar w:fldCharType="end"/>
    </w:r>
    <w:r>
      <w:rPr>
        <w:rStyle w:val="940"/>
      </w:rPr>
    </w:r>
    <w:r>
      <w:rPr>
        <w:rStyle w:val="940"/>
      </w:rPr>
    </w:r>
  </w:p>
  <w:p>
    <w:pPr>
      <w:pStyle w:val="939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920" w:hanging="360"/>
      </w:pPr>
      <w:rPr>
        <w:rFonts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3514" w:hanging="1245"/>
      </w:pPr>
      <w:rPr>
        <w:rFonts w:cs="Times New Roman"/>
        <w:b w:val="0"/>
        <w:color w:val="auto"/>
      </w:rPr>
    </w:lvl>
    <w:lvl w:ilvl="2">
      <w:start w:val="1"/>
      <w:numFmt w:val="decimal"/>
      <w:isLgl/>
      <w:suff w:val="tab"/>
      <w:lvlText w:val="%1.%2.%3."/>
      <w:lvlJc w:val="left"/>
      <w:pPr>
        <w:ind w:left="2303" w:hanging="1245"/>
      </w:pPr>
      <w:rPr>
        <w:rFonts w:cs="Times New Roman"/>
        <w:color w:val="auto"/>
      </w:rPr>
    </w:lvl>
    <w:lvl w:ilvl="3">
      <w:start w:val="1"/>
      <w:numFmt w:val="decimal"/>
      <w:isLgl/>
      <w:suff w:val="tab"/>
      <w:lvlText w:val="%1.%2.%3.%4."/>
      <w:lvlJc w:val="left"/>
      <w:pPr>
        <w:ind w:left="2652" w:hanging="1245"/>
      </w:pPr>
      <w:rPr>
        <w:rFonts w:cs="Times New Roman"/>
        <w:color w:val="auto"/>
      </w:rPr>
    </w:lvl>
    <w:lvl w:ilvl="4">
      <w:start w:val="1"/>
      <w:numFmt w:val="decimal"/>
      <w:isLgl/>
      <w:suff w:val="tab"/>
      <w:lvlText w:val="%1.%2.%3.%4.%5."/>
      <w:lvlJc w:val="left"/>
      <w:pPr>
        <w:ind w:left="3001" w:hanging="1245"/>
      </w:pPr>
      <w:rPr>
        <w:rFonts w:cs="Times New Roman"/>
        <w:color w:val="auto"/>
      </w:rPr>
    </w:lvl>
    <w:lvl w:ilvl="5">
      <w:start w:val="1"/>
      <w:numFmt w:val="decimal"/>
      <w:isLgl/>
      <w:suff w:val="tab"/>
      <w:lvlText w:val="%1.%2.%3.%4.%5.%6."/>
      <w:lvlJc w:val="left"/>
      <w:pPr>
        <w:ind w:left="3350" w:hanging="1245"/>
      </w:pPr>
      <w:rPr>
        <w:rFonts w:cs="Times New Roman"/>
        <w:color w:val="auto"/>
      </w:rPr>
    </w:lvl>
    <w:lvl w:ilvl="6">
      <w:start w:val="1"/>
      <w:numFmt w:val="decimal"/>
      <w:isLgl/>
      <w:suff w:val="tab"/>
      <w:lvlText w:val="%1.%2.%3.%4.%5.%6.%7."/>
      <w:lvlJc w:val="left"/>
      <w:pPr>
        <w:ind w:left="3894" w:hanging="1440"/>
      </w:pPr>
      <w:rPr>
        <w:rFonts w:cs="Times New Roman"/>
        <w:color w:val="auto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243" w:hanging="1440"/>
      </w:pPr>
      <w:rPr>
        <w:rFonts w:cs="Times New Roman"/>
        <w:color w:val="auto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952" w:hanging="1800"/>
      </w:pPr>
      <w:rPr>
        <w:rFonts w:cs="Times New Roman"/>
        <w:color w:val="auto"/>
      </w:rPr>
    </w:lvl>
  </w:abstractNum>
  <w:abstractNum w:abstractNumId="1">
    <w:multiLevelType w:val="hybridMultilevel"/>
    <w:lvl w:ilvl="0">
      <w:start w:val="12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27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52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75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2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2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51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74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0040" w:hanging="180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 w:cs="Times New Roman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2"/>
      <w:numFmt w:val="decimal"/>
      <w:isLgl w:val="false"/>
      <w:suff w:val="tab"/>
      <w:lvlText w:val="%1)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391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63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535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607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679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751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823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8956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729" w:hanging="10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8">
    <w:multiLevelType w:val="hybridMultilevel"/>
    <w:lvl w:ilvl="0">
      <w:start w:val="2"/>
      <w:numFmt w:val="decimal"/>
      <w:isLgl w:val="false"/>
      <w:suff w:val="tab"/>
      <w:lvlText w:val="%1)"/>
      <w:lvlJc w:val="left"/>
      <w:pPr>
        <w:ind w:left="177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70" w:hanging="360"/>
      </w:pPr>
      <w:rPr>
        <w:rFonts w:hint="default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79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1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3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5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7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9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1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30" w:hanging="180"/>
      </w:pPr>
    </w:lvl>
  </w:abstractNum>
  <w:abstractNum w:abstractNumId="11">
    <w:multiLevelType w:val="hybridMultilevel"/>
    <w:lvl w:ilvl="0">
      <w:start w:val="2"/>
      <w:numFmt w:val="decimal"/>
      <w:isLgl w:val="false"/>
      <w:suff w:val="tab"/>
      <w:lvlText w:val="%1)"/>
      <w:lvlJc w:val="left"/>
      <w:pPr>
        <w:ind w:left="163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35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7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9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51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23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95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7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95" w:hanging="180"/>
      </w:pPr>
    </w:lvl>
  </w:abstractNum>
  <w:abstractNum w:abstractNumId="12">
    <w:multiLevelType w:val="hybridMultilevel"/>
    <w:lvl w:ilvl="0">
      <w:start w:val="2014"/>
      <w:numFmt w:val="decimal"/>
      <w:isLgl w:val="false"/>
      <w:suff w:val="tab"/>
      <w:lvlText w:val="%1"/>
      <w:lvlJc w:val="left"/>
      <w:pPr>
        <w:ind w:left="960" w:hanging="60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391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63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535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607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679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751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823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8956" w:hanging="180"/>
      </w:p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9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1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3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5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7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9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1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3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19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6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3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0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8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5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2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9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6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8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19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4">
    <w:multiLevelType w:val="hybridMultilevel"/>
    <w:lvl w:ilvl="0">
      <w:start w:val="2"/>
      <w:numFmt w:val="decimal"/>
      <w:isLgl w:val="false"/>
      <w:suff w:val="tab"/>
      <w:lvlText w:val="%1)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5">
    <w:multiLevelType w:val="hybridMultilevel"/>
    <w:lvl w:ilvl="0">
      <w:start w:val="2"/>
      <w:numFmt w:val="decimal"/>
      <w:isLgl w:val="false"/>
      <w:suff w:val="tab"/>
      <w:lvlText w:val="%1)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9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1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3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5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7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9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1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30" w:hanging="180"/>
      </w:pPr>
    </w:lvl>
  </w:abstractNum>
  <w:num w:numId="1">
    <w:abstractNumId w:val="23"/>
  </w:num>
  <w:num w:numId="2">
    <w:abstractNumId w:val="6"/>
  </w:num>
  <w:num w:numId="3">
    <w:abstractNumId w:val="27"/>
  </w:num>
  <w:num w:numId="4">
    <w:abstractNumId w:val="26"/>
  </w:num>
  <w:num w:numId="5">
    <w:abstractNumId w:val="29"/>
  </w:num>
  <w:num w:numId="6">
    <w:abstractNumId w:val="31"/>
  </w:num>
  <w:num w:numId="7">
    <w:abstractNumId w:val="19"/>
  </w:num>
  <w:num w:numId="8">
    <w:abstractNumId w:val="16"/>
  </w:num>
  <w:num w:numId="9">
    <w:abstractNumId w:val="3"/>
  </w:num>
  <w:num w:numId="10">
    <w:abstractNumId w:val="24"/>
  </w:num>
  <w:num w:numId="11">
    <w:abstractNumId w:val="17"/>
  </w:num>
  <w:num w:numId="12">
    <w:abstractNumId w:val="30"/>
  </w:num>
  <w:num w:numId="13">
    <w:abstractNumId w:val="7"/>
  </w:num>
  <w:num w:numId="14">
    <w:abstractNumId w:val="34"/>
  </w:num>
  <w:num w:numId="15">
    <w:abstractNumId w:val="11"/>
  </w:num>
  <w:num w:numId="16">
    <w:abstractNumId w:val="5"/>
  </w:num>
  <w:num w:numId="17">
    <w:abstractNumId w:val="13"/>
  </w:num>
  <w:num w:numId="18">
    <w:abstractNumId w:val="10"/>
  </w:num>
  <w:num w:numId="19">
    <w:abstractNumId w:val="8"/>
  </w:num>
  <w:num w:numId="20">
    <w:abstractNumId w:val="35"/>
  </w:num>
  <w:num w:numId="21">
    <w:abstractNumId w:val="33"/>
  </w:num>
  <w:num w:numId="22">
    <w:abstractNumId w:val="4"/>
  </w:num>
  <w:num w:numId="23">
    <w:abstractNumId w:val="20"/>
  </w:num>
  <w:num w:numId="24">
    <w:abstractNumId w:val="12"/>
  </w:num>
  <w:num w:numId="25">
    <w:abstractNumId w:val="28"/>
  </w:num>
  <w:num w:numId="26">
    <w:abstractNumId w:val="18"/>
  </w:num>
  <w:num w:numId="27">
    <w:abstractNumId w:val="32"/>
  </w:num>
  <w:num w:numId="28">
    <w:abstractNumId w:val="15"/>
  </w:num>
  <w:num w:numId="29">
    <w:abstractNumId w:val="14"/>
  </w:num>
  <w:num w:numId="30">
    <w:abstractNumId w:val="22"/>
  </w:num>
  <w:num w:numId="31">
    <w:abstractNumId w:val="9"/>
  </w:num>
  <w:num w:numId="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1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64">
    <w:name w:val="Heading 1 Char"/>
    <w:basedOn w:val="932"/>
    <w:link w:val="930"/>
    <w:uiPriority w:val="9"/>
    <w:rPr>
      <w:rFonts w:ascii="Arial" w:hAnsi="Arial" w:eastAsia="Arial" w:cs="Arial"/>
      <w:sz w:val="40"/>
      <w:szCs w:val="40"/>
    </w:rPr>
  </w:style>
  <w:style w:type="paragraph" w:styleId="765">
    <w:name w:val="Heading 2"/>
    <w:basedOn w:val="929"/>
    <w:next w:val="929"/>
    <w:link w:val="76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66">
    <w:name w:val="Heading 2 Char"/>
    <w:basedOn w:val="932"/>
    <w:link w:val="765"/>
    <w:uiPriority w:val="9"/>
    <w:rPr>
      <w:rFonts w:ascii="Arial" w:hAnsi="Arial" w:eastAsia="Arial" w:cs="Arial"/>
      <w:sz w:val="34"/>
    </w:rPr>
  </w:style>
  <w:style w:type="paragraph" w:styleId="767">
    <w:name w:val="Heading 3"/>
    <w:basedOn w:val="929"/>
    <w:next w:val="929"/>
    <w:link w:val="76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68">
    <w:name w:val="Heading 3 Char"/>
    <w:basedOn w:val="932"/>
    <w:link w:val="767"/>
    <w:uiPriority w:val="9"/>
    <w:rPr>
      <w:rFonts w:ascii="Arial" w:hAnsi="Arial" w:eastAsia="Arial" w:cs="Arial"/>
      <w:sz w:val="30"/>
      <w:szCs w:val="30"/>
    </w:rPr>
  </w:style>
  <w:style w:type="paragraph" w:styleId="769">
    <w:name w:val="Heading 4"/>
    <w:basedOn w:val="929"/>
    <w:next w:val="929"/>
    <w:link w:val="77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70">
    <w:name w:val="Heading 4 Char"/>
    <w:basedOn w:val="932"/>
    <w:link w:val="769"/>
    <w:uiPriority w:val="9"/>
    <w:rPr>
      <w:rFonts w:ascii="Arial" w:hAnsi="Arial" w:eastAsia="Arial" w:cs="Arial"/>
      <w:b/>
      <w:bCs/>
      <w:sz w:val="26"/>
      <w:szCs w:val="26"/>
    </w:rPr>
  </w:style>
  <w:style w:type="character" w:styleId="771">
    <w:name w:val="Heading 5 Char"/>
    <w:basedOn w:val="932"/>
    <w:link w:val="931"/>
    <w:uiPriority w:val="9"/>
    <w:rPr>
      <w:rFonts w:ascii="Arial" w:hAnsi="Arial" w:eastAsia="Arial" w:cs="Arial"/>
      <w:b/>
      <w:bCs/>
      <w:sz w:val="24"/>
      <w:szCs w:val="24"/>
    </w:rPr>
  </w:style>
  <w:style w:type="paragraph" w:styleId="772">
    <w:name w:val="Heading 6"/>
    <w:basedOn w:val="929"/>
    <w:next w:val="929"/>
    <w:link w:val="77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73">
    <w:name w:val="Heading 6 Char"/>
    <w:basedOn w:val="932"/>
    <w:link w:val="772"/>
    <w:uiPriority w:val="9"/>
    <w:rPr>
      <w:rFonts w:ascii="Arial" w:hAnsi="Arial" w:eastAsia="Arial" w:cs="Arial"/>
      <w:b/>
      <w:bCs/>
      <w:sz w:val="22"/>
      <w:szCs w:val="22"/>
    </w:rPr>
  </w:style>
  <w:style w:type="paragraph" w:styleId="774">
    <w:name w:val="Heading 7"/>
    <w:basedOn w:val="929"/>
    <w:next w:val="929"/>
    <w:link w:val="77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75">
    <w:name w:val="Heading 7 Char"/>
    <w:basedOn w:val="932"/>
    <w:link w:val="77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76">
    <w:name w:val="Heading 8"/>
    <w:basedOn w:val="929"/>
    <w:next w:val="929"/>
    <w:link w:val="77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77">
    <w:name w:val="Heading 8 Char"/>
    <w:basedOn w:val="932"/>
    <w:link w:val="776"/>
    <w:uiPriority w:val="9"/>
    <w:rPr>
      <w:rFonts w:ascii="Arial" w:hAnsi="Arial" w:eastAsia="Arial" w:cs="Arial"/>
      <w:i/>
      <w:iCs/>
      <w:sz w:val="22"/>
      <w:szCs w:val="22"/>
    </w:rPr>
  </w:style>
  <w:style w:type="paragraph" w:styleId="778">
    <w:name w:val="Heading 9"/>
    <w:basedOn w:val="929"/>
    <w:next w:val="929"/>
    <w:link w:val="77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79">
    <w:name w:val="Heading 9 Char"/>
    <w:basedOn w:val="932"/>
    <w:link w:val="778"/>
    <w:uiPriority w:val="9"/>
    <w:rPr>
      <w:rFonts w:ascii="Arial" w:hAnsi="Arial" w:eastAsia="Arial" w:cs="Arial"/>
      <w:i/>
      <w:iCs/>
      <w:sz w:val="21"/>
      <w:szCs w:val="21"/>
    </w:rPr>
  </w:style>
  <w:style w:type="character" w:styleId="780">
    <w:name w:val="Title Char"/>
    <w:basedOn w:val="932"/>
    <w:link w:val="937"/>
    <w:uiPriority w:val="10"/>
    <w:rPr>
      <w:sz w:val="48"/>
      <w:szCs w:val="48"/>
    </w:rPr>
  </w:style>
  <w:style w:type="paragraph" w:styleId="781">
    <w:name w:val="Subtitle"/>
    <w:basedOn w:val="929"/>
    <w:next w:val="929"/>
    <w:link w:val="782"/>
    <w:uiPriority w:val="11"/>
    <w:qFormat/>
    <w:pPr>
      <w:spacing w:before="200" w:after="200"/>
    </w:pPr>
    <w:rPr>
      <w:sz w:val="24"/>
      <w:szCs w:val="24"/>
    </w:rPr>
  </w:style>
  <w:style w:type="character" w:styleId="782">
    <w:name w:val="Subtitle Char"/>
    <w:basedOn w:val="932"/>
    <w:link w:val="781"/>
    <w:uiPriority w:val="11"/>
    <w:rPr>
      <w:sz w:val="24"/>
      <w:szCs w:val="24"/>
    </w:rPr>
  </w:style>
  <w:style w:type="paragraph" w:styleId="783">
    <w:name w:val="Quote"/>
    <w:basedOn w:val="929"/>
    <w:next w:val="929"/>
    <w:link w:val="784"/>
    <w:uiPriority w:val="29"/>
    <w:qFormat/>
    <w:pPr>
      <w:ind w:left="720" w:right="720"/>
    </w:pPr>
    <w:rPr>
      <w:i/>
    </w:rPr>
  </w:style>
  <w:style w:type="character" w:styleId="784">
    <w:name w:val="Quote Char"/>
    <w:link w:val="783"/>
    <w:uiPriority w:val="29"/>
    <w:rPr>
      <w:i/>
    </w:rPr>
  </w:style>
  <w:style w:type="paragraph" w:styleId="785">
    <w:name w:val="Intense Quote"/>
    <w:basedOn w:val="929"/>
    <w:next w:val="929"/>
    <w:link w:val="78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86">
    <w:name w:val="Intense Quote Char"/>
    <w:link w:val="785"/>
    <w:uiPriority w:val="30"/>
    <w:rPr>
      <w:i/>
    </w:rPr>
  </w:style>
  <w:style w:type="character" w:styleId="787">
    <w:name w:val="Header Char"/>
    <w:basedOn w:val="932"/>
    <w:link w:val="939"/>
    <w:uiPriority w:val="99"/>
  </w:style>
  <w:style w:type="character" w:styleId="788">
    <w:name w:val="Footer Char"/>
    <w:basedOn w:val="932"/>
    <w:link w:val="941"/>
    <w:uiPriority w:val="99"/>
  </w:style>
  <w:style w:type="paragraph" w:styleId="789">
    <w:name w:val="Caption"/>
    <w:basedOn w:val="929"/>
    <w:next w:val="929"/>
    <w:link w:val="79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90">
    <w:name w:val="Caption Char"/>
    <w:basedOn w:val="932"/>
    <w:link w:val="789"/>
    <w:uiPriority w:val="35"/>
    <w:rPr>
      <w:b/>
      <w:bCs/>
      <w:color w:val="4f81bd" w:themeColor="accent1"/>
      <w:sz w:val="18"/>
      <w:szCs w:val="18"/>
    </w:rPr>
  </w:style>
  <w:style w:type="table" w:styleId="791">
    <w:name w:val="Table Grid Light"/>
    <w:basedOn w:val="9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2">
    <w:name w:val="Plain Table 1"/>
    <w:basedOn w:val="9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3">
    <w:name w:val="Plain Table 2"/>
    <w:basedOn w:val="9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4">
    <w:name w:val="Plain Table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95">
    <w:name w:val="Plain Table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Plain Table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97">
    <w:name w:val="Grid Table 1 Light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Grid Table 1 Light 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Grid Table 1 Light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Grid Table 1 Light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Grid Table 1 Light 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Grid Table 1 Light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Grid Table 1 Light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Grid Table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2 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2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2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2 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2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2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Grid Table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3 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Grid Table 3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Grid Table 3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Grid Table 3 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Grid Table 3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Grid Table 3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Grid Table 4"/>
    <w:basedOn w:val="9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19">
    <w:name w:val="Grid Table 4 - Accent 1"/>
    <w:basedOn w:val="9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20">
    <w:name w:val="Grid Table 4 - Accent 2"/>
    <w:basedOn w:val="9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21">
    <w:name w:val="Grid Table 4 - Accent 3"/>
    <w:basedOn w:val="9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2">
    <w:name w:val="Grid Table 4 - Accent 4"/>
    <w:basedOn w:val="9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3">
    <w:name w:val="Grid Table 4 - Accent 5"/>
    <w:basedOn w:val="9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4">
    <w:name w:val="Grid Table 4 - Accent 6"/>
    <w:basedOn w:val="9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5">
    <w:name w:val="Grid Table 5 Dark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6">
    <w:name w:val="Grid Table 5 Dark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27">
    <w:name w:val="Grid Table 5 Dark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28">
    <w:name w:val="Grid Table 5 Dark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29">
    <w:name w:val="Grid Table 5 Dark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30">
    <w:name w:val="Grid Table 5 Dark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31">
    <w:name w:val="Grid Table 5 Dark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32">
    <w:name w:val="Grid Table 6 Colorful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33">
    <w:name w:val="Grid Table 6 Colorful 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34">
    <w:name w:val="Grid Table 6 Colorful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35">
    <w:name w:val="Grid Table 6 Colorful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36">
    <w:name w:val="Grid Table 6 Colorful 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37">
    <w:name w:val="Grid Table 6 Colorful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38">
    <w:name w:val="Grid Table 6 Colorful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39">
    <w:name w:val="Grid Table 7 Colorful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Grid Table 7 Colorful 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Grid Table 7 Colorful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Grid Table 7 Colorful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Grid Table 7 Colorful 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Grid Table 7 Colorful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>
    <w:name w:val="Grid Table 7 Colorful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>
    <w:name w:val="List Table 1 Light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List Table 1 Light 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>
    <w:name w:val="List Table 1 Light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>
    <w:name w:val="List Table 1 Light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>
    <w:name w:val="List Table 1 Light 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>
    <w:name w:val="List Table 1 Light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>
    <w:name w:val="List Table 1 Light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>
    <w:name w:val="List Table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54">
    <w:name w:val="List Table 2 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55">
    <w:name w:val="List Table 2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56">
    <w:name w:val="List Table 2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57">
    <w:name w:val="List Table 2 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58">
    <w:name w:val="List Table 2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59">
    <w:name w:val="List Table 2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60">
    <w:name w:val="List Table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List Table 3 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List Table 3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>
    <w:name w:val="List Table 3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>
    <w:name w:val="List Table 3 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>
    <w:name w:val="List Table 3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>
    <w:name w:val="List Table 3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>
    <w:name w:val="List Table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>
    <w:name w:val="List Table 4 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>
    <w:name w:val="List Table 4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>
    <w:name w:val="List Table 4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>
    <w:name w:val="List Table 4 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>
    <w:name w:val="List Table 4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>
    <w:name w:val="List Table 4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4">
    <w:name w:val="List Table 5 Dark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5">
    <w:name w:val="List Table 5 Dark 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6">
    <w:name w:val="List Table 5 Dark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7">
    <w:name w:val="List Table 5 Dark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8">
    <w:name w:val="List Table 5 Dark 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9">
    <w:name w:val="List Table 5 Dark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0">
    <w:name w:val="List Table 5 Dark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1">
    <w:name w:val="List Table 6 Colorful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82">
    <w:name w:val="List Table 6 Colorful 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83">
    <w:name w:val="List Table 6 Colorful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84">
    <w:name w:val="List Table 6 Colorful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85">
    <w:name w:val="List Table 6 Colorful 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86">
    <w:name w:val="List Table 6 Colorful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87">
    <w:name w:val="List Table 6 Colorful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88">
    <w:name w:val="List Table 7 Colorful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89">
    <w:name w:val="List Table 7 Colorful 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90">
    <w:name w:val="List Table 7 Colorful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91">
    <w:name w:val="List Table 7 Colorful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92">
    <w:name w:val="List Table 7 Colorful 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93">
    <w:name w:val="List Table 7 Colorful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94">
    <w:name w:val="List Table 7 Colorful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95">
    <w:name w:val="Lined - Accent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96">
    <w:name w:val="Lined - Accent 1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97">
    <w:name w:val="Lined - Accent 2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98">
    <w:name w:val="Lined - Accent 3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99">
    <w:name w:val="Lined - Accent 4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00">
    <w:name w:val="Lined - Accent 5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01">
    <w:name w:val="Lined - Accent 6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02">
    <w:name w:val="Bordered &amp; Lined - Accent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03">
    <w:name w:val="Bordered &amp; Lined - Accent 1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04">
    <w:name w:val="Bordered &amp; Lined - Accent 2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05">
    <w:name w:val="Bordered &amp; Lined - Accent 3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06">
    <w:name w:val="Bordered &amp; Lined - Accent 4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07">
    <w:name w:val="Bordered &amp; Lined - Accent 5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08">
    <w:name w:val="Bordered &amp; Lined - Accent 6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09">
    <w:name w:val="Bordered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10">
    <w:name w:val="Bordered 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11">
    <w:name w:val="Bordered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12">
    <w:name w:val="Bordered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13">
    <w:name w:val="Bordered 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14">
    <w:name w:val="Bordered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15">
    <w:name w:val="Bordered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16">
    <w:name w:val="Footnote Text Char"/>
    <w:link w:val="968"/>
    <w:uiPriority w:val="99"/>
    <w:rPr>
      <w:sz w:val="18"/>
    </w:rPr>
  </w:style>
  <w:style w:type="character" w:styleId="917">
    <w:name w:val="Endnote Text Char"/>
    <w:link w:val="965"/>
    <w:uiPriority w:val="99"/>
    <w:rPr>
      <w:sz w:val="20"/>
    </w:rPr>
  </w:style>
  <w:style w:type="paragraph" w:styleId="918">
    <w:name w:val="toc 1"/>
    <w:basedOn w:val="929"/>
    <w:next w:val="929"/>
    <w:uiPriority w:val="39"/>
    <w:unhideWhenUsed/>
    <w:pPr>
      <w:ind w:left="0" w:right="0" w:firstLine="0"/>
      <w:spacing w:after="57"/>
    </w:pPr>
  </w:style>
  <w:style w:type="paragraph" w:styleId="919">
    <w:name w:val="toc 2"/>
    <w:basedOn w:val="929"/>
    <w:next w:val="929"/>
    <w:uiPriority w:val="39"/>
    <w:unhideWhenUsed/>
    <w:pPr>
      <w:ind w:left="283" w:right="0" w:firstLine="0"/>
      <w:spacing w:after="57"/>
    </w:pPr>
  </w:style>
  <w:style w:type="paragraph" w:styleId="920">
    <w:name w:val="toc 3"/>
    <w:basedOn w:val="929"/>
    <w:next w:val="929"/>
    <w:uiPriority w:val="39"/>
    <w:unhideWhenUsed/>
    <w:pPr>
      <w:ind w:left="567" w:right="0" w:firstLine="0"/>
      <w:spacing w:after="57"/>
    </w:pPr>
  </w:style>
  <w:style w:type="paragraph" w:styleId="921">
    <w:name w:val="toc 4"/>
    <w:basedOn w:val="929"/>
    <w:next w:val="929"/>
    <w:uiPriority w:val="39"/>
    <w:unhideWhenUsed/>
    <w:pPr>
      <w:ind w:left="850" w:right="0" w:firstLine="0"/>
      <w:spacing w:after="57"/>
    </w:pPr>
  </w:style>
  <w:style w:type="paragraph" w:styleId="922">
    <w:name w:val="toc 5"/>
    <w:basedOn w:val="929"/>
    <w:next w:val="929"/>
    <w:uiPriority w:val="39"/>
    <w:unhideWhenUsed/>
    <w:pPr>
      <w:ind w:left="1134" w:right="0" w:firstLine="0"/>
      <w:spacing w:after="57"/>
    </w:pPr>
  </w:style>
  <w:style w:type="paragraph" w:styleId="923">
    <w:name w:val="toc 6"/>
    <w:basedOn w:val="929"/>
    <w:next w:val="929"/>
    <w:uiPriority w:val="39"/>
    <w:unhideWhenUsed/>
    <w:pPr>
      <w:ind w:left="1417" w:right="0" w:firstLine="0"/>
      <w:spacing w:after="57"/>
    </w:pPr>
  </w:style>
  <w:style w:type="paragraph" w:styleId="924">
    <w:name w:val="toc 7"/>
    <w:basedOn w:val="929"/>
    <w:next w:val="929"/>
    <w:uiPriority w:val="39"/>
    <w:unhideWhenUsed/>
    <w:pPr>
      <w:ind w:left="1701" w:right="0" w:firstLine="0"/>
      <w:spacing w:after="57"/>
    </w:pPr>
  </w:style>
  <w:style w:type="paragraph" w:styleId="925">
    <w:name w:val="toc 8"/>
    <w:basedOn w:val="929"/>
    <w:next w:val="929"/>
    <w:uiPriority w:val="39"/>
    <w:unhideWhenUsed/>
    <w:pPr>
      <w:ind w:left="1984" w:right="0" w:firstLine="0"/>
      <w:spacing w:after="57"/>
    </w:pPr>
  </w:style>
  <w:style w:type="paragraph" w:styleId="926">
    <w:name w:val="toc 9"/>
    <w:basedOn w:val="929"/>
    <w:next w:val="929"/>
    <w:uiPriority w:val="39"/>
    <w:unhideWhenUsed/>
    <w:pPr>
      <w:ind w:left="2268" w:right="0" w:firstLine="0"/>
      <w:spacing w:after="57"/>
    </w:pPr>
  </w:style>
  <w:style w:type="paragraph" w:styleId="927">
    <w:name w:val="TOC Heading"/>
    <w:uiPriority w:val="39"/>
    <w:unhideWhenUsed/>
  </w:style>
  <w:style w:type="paragraph" w:styleId="928">
    <w:name w:val="table of figures"/>
    <w:basedOn w:val="929"/>
    <w:next w:val="929"/>
    <w:uiPriority w:val="99"/>
    <w:unhideWhenUsed/>
    <w:pPr>
      <w:spacing w:after="0" w:afterAutospacing="0"/>
    </w:pPr>
  </w:style>
  <w:style w:type="paragraph" w:styleId="929" w:default="1">
    <w:name w:val="Normal"/>
    <w:qFormat/>
    <w:rPr>
      <w:sz w:val="24"/>
      <w:szCs w:val="24"/>
    </w:rPr>
  </w:style>
  <w:style w:type="paragraph" w:styleId="930">
    <w:name w:val="Heading 1"/>
    <w:basedOn w:val="929"/>
    <w:next w:val="929"/>
    <w:qFormat/>
    <w:pPr>
      <w:ind w:left="1692" w:firstLine="708"/>
      <w:jc w:val="center"/>
      <w:keepNext/>
      <w:outlineLvl w:val="0"/>
    </w:pPr>
    <w:rPr>
      <w:sz w:val="28"/>
      <w:szCs w:val="28"/>
    </w:rPr>
  </w:style>
  <w:style w:type="paragraph" w:styleId="931">
    <w:name w:val="Heading 5"/>
    <w:basedOn w:val="929"/>
    <w:next w:val="929"/>
    <w:link w:val="953"/>
    <w:qFormat/>
    <w:pPr>
      <w:spacing w:before="240" w:after="60"/>
      <w:outlineLvl w:val="4"/>
    </w:pPr>
    <w:rPr>
      <w:rFonts w:eastAsia="Calibri"/>
      <w:b/>
      <w:bCs/>
      <w:i/>
      <w:iCs/>
      <w:sz w:val="26"/>
      <w:szCs w:val="26"/>
    </w:rPr>
  </w:style>
  <w:style w:type="character" w:styleId="932" w:default="1">
    <w:name w:val="Default Paragraph Font"/>
    <w:uiPriority w:val="1"/>
    <w:semiHidden/>
    <w:unhideWhenUsed/>
  </w:style>
  <w:style w:type="table" w:styleId="9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34" w:default="1">
    <w:name w:val="No List"/>
    <w:uiPriority w:val="99"/>
    <w:semiHidden/>
    <w:unhideWhenUsed/>
  </w:style>
  <w:style w:type="paragraph" w:styleId="935" w:customStyle="1">
    <w:name w:val="ConsPlusNormal"/>
    <w:link w:val="952"/>
    <w:qFormat/>
    <w:pPr>
      <w:ind w:firstLine="720"/>
      <w:widowControl w:val="off"/>
    </w:pPr>
    <w:rPr>
      <w:rFonts w:ascii="Arial" w:hAnsi="Arial" w:cs="Arial"/>
    </w:rPr>
  </w:style>
  <w:style w:type="paragraph" w:styleId="936" w:customStyle="1">
    <w:name w:val="ConsPlusTitle"/>
    <w:pPr>
      <w:widowControl w:val="off"/>
    </w:pPr>
    <w:rPr>
      <w:rFonts w:ascii="Arial" w:hAnsi="Arial" w:cs="Arial"/>
      <w:b/>
      <w:bCs/>
    </w:rPr>
  </w:style>
  <w:style w:type="paragraph" w:styleId="937">
    <w:name w:val="Title"/>
    <w:basedOn w:val="929"/>
    <w:link w:val="950"/>
    <w:qFormat/>
    <w:pPr>
      <w:jc w:val="center"/>
    </w:pPr>
    <w:rPr>
      <w:b/>
      <w:sz w:val="28"/>
      <w:szCs w:val="20"/>
    </w:rPr>
  </w:style>
  <w:style w:type="paragraph" w:styleId="938" w:customStyle="1">
    <w:name w:val="ConsPlusNonformat"/>
    <w:pPr>
      <w:widowControl w:val="off"/>
    </w:pPr>
    <w:rPr>
      <w:rFonts w:ascii="Courier New" w:hAnsi="Courier New" w:cs="Courier New"/>
    </w:rPr>
  </w:style>
  <w:style w:type="paragraph" w:styleId="939">
    <w:name w:val="Header"/>
    <w:basedOn w:val="929"/>
    <w:link w:val="943"/>
    <w:uiPriority w:val="99"/>
    <w:pPr>
      <w:tabs>
        <w:tab w:val="center" w:pos="4677" w:leader="none"/>
        <w:tab w:val="right" w:pos="9355" w:leader="none"/>
      </w:tabs>
    </w:pPr>
  </w:style>
  <w:style w:type="character" w:styleId="940">
    <w:name w:val="page number"/>
    <w:basedOn w:val="932"/>
  </w:style>
  <w:style w:type="paragraph" w:styleId="941">
    <w:name w:val="Footer"/>
    <w:basedOn w:val="929"/>
    <w:pPr>
      <w:tabs>
        <w:tab w:val="center" w:pos="4677" w:leader="none"/>
        <w:tab w:val="right" w:pos="9355" w:leader="none"/>
      </w:tabs>
    </w:pPr>
  </w:style>
  <w:style w:type="character" w:styleId="942">
    <w:name w:val="Hyperlink"/>
    <w:basedOn w:val="932"/>
    <w:rPr>
      <w:color w:val="0000ff"/>
      <w:u w:val="single"/>
    </w:rPr>
  </w:style>
  <w:style w:type="character" w:styleId="943" w:customStyle="1">
    <w:name w:val="Верхний колонтитул Знак"/>
    <w:basedOn w:val="932"/>
    <w:link w:val="939"/>
    <w:uiPriority w:val="99"/>
    <w:rPr>
      <w:sz w:val="24"/>
      <w:szCs w:val="24"/>
    </w:rPr>
  </w:style>
  <w:style w:type="table" w:styleId="944">
    <w:name w:val="Table Grid"/>
    <w:basedOn w:val="933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45">
    <w:name w:val="Balloon Text"/>
    <w:basedOn w:val="929"/>
    <w:link w:val="946"/>
    <w:rPr>
      <w:rFonts w:ascii="Tahoma" w:hAnsi="Tahoma" w:cs="Tahoma"/>
      <w:sz w:val="16"/>
      <w:szCs w:val="16"/>
    </w:rPr>
  </w:style>
  <w:style w:type="character" w:styleId="946" w:customStyle="1">
    <w:name w:val="Текст выноски Знак"/>
    <w:basedOn w:val="932"/>
    <w:link w:val="945"/>
    <w:rPr>
      <w:rFonts w:ascii="Tahoma" w:hAnsi="Tahoma" w:cs="Tahoma"/>
      <w:sz w:val="16"/>
      <w:szCs w:val="16"/>
    </w:rPr>
  </w:style>
  <w:style w:type="paragraph" w:styleId="947">
    <w:name w:val="List Paragraph"/>
    <w:basedOn w:val="929"/>
    <w:link w:val="975"/>
    <w:uiPriority w:val="34"/>
    <w:qFormat/>
    <w:pPr>
      <w:contextualSpacing/>
      <w:ind w:left="720"/>
    </w:pPr>
  </w:style>
  <w:style w:type="paragraph" w:styleId="948" w:customStyle="1">
    <w:name w:val="ConsNormal"/>
    <w:link w:val="951"/>
    <w:uiPriority w:val="99"/>
    <w:pPr>
      <w:ind w:right="19772" w:firstLine="720"/>
      <w:widowControl w:val="off"/>
    </w:pPr>
    <w:rPr>
      <w:rFonts w:ascii="Arial" w:hAnsi="Arial"/>
    </w:rPr>
  </w:style>
  <w:style w:type="paragraph" w:styleId="949" w:customStyle="1">
    <w:name w:val="ConsTitle"/>
    <w:pPr>
      <w:ind w:right="19772"/>
      <w:widowControl w:val="off"/>
    </w:pPr>
    <w:rPr>
      <w:rFonts w:ascii="Arial" w:hAnsi="Arial"/>
      <w:b/>
      <w:sz w:val="16"/>
    </w:rPr>
  </w:style>
  <w:style w:type="character" w:styleId="950" w:customStyle="1">
    <w:name w:val="Название Знак"/>
    <w:basedOn w:val="932"/>
    <w:link w:val="937"/>
    <w:rPr>
      <w:b/>
      <w:sz w:val="28"/>
    </w:rPr>
  </w:style>
  <w:style w:type="character" w:styleId="951" w:customStyle="1">
    <w:name w:val="ConsNormal Знак"/>
    <w:basedOn w:val="932"/>
    <w:link w:val="948"/>
    <w:uiPriority w:val="99"/>
    <w:rPr>
      <w:rFonts w:ascii="Arial" w:hAnsi="Arial"/>
      <w:lang w:val="ru-RU" w:eastAsia="ru-RU" w:bidi="ar-SA"/>
    </w:rPr>
  </w:style>
  <w:style w:type="character" w:styleId="952" w:customStyle="1">
    <w:name w:val="ConsPlusNormal Знак"/>
    <w:basedOn w:val="932"/>
    <w:link w:val="935"/>
    <w:rPr>
      <w:rFonts w:ascii="Arial" w:hAnsi="Arial" w:cs="Arial"/>
      <w:lang w:val="ru-RU" w:eastAsia="ru-RU" w:bidi="ar-SA"/>
    </w:rPr>
  </w:style>
  <w:style w:type="character" w:styleId="953" w:customStyle="1">
    <w:name w:val="Заголовок 5 Знак"/>
    <w:basedOn w:val="932"/>
    <w:link w:val="931"/>
    <w:rPr>
      <w:rFonts w:eastAsia="Calibri"/>
      <w:b/>
      <w:bCs/>
      <w:i/>
      <w:iCs/>
      <w:sz w:val="26"/>
      <w:szCs w:val="26"/>
    </w:rPr>
  </w:style>
  <w:style w:type="paragraph" w:styleId="954">
    <w:name w:val="Body Text Indent"/>
    <w:basedOn w:val="929"/>
    <w:link w:val="955"/>
    <w:pPr>
      <w:jc w:val="both"/>
      <w:tabs>
        <w:tab w:val="left" w:pos="851" w:leader="none"/>
      </w:tabs>
    </w:pPr>
    <w:rPr>
      <w:rFonts w:eastAsia="Calibri"/>
      <w:sz w:val="26"/>
      <w:szCs w:val="26"/>
    </w:rPr>
  </w:style>
  <w:style w:type="character" w:styleId="955" w:customStyle="1">
    <w:name w:val="Основной текст с отступом Знак"/>
    <w:basedOn w:val="932"/>
    <w:link w:val="954"/>
    <w:rPr>
      <w:rFonts w:eastAsia="Calibri"/>
      <w:sz w:val="26"/>
      <w:szCs w:val="26"/>
    </w:rPr>
  </w:style>
  <w:style w:type="paragraph" w:styleId="956" w:customStyle="1">
    <w:name w:val="Без интервала1"/>
    <w:link w:val="957"/>
    <w:qFormat/>
    <w:rPr>
      <w:rFonts w:ascii="Calibri" w:hAnsi="Calibri"/>
      <w:sz w:val="22"/>
      <w:szCs w:val="22"/>
      <w:lang w:eastAsia="en-US"/>
    </w:rPr>
  </w:style>
  <w:style w:type="character" w:styleId="957" w:customStyle="1">
    <w:name w:val="No Spacing Char"/>
    <w:basedOn w:val="932"/>
    <w:link w:val="956"/>
    <w:qFormat/>
    <w:rPr>
      <w:rFonts w:ascii="Calibri" w:hAnsi="Calibri"/>
      <w:sz w:val="22"/>
      <w:szCs w:val="22"/>
      <w:lang w:val="ru-RU" w:eastAsia="en-US" w:bidi="ar-SA"/>
    </w:rPr>
  </w:style>
  <w:style w:type="paragraph" w:styleId="958">
    <w:name w:val="Body Text Indent 3"/>
    <w:basedOn w:val="929"/>
    <w:link w:val="959"/>
    <w:pPr>
      <w:ind w:left="283"/>
      <w:spacing w:after="120"/>
    </w:pPr>
    <w:rPr>
      <w:rFonts w:eastAsia="Calibri"/>
      <w:sz w:val="16"/>
      <w:szCs w:val="16"/>
    </w:rPr>
  </w:style>
  <w:style w:type="character" w:styleId="959" w:customStyle="1">
    <w:name w:val="Основной текст с отступом 3 Знак"/>
    <w:basedOn w:val="932"/>
    <w:link w:val="958"/>
    <w:rPr>
      <w:rFonts w:eastAsia="Calibri"/>
      <w:sz w:val="16"/>
      <w:szCs w:val="16"/>
    </w:rPr>
  </w:style>
  <w:style w:type="paragraph" w:styleId="960" w:customStyle="1">
    <w:name w:val="ConsNonformat"/>
    <w:link w:val="961"/>
    <w:pPr>
      <w:ind w:right="19772"/>
      <w:widowControl w:val="off"/>
    </w:pPr>
    <w:rPr>
      <w:rFonts w:ascii="Courier New" w:hAnsi="Courier New" w:eastAsia="Calibri"/>
      <w:sz w:val="22"/>
      <w:szCs w:val="22"/>
    </w:rPr>
  </w:style>
  <w:style w:type="character" w:styleId="961" w:customStyle="1">
    <w:name w:val="ConsNonformat Знак"/>
    <w:link w:val="960"/>
    <w:rPr>
      <w:rFonts w:ascii="Courier New" w:hAnsi="Courier New" w:eastAsia="Calibri"/>
      <w:sz w:val="22"/>
      <w:szCs w:val="22"/>
      <w:lang w:bidi="ar-SA"/>
    </w:rPr>
  </w:style>
  <w:style w:type="paragraph" w:styleId="962">
    <w:name w:val="No Spacing"/>
    <w:link w:val="963"/>
    <w:uiPriority w:val="99"/>
    <w:qFormat/>
    <w:rPr>
      <w:rFonts w:ascii="Calibri" w:hAnsi="Calibri" w:eastAsia="Calibri"/>
      <w:sz w:val="22"/>
      <w:szCs w:val="22"/>
      <w:lang w:eastAsia="en-US"/>
    </w:rPr>
  </w:style>
  <w:style w:type="character" w:styleId="963" w:customStyle="1">
    <w:name w:val="Без интервала Знак"/>
    <w:link w:val="962"/>
    <w:rPr>
      <w:rFonts w:ascii="Calibri" w:hAnsi="Calibri" w:eastAsia="Calibri"/>
      <w:sz w:val="22"/>
      <w:szCs w:val="22"/>
      <w:lang w:eastAsia="en-US" w:bidi="ar-SA"/>
    </w:rPr>
  </w:style>
  <w:style w:type="character" w:styleId="964" w:customStyle="1">
    <w:name w:val="Гипертекстовая ссылка"/>
    <w:basedOn w:val="932"/>
    <w:uiPriority w:val="99"/>
    <w:rPr>
      <w:color w:val="106bbe"/>
    </w:rPr>
  </w:style>
  <w:style w:type="paragraph" w:styleId="965">
    <w:name w:val="endnote text"/>
    <w:basedOn w:val="929"/>
    <w:link w:val="966"/>
    <w:rPr>
      <w:sz w:val="20"/>
      <w:szCs w:val="20"/>
    </w:rPr>
  </w:style>
  <w:style w:type="character" w:styleId="966" w:customStyle="1">
    <w:name w:val="Текст концевой сноски Знак"/>
    <w:basedOn w:val="932"/>
    <w:link w:val="965"/>
  </w:style>
  <w:style w:type="character" w:styleId="967">
    <w:name w:val="endnote reference"/>
    <w:basedOn w:val="932"/>
    <w:uiPriority w:val="99"/>
    <w:rPr>
      <w:vertAlign w:val="superscript"/>
    </w:rPr>
  </w:style>
  <w:style w:type="paragraph" w:styleId="968">
    <w:name w:val="footnote text"/>
    <w:basedOn w:val="929"/>
    <w:link w:val="969"/>
    <w:rPr>
      <w:sz w:val="20"/>
      <w:szCs w:val="20"/>
    </w:rPr>
  </w:style>
  <w:style w:type="character" w:styleId="969" w:customStyle="1">
    <w:name w:val="Текст сноски Знак"/>
    <w:basedOn w:val="932"/>
    <w:link w:val="968"/>
  </w:style>
  <w:style w:type="character" w:styleId="970">
    <w:name w:val="footnote reference"/>
    <w:basedOn w:val="932"/>
    <w:rPr>
      <w:vertAlign w:val="superscript"/>
    </w:rPr>
  </w:style>
  <w:style w:type="paragraph" w:styleId="971" w:customStyle="1">
    <w:name w:val="ConsPlusCell"/>
    <w:pPr>
      <w:widowControl w:val="off"/>
    </w:pPr>
    <w:rPr>
      <w:rFonts w:ascii="Courier New" w:hAnsi="Courier New" w:cs="Courier New"/>
    </w:rPr>
  </w:style>
  <w:style w:type="paragraph" w:styleId="972">
    <w:name w:val="Plain Text"/>
    <w:basedOn w:val="929"/>
    <w:link w:val="973"/>
    <w:uiPriority w:val="99"/>
    <w:unhideWhenUsed/>
    <w:rPr>
      <w:rFonts w:ascii="Consolas" w:hAnsi="Consolas" w:eastAsia="Calibri"/>
      <w:sz w:val="21"/>
      <w:szCs w:val="21"/>
    </w:rPr>
  </w:style>
  <w:style w:type="character" w:styleId="973" w:customStyle="1">
    <w:name w:val="Текст Знак"/>
    <w:basedOn w:val="932"/>
    <w:link w:val="972"/>
    <w:uiPriority w:val="99"/>
    <w:rPr>
      <w:rFonts w:ascii="Consolas" w:hAnsi="Consolas" w:eastAsia="Calibri"/>
      <w:sz w:val="21"/>
      <w:szCs w:val="21"/>
    </w:rPr>
  </w:style>
  <w:style w:type="paragraph" w:styleId="974" w:customStyle="1">
    <w:name w:val="Базовый"/>
    <w:pPr>
      <w:spacing w:line="100" w:lineRule="atLeast"/>
      <w:tabs>
        <w:tab w:val="left" w:pos="708" w:leader="none"/>
      </w:tabs>
    </w:pPr>
    <w:rPr>
      <w:sz w:val="24"/>
      <w:szCs w:val="24"/>
    </w:rPr>
  </w:style>
  <w:style w:type="character" w:styleId="975" w:customStyle="1">
    <w:name w:val="Абзац списка Знак"/>
    <w:basedOn w:val="932"/>
    <w:link w:val="947"/>
    <w:uiPriority w:val="34"/>
    <w:rPr>
      <w:sz w:val="24"/>
      <w:szCs w:val="24"/>
    </w:rPr>
  </w:style>
  <w:style w:type="paragraph" w:styleId="976">
    <w:name w:val="Normal (Web)"/>
    <w:basedOn w:val="929"/>
    <w:uiPriority w:val="99"/>
    <w:semiHidden/>
    <w:unhideWhenUsed/>
    <w:pPr>
      <w:spacing w:before="100" w:beforeAutospacing="1" w:after="100" w:afterAutospacing="1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656407-4D19-45E9-8A63-539A5479FF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>x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nikiforova</dc:creator>
  <cp:lastModifiedBy>ydnutrihina</cp:lastModifiedBy>
  <cp:revision>12</cp:revision>
  <dcterms:created xsi:type="dcterms:W3CDTF">2026-01-30T12:40:00Z</dcterms:created>
  <dcterms:modified xsi:type="dcterms:W3CDTF">2026-10-09T10:18:58Z</dcterms:modified>
</cp:coreProperties>
</file>