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spacing w:line="360" w:lineRule="auto"/>
        <w:rPr>
          <w:rFonts w:eastAsia="MS Mincho"/>
          <w:b/>
          <w:bCs/>
          <w:color w:val="000000"/>
          <w:sz w:val="22"/>
          <w:szCs w:val="22"/>
        </w:rPr>
      </w:pPr>
      <w:r>
        <w:rPr>
          <w:rFonts w:eastAsia="MS Mincho"/>
          <w:b/>
          <w:bCs/>
          <w:color w:val="000000"/>
          <w:sz w:val="22"/>
          <w:szCs w:val="22"/>
          <w:highlight w:val="none"/>
        </w:rPr>
        <w:t xml:space="preserve">ПРОЕКТ</w:t>
      </w:r>
      <w:r>
        <w:rPr>
          <w:rFonts w:eastAsia="MS Mincho"/>
          <w:b/>
          <w:bCs/>
          <w:color w:val="000000"/>
          <w:sz w:val="22"/>
          <w:szCs w:val="22"/>
          <w:highlight w:val="none"/>
        </w:rPr>
      </w:r>
    </w:p>
    <w:p>
      <w:pPr>
        <w:pStyle w:val="715"/>
        <w:jc w:val="center"/>
        <w:spacing w:line="360" w:lineRule="auto"/>
        <w:rPr>
          <w:rFonts w:eastAsia="MS Mincho"/>
          <w:b/>
          <w:bCs/>
          <w:color w:val="000000"/>
          <w:sz w:val="22"/>
          <w:szCs w:val="22"/>
          <w:highlight w:val="none"/>
        </w:rPr>
      </w:pPr>
      <w:r/>
      <w:bookmarkStart w:id="0" w:name="_Ref253673894"/>
      <w:r>
        <w:rPr>
          <w:rFonts w:eastAsia="MS Mincho"/>
          <w:b/>
          <w:bCs/>
          <w:color w:val="000000"/>
          <w:sz w:val="22"/>
          <w:szCs w:val="22"/>
        </w:rPr>
        <w:t xml:space="preserve">КОНТРАКТ</w:t>
      </w:r>
      <w:r>
        <w:rPr>
          <w:rFonts w:eastAsia="MS Mincho"/>
          <w:b/>
          <w:bCs/>
          <w:color w:val="000000"/>
          <w:sz w:val="22"/>
          <w:szCs w:val="22"/>
        </w:rPr>
        <w:t xml:space="preserve"> </w:t>
      </w:r>
      <w:bookmarkStart w:id="1" w:name="_Hlk29808233"/>
      <w:r>
        <w:rPr>
          <w:rFonts w:eastAsia="MS Mincho"/>
          <w:b/>
          <w:bCs/>
          <w:color w:val="000000"/>
          <w:sz w:val="22"/>
          <w:szCs w:val="22"/>
        </w:rPr>
        <w:t xml:space="preserve">№</w:t>
      </w:r>
      <w:r>
        <w:rPr>
          <w:rFonts w:eastAsia="MS Mincho"/>
          <w:b/>
          <w:bCs/>
          <w:color w:val="000000"/>
          <w:sz w:val="22"/>
          <w:szCs w:val="22"/>
        </w:rPr>
        <w:t xml:space="preserve"> </w:t>
      </w:r>
      <w:r>
        <w:rPr>
          <w:rFonts w:eastAsia="MS Mincho"/>
          <w:b/>
          <w:bCs/>
          <w:color w:val="000000"/>
          <w:sz w:val="22"/>
          <w:szCs w:val="22"/>
        </w:rPr>
        <w:t xml:space="preserve">ОФ-</w:t>
      </w:r>
      <w:r>
        <w:rPr>
          <w:rFonts w:eastAsia="MS Mincho"/>
          <w:b/>
          <w:bCs/>
          <w:color w:val="000000"/>
          <w:sz w:val="22"/>
          <w:szCs w:val="22"/>
        </w:rPr>
        <w:t xml:space="preserve">15</w:t>
      </w:r>
      <w:r>
        <w:rPr>
          <w:rFonts w:eastAsia="MS Mincho"/>
          <w:b/>
          <w:bCs/>
          <w:color w:val="000000"/>
          <w:sz w:val="22"/>
          <w:szCs w:val="22"/>
        </w:rPr>
        <w:t xml:space="preserve">-26</w:t>
      </w:r>
      <w:r>
        <w:rPr>
          <w:rFonts w:eastAsia="MS Mincho"/>
          <w:b/>
          <w:bCs/>
          <w:color w:val="000000"/>
          <w:sz w:val="22"/>
          <w:szCs w:val="22"/>
        </w:rPr>
        <w:t xml:space="preserve">-___________</w:t>
      </w:r>
      <w:r>
        <w:rPr>
          <w:rFonts w:eastAsia="MS Mincho"/>
          <w:b/>
          <w:bCs/>
          <w:color w:val="000000"/>
          <w:sz w:val="22"/>
          <w:szCs w:val="22"/>
        </w:rPr>
      </w:r>
      <w:r>
        <w:rPr>
          <w:rFonts w:eastAsia="MS Mincho"/>
          <w:b/>
          <w:bCs/>
          <w:color w:val="000000"/>
          <w:sz w:val="22"/>
          <w:szCs w:val="22"/>
          <w:highlight w:val="none"/>
        </w:rPr>
      </w:r>
    </w:p>
    <w:p>
      <w:pPr>
        <w:pStyle w:val="715"/>
        <w:jc w:val="center"/>
        <w:rPr>
          <w:rFonts w:eastAsia="MS Mincho"/>
          <w:b/>
        </w:rPr>
      </w:pPr>
      <w:r/>
      <w:bookmarkEnd w:id="0"/>
      <w:r>
        <w:rPr>
          <w:rFonts w:eastAsia="MS Mincho"/>
          <w:b/>
        </w:rPr>
        <w:t xml:space="preserve">на оказание услуг по коллективному страхованию от несчастных случаев и болезней</w:t>
      </w:r>
      <w:r>
        <w:rPr>
          <w:rFonts w:eastAsia="MS Mincho"/>
          <w:b/>
        </w:rPr>
      </w:r>
      <w:r>
        <w:rPr>
          <w:rFonts w:eastAsia="MS Mincho"/>
          <w:b/>
        </w:rPr>
      </w:r>
    </w:p>
    <w:p>
      <w:pPr>
        <w:pStyle w:val="715"/>
        <w:jc w:val="center"/>
        <w:rPr>
          <w:rFonts w:eastAsia="MS Mincho"/>
          <w:b/>
        </w:rPr>
      </w:pPr>
      <w:r>
        <w:rPr>
          <w:rFonts w:eastAsia="MS Mincho"/>
          <w:b/>
        </w:rPr>
        <w:t xml:space="preserve">членов экипажа научно-экспедиционного судна «Академик </w:t>
      </w:r>
      <w:r>
        <w:rPr>
          <w:rFonts w:eastAsia="MS Mincho"/>
          <w:b/>
        </w:rPr>
        <w:t xml:space="preserve">Федоров</w:t>
      </w:r>
      <w:r>
        <w:rPr>
          <w:rFonts w:eastAsia="MS Mincho"/>
          <w:b/>
        </w:rPr>
        <w:t xml:space="preserve">»</w:t>
      </w:r>
      <w:r>
        <w:rPr>
          <w:rFonts w:eastAsia="MS Mincho"/>
          <w:b/>
        </w:rPr>
      </w:r>
    </w:p>
    <w:p>
      <w:pPr>
        <w:pStyle w:val="864"/>
        <w:ind w:firstLine="0"/>
        <w:rPr>
          <w:rFonts w:cs="Arial"/>
          <w:color w:val="000000"/>
          <w:sz w:val="20"/>
          <w:szCs w:val="20"/>
        </w:rPr>
      </w:pPr>
      <w:r>
        <w:rPr>
          <w:rFonts w:cs="Arial"/>
          <w:color w:val="000000"/>
          <w:sz w:val="20"/>
          <w:szCs w:val="20"/>
        </w:rPr>
      </w:r>
      <w:r>
        <w:rPr>
          <w:rFonts w:cs="Arial"/>
          <w:color w:val="000000"/>
          <w:sz w:val="20"/>
          <w:szCs w:val="20"/>
        </w:rPr>
      </w:r>
    </w:p>
    <w:tbl>
      <w:tblPr>
        <w:tblW w:w="10234" w:type="dxa"/>
        <w:jc w:val="center"/>
        <w:tblInd w:w="364" w:type="dxa"/>
        <w:tblBorders>
          <w:top w:val="none" w:color="000000" w:sz="0" w:space="0"/>
          <w:left w:val="none" w:color="000000" w:sz="0" w:space="0"/>
          <w:bottom w:val="none" w:color="000000" w:sz="0" w:space="0"/>
          <w:right w:val="none" w:color="000000" w:sz="0" w:space="0"/>
          <w:insideH w:val="single" w:color="000000" w:sz="4" w:space="0"/>
          <w:insideV w:val="none" w:color="000000" w:sz="0" w:space="0"/>
        </w:tblBorders>
        <w:tblLayout w:type="autofit"/>
        <w:tblCellMar>
          <w:left w:w="108" w:type="dxa"/>
          <w:top w:w="0" w:type="dxa"/>
          <w:right w:w="108" w:type="dxa"/>
          <w:bottom w:w="0" w:type="dxa"/>
        </w:tblCellMar>
        <w:tblLook w:val="01E0" w:firstRow="1" w:lastRow="1" w:firstColumn="1" w:lastColumn="1" w:noHBand="0" w:noVBand="0"/>
      </w:tblPr>
      <w:tblGrid>
        <w:gridCol w:w="5117"/>
        <w:gridCol w:w="5117"/>
      </w:tblGrid>
      <w:tr>
        <w:tblPrEx>
          <w:tblBorders>
            <w:top w:val="none" w:color="000000" w:sz="0" w:space="0"/>
            <w:left w:val="none" w:color="000000" w:sz="0" w:space="0"/>
            <w:bottom w:val="none" w:color="000000" w:sz="0" w:space="0"/>
            <w:right w:val="none" w:color="000000" w:sz="0" w:space="0"/>
            <w:insideH w:val="single" w:color="000000" w:sz="4" w:space="0"/>
            <w:insideV w:val="single" w:color="000000" w:sz="4" w:space="0"/>
          </w:tblBorders>
        </w:tblPrEx>
        <w:trPr>
          <w:trHeight w:val="247"/>
        </w:trPr>
        <w:tc>
          <w:tcPr>
            <w:tcW w:w="5117" w:type="dxa"/>
            <w:vAlign w:val="top"/>
            <w:textDirection w:val="lrTb"/>
            <w:noWrap w:val="false"/>
          </w:tcPr>
          <w:p>
            <w:pPr>
              <w:pStyle w:val="715"/>
              <w:ind w:firstLine="20"/>
              <w:widowControl w:val="off"/>
              <w:rPr>
                <w:bCs/>
                <w:color w:val="000000"/>
                <w:sz w:val="20"/>
                <w:szCs w:val="20"/>
              </w:rPr>
            </w:pPr>
            <w:r>
              <w:rPr>
                <w:bCs/>
                <w:color w:val="000000"/>
                <w:sz w:val="20"/>
                <w:szCs w:val="20"/>
              </w:rPr>
              <w:t xml:space="preserve">Санкт-Петербург</w:t>
            </w:r>
            <w:r>
              <w:rPr>
                <w:bCs/>
                <w:color w:val="000000"/>
                <w:sz w:val="20"/>
                <w:szCs w:val="20"/>
              </w:rPr>
            </w:r>
          </w:p>
        </w:tc>
        <w:tc>
          <w:tcPr>
            <w:tcW w:w="5117" w:type="dxa"/>
            <w:vAlign w:val="top"/>
            <w:textDirection w:val="lrTb"/>
            <w:noWrap w:val="false"/>
          </w:tcPr>
          <w:p>
            <w:pPr>
              <w:pStyle w:val="715"/>
              <w:jc w:val="right"/>
              <w:widowControl w:val="off"/>
              <w:rPr>
                <w:bCs/>
                <w:color w:val="000000"/>
                <w:sz w:val="20"/>
                <w:szCs w:val="20"/>
              </w:rPr>
            </w:pPr>
            <w:r>
              <w:rPr>
                <w:bCs/>
                <w:color w:val="000000"/>
                <w:sz w:val="20"/>
                <w:szCs w:val="20"/>
              </w:rPr>
              <w:t xml:space="preserve">«</w:t>
            </w:r>
            <w:r>
              <w:rPr>
                <w:bCs/>
                <w:color w:val="000000"/>
                <w:sz w:val="20"/>
                <w:szCs w:val="20"/>
              </w:rPr>
              <w:t xml:space="preserve">       </w:t>
            </w:r>
            <w:r>
              <w:rPr>
                <w:bCs/>
                <w:color w:val="000000"/>
                <w:sz w:val="20"/>
                <w:szCs w:val="20"/>
              </w:rPr>
              <w:t xml:space="preserve">»</w:t>
            </w:r>
            <w:r>
              <w:rPr>
                <w:bCs/>
                <w:color w:val="000000"/>
                <w:sz w:val="20"/>
                <w:szCs w:val="20"/>
              </w:rPr>
              <w:t xml:space="preserve"> </w:t>
            </w:r>
            <w:r>
              <w:rPr>
                <w:bCs/>
                <w:color w:val="000000"/>
                <w:sz w:val="20"/>
                <w:szCs w:val="20"/>
              </w:rPr>
              <w:t xml:space="preserve"> </w:t>
            </w:r>
            <w:r>
              <w:rPr>
                <w:bCs/>
                <w:color w:val="000000"/>
                <w:sz w:val="20"/>
                <w:szCs w:val="20"/>
              </w:rPr>
              <w:t xml:space="preserve">     </w:t>
            </w:r>
            <w:r>
              <w:rPr>
                <w:bCs/>
                <w:color w:val="000000"/>
                <w:sz w:val="20"/>
                <w:szCs w:val="20"/>
              </w:rPr>
              <w:t xml:space="preserve">           </w:t>
            </w:r>
            <w:r>
              <w:rPr>
                <w:bCs/>
                <w:color w:val="000000"/>
                <w:sz w:val="20"/>
                <w:szCs w:val="20"/>
              </w:rPr>
              <w:t xml:space="preserve"> </w:t>
            </w:r>
            <w:r>
              <w:rPr>
                <w:bCs/>
                <w:color w:val="000000"/>
                <w:sz w:val="20"/>
                <w:szCs w:val="20"/>
              </w:rPr>
              <w:t xml:space="preserve">20</w:t>
            </w:r>
            <w:r>
              <w:rPr>
                <w:bCs/>
                <w:color w:val="000000"/>
                <w:sz w:val="20"/>
                <w:szCs w:val="20"/>
              </w:rPr>
              <w:t xml:space="preserve">2</w:t>
            </w:r>
            <w:r>
              <w:rPr>
                <w:bCs/>
                <w:color w:val="000000"/>
                <w:sz w:val="20"/>
                <w:szCs w:val="20"/>
              </w:rPr>
              <w:t xml:space="preserve">6</w:t>
            </w:r>
            <w:r>
              <w:rPr>
                <w:bCs/>
                <w:color w:val="000000"/>
                <w:sz w:val="20"/>
                <w:szCs w:val="20"/>
              </w:rPr>
              <w:t xml:space="preserve"> г.</w:t>
            </w:r>
            <w:r>
              <w:rPr>
                <w:bCs/>
                <w:color w:val="000000"/>
                <w:sz w:val="20"/>
                <w:szCs w:val="20"/>
              </w:rPr>
            </w:r>
          </w:p>
        </w:tc>
      </w:tr>
    </w:tbl>
    <w:p>
      <w:pPr>
        <w:pStyle w:val="715"/>
        <w:ind w:firstLine="0"/>
        <w:widowControl w:val="off"/>
        <w:rPr>
          <w:bCs/>
          <w:color w:val="000000"/>
          <w:sz w:val="20"/>
          <w:szCs w:val="20"/>
        </w:rPr>
      </w:pPr>
      <w:r>
        <w:rPr>
          <w:bCs/>
          <w:color w:val="000000"/>
          <w:sz w:val="20"/>
          <w:szCs w:val="20"/>
        </w:rPr>
      </w:r>
      <w:r>
        <w:rPr>
          <w:bCs/>
          <w:color w:val="000000"/>
          <w:sz w:val="20"/>
          <w:szCs w:val="20"/>
        </w:rPr>
      </w:r>
    </w:p>
    <w:p>
      <w:pPr>
        <w:pStyle w:val="715"/>
        <w:ind w:firstLine="539"/>
        <w:shd w:val="clear" w:color="auto" w:fill="ffffff"/>
        <w:rPr>
          <w:sz w:val="20"/>
          <w:szCs w:val="20"/>
        </w:rPr>
      </w:pPr>
      <w:r>
        <w:rPr>
          <w:sz w:val="20"/>
          <w:szCs w:val="20"/>
        </w:rPr>
        <w:t xml:space="preserve">Федеральное государственное бюджетное учреждение «Арктический и антарктический научно-исследовательский институт» (ФГБУ «ААНИИ»), именуемое в дальнейшем «Страхователь», </w:t>
      </w:r>
      <w:r>
        <w:rPr>
          <w:sz w:val="20"/>
          <w:szCs w:val="20"/>
        </w:rPr>
        <w:t xml:space="preserve">в лице </w:t>
      </w:r>
      <w:r>
        <w:rPr>
          <w:sz w:val="20"/>
          <w:szCs w:val="20"/>
        </w:rPr>
        <w:t xml:space="preserve">_________________________________</w:t>
      </w:r>
      <w:r>
        <w:rPr>
          <w:sz w:val="20"/>
          <w:szCs w:val="20"/>
        </w:rPr>
        <w:t xml:space="preserve">, действующего на основании </w:t>
      </w:r>
      <w:r>
        <w:rPr>
          <w:sz w:val="20"/>
          <w:szCs w:val="20"/>
        </w:rPr>
        <w:t xml:space="preserve">___________________</w:t>
      </w:r>
      <w:r>
        <w:rPr>
          <w:sz w:val="20"/>
          <w:szCs w:val="20"/>
        </w:rPr>
        <w:t xml:space="preserve">,</w:t>
      </w:r>
      <w:r>
        <w:rPr>
          <w:sz w:val="20"/>
          <w:szCs w:val="20"/>
        </w:rPr>
        <w:t xml:space="preserve"> с одной стороны, и</w:t>
      </w:r>
      <w:r>
        <w:t xml:space="preserve"> </w:t>
      </w:r>
      <w:r>
        <w:rPr>
          <w:sz w:val="20"/>
          <w:szCs w:val="20"/>
        </w:rPr>
        <w:t xml:space="preserve">_____________________</w:t>
      </w:r>
      <w:r>
        <w:rPr>
          <w:sz w:val="20"/>
          <w:szCs w:val="20"/>
        </w:rPr>
        <w:t xml:space="preserve">, в дальнейшем именуемое Страховщик, </w:t>
      </w:r>
      <w:r>
        <w:rPr>
          <w:sz w:val="20"/>
          <w:szCs w:val="20"/>
        </w:rPr>
        <w:t xml:space="preserve">в </w:t>
      </w:r>
      <w:r>
        <w:rPr>
          <w:sz w:val="20"/>
          <w:szCs w:val="20"/>
        </w:rPr>
        <w:t xml:space="preserve">лице </w:t>
      </w:r>
      <w:r>
        <w:rPr>
          <w:sz w:val="20"/>
          <w:szCs w:val="20"/>
        </w:rPr>
        <w:t xml:space="preserve">___________________</w:t>
      </w:r>
      <w:r>
        <w:rPr>
          <w:sz w:val="20"/>
          <w:szCs w:val="20"/>
        </w:rPr>
        <w:t xml:space="preserve">, действующего на основании</w:t>
      </w:r>
      <w:r>
        <w:rPr>
          <w:sz w:val="20"/>
          <w:szCs w:val="20"/>
        </w:rPr>
        <w:t xml:space="preserve"> __________________</w:t>
      </w:r>
      <w:r>
        <w:rPr>
          <w:sz w:val="20"/>
          <w:szCs w:val="20"/>
        </w:rPr>
        <w:t xml:space="preserve">, осуществляющее</w:t>
      </w:r>
      <w:r>
        <w:rPr>
          <w:sz w:val="20"/>
          <w:szCs w:val="20"/>
        </w:rPr>
        <w:t xml:space="preserve"> страховую деятельность в соответствии с лицензией на осуществление страхования </w:t>
      </w:r>
      <w:r>
        <w:rPr>
          <w:sz w:val="20"/>
          <w:szCs w:val="20"/>
        </w:rPr>
        <w:t xml:space="preserve">________________</w:t>
      </w:r>
      <w:r>
        <w:rPr>
          <w:sz w:val="20"/>
          <w:szCs w:val="20"/>
        </w:rPr>
        <w:t xml:space="preserve">, с другой стороны, вместе именуемые «Стороны» и каждое в отде</w:t>
      </w:r>
      <w:r>
        <w:rPr>
          <w:sz w:val="20"/>
          <w:szCs w:val="20"/>
        </w:rPr>
        <w:t xml:space="preserve">льности</w:t>
      </w:r>
      <w:r>
        <w:rPr>
          <w:sz w:val="20"/>
          <w:szCs w:val="20"/>
        </w:rPr>
        <w:t xml:space="preserve"> «Сторона</w:t>
      </w:r>
      <w:r>
        <w:rPr>
          <w:sz w:val="20"/>
          <w:szCs w:val="20"/>
        </w:rPr>
        <w:t xml:space="preserve">», с соблюдением требований Гражданского кодекса Российской Федерации, </w:t>
      </w:r>
      <w:r>
        <w:rPr>
          <w:sz w:val="20"/>
          <w:szCs w:val="20"/>
        </w:rPr>
        <w:t xml:space="preserve">п.</w:t>
      </w:r>
      <w:r>
        <w:rPr>
          <w:sz w:val="20"/>
          <w:szCs w:val="20"/>
        </w:rPr>
        <w:t xml:space="preserve">5</w:t>
      </w:r>
      <w:r>
        <w:rPr>
          <w:sz w:val="20"/>
          <w:szCs w:val="20"/>
        </w:rPr>
        <w:t xml:space="preserve"> ч.1 ст.</w:t>
      </w:r>
      <w:r>
        <w:rPr>
          <w:sz w:val="20"/>
          <w:szCs w:val="20"/>
        </w:rPr>
        <w:t xml:space="preserve">93 Федерального закона от 05.04.2013 г. № 44-ФЗ «О контрактной системе в сфере закупок товаров, работ, услуг для обеспечения государственных и муниципальных нужд» и иного законодательства РФ, заключили настоящий Контракт (далее – Контракт) о нижеследующем:</w:t>
      </w:r>
      <w:r>
        <w:rPr>
          <w:sz w:val="20"/>
          <w:szCs w:val="20"/>
        </w:rPr>
      </w:r>
      <w:r>
        <w:rPr>
          <w:sz w:val="20"/>
          <w:szCs w:val="20"/>
        </w:rPr>
      </w:r>
    </w:p>
    <w:p>
      <w:pPr>
        <w:pStyle w:val="715"/>
        <w:ind w:firstLine="284"/>
        <w:spacing w:line="276" w:lineRule="auto"/>
        <w:shd w:val="clear" w:color="auto" w:fill="ffffff"/>
        <w:rPr>
          <w:sz w:val="20"/>
          <w:szCs w:val="20"/>
        </w:rPr>
      </w:pPr>
      <w:r>
        <w:rPr>
          <w:sz w:val="20"/>
          <w:szCs w:val="20"/>
        </w:rPr>
      </w:r>
      <w:r>
        <w:rPr>
          <w:sz w:val="20"/>
          <w:szCs w:val="20"/>
        </w:rPr>
      </w:r>
    </w:p>
    <w:p>
      <w:pPr>
        <w:pStyle w:val="942"/>
        <w:keepNext/>
        <w:spacing w:before="0" w:after="0"/>
        <w:rPr>
          <w:sz w:val="20"/>
          <w:lang w:val="ru-RU"/>
        </w:rPr>
      </w:pPr>
      <w:r>
        <w:rPr>
          <w:sz w:val="20"/>
          <w:lang w:val="ru-RU"/>
        </w:rPr>
      </w:r>
      <w:r>
        <w:rPr>
          <w:sz w:val="20"/>
          <w:lang w:val="ru-RU"/>
        </w:rPr>
      </w:r>
    </w:p>
    <w:p>
      <w:pPr>
        <w:pStyle w:val="906"/>
        <w:ind w:left="0" w:firstLine="0"/>
        <w:spacing w:before="0"/>
        <w:rPr>
          <w:color w:val="000000"/>
          <w:sz w:val="20"/>
          <w:szCs w:val="20"/>
        </w:rPr>
      </w:pPr>
      <w:r>
        <w:rPr>
          <w:color w:val="000000"/>
          <w:sz w:val="20"/>
          <w:szCs w:val="20"/>
        </w:rPr>
        <w:t xml:space="preserve">Предмет </w:t>
      </w:r>
      <w:r>
        <w:rPr>
          <w:color w:val="000000"/>
          <w:sz w:val="20"/>
          <w:szCs w:val="20"/>
        </w:rPr>
        <w:t xml:space="preserve">КОНТРАКТ</w:t>
      </w:r>
      <w:r>
        <w:rPr>
          <w:color w:val="000000"/>
          <w:sz w:val="20"/>
          <w:szCs w:val="20"/>
        </w:rPr>
        <w:t xml:space="preserve">А</w:t>
      </w:r>
      <w:r>
        <w:rPr>
          <w:color w:val="000000"/>
          <w:sz w:val="20"/>
          <w:szCs w:val="20"/>
        </w:rPr>
      </w:r>
      <w:r>
        <w:rPr>
          <w:color w:val="000000"/>
          <w:sz w:val="20"/>
          <w:szCs w:val="20"/>
        </w:rPr>
      </w:r>
    </w:p>
    <w:p>
      <w:pPr>
        <w:pStyle w:val="905"/>
        <w:ind w:left="0" w:firstLine="567"/>
        <w:rPr>
          <w:color w:val="000000"/>
          <w:sz w:val="20"/>
          <w:szCs w:val="20"/>
        </w:rPr>
      </w:pPr>
      <w:r>
        <w:rPr>
          <w:color w:val="000000"/>
          <w:sz w:val="20"/>
          <w:szCs w:val="20"/>
        </w:rPr>
        <w:t xml:space="preserve">По настоящему </w:t>
      </w:r>
      <w:r>
        <w:rPr>
          <w:color w:val="000000"/>
          <w:sz w:val="20"/>
          <w:szCs w:val="20"/>
        </w:rPr>
        <w:t xml:space="preserve">Контракт</w:t>
      </w:r>
      <w:r>
        <w:rPr>
          <w:color w:val="000000"/>
          <w:sz w:val="20"/>
          <w:szCs w:val="20"/>
        </w:rPr>
        <w:t xml:space="preserve">у Страховщик обязуется за обусловленную </w:t>
      </w:r>
      <w:r>
        <w:rPr>
          <w:color w:val="000000"/>
          <w:sz w:val="20"/>
          <w:szCs w:val="20"/>
        </w:rPr>
        <w:t xml:space="preserve">Контракт</w:t>
      </w:r>
      <w:r>
        <w:rPr>
          <w:color w:val="000000"/>
          <w:sz w:val="20"/>
          <w:szCs w:val="20"/>
        </w:rPr>
        <w:t xml:space="preserve">о</w:t>
      </w:r>
      <w:r>
        <w:rPr>
          <w:color w:val="000000"/>
          <w:sz w:val="20"/>
          <w:szCs w:val="20"/>
        </w:rPr>
        <w:t xml:space="preserve">м плату (страховую премию) при наступлении в жизни Застрахованного лица предусмотренного в </w:t>
      </w:r>
      <w:r>
        <w:rPr>
          <w:color w:val="000000"/>
          <w:sz w:val="20"/>
          <w:szCs w:val="20"/>
        </w:rPr>
        <w:t xml:space="preserve">Контракт</w:t>
      </w:r>
      <w:r>
        <w:rPr>
          <w:color w:val="000000"/>
          <w:sz w:val="20"/>
          <w:szCs w:val="20"/>
        </w:rPr>
        <w:t xml:space="preserve">е события (страхового случая) </w:t>
      </w:r>
      <w:r>
        <w:rPr>
          <w:color w:val="000000"/>
          <w:sz w:val="20"/>
          <w:szCs w:val="20"/>
        </w:rPr>
        <w:t xml:space="preserve">осуществить страховую выплату </w:t>
      </w:r>
      <w:r>
        <w:rPr>
          <w:color w:val="000000"/>
          <w:sz w:val="20"/>
          <w:szCs w:val="20"/>
        </w:rPr>
        <w:t xml:space="preserve">лицу, в пользу которого заключе</w:t>
      </w:r>
      <w:r>
        <w:rPr>
          <w:color w:val="000000"/>
          <w:sz w:val="20"/>
          <w:szCs w:val="20"/>
        </w:rPr>
        <w:t xml:space="preserve">н </w:t>
      </w:r>
      <w:r>
        <w:rPr>
          <w:color w:val="000000"/>
          <w:sz w:val="20"/>
          <w:szCs w:val="20"/>
        </w:rPr>
        <w:t xml:space="preserve">Контракт</w:t>
      </w:r>
      <w:r>
        <w:rPr>
          <w:color w:val="000000"/>
          <w:sz w:val="20"/>
          <w:szCs w:val="20"/>
        </w:rPr>
        <w:t xml:space="preserve"> </w:t>
      </w:r>
      <w:r>
        <w:rPr>
          <w:color w:val="000000"/>
          <w:sz w:val="20"/>
          <w:szCs w:val="20"/>
        </w:rPr>
        <w:t xml:space="preserve">(Выгодопр</w:t>
      </w:r>
      <w:r>
        <w:rPr>
          <w:color w:val="000000"/>
          <w:sz w:val="20"/>
          <w:szCs w:val="20"/>
        </w:rPr>
        <w:t xml:space="preserve">и</w:t>
      </w:r>
      <w:r>
        <w:rPr>
          <w:color w:val="000000"/>
          <w:sz w:val="20"/>
          <w:szCs w:val="20"/>
        </w:rPr>
        <w:t xml:space="preserve">обретателю).</w:t>
      </w:r>
      <w:r>
        <w:rPr>
          <w:color w:val="000000"/>
          <w:sz w:val="20"/>
          <w:szCs w:val="20"/>
        </w:rPr>
      </w:r>
    </w:p>
    <w:p>
      <w:pPr>
        <w:pStyle w:val="905"/>
        <w:ind w:left="0" w:firstLine="567"/>
        <w:rPr>
          <w:color w:val="000000"/>
          <w:sz w:val="20"/>
          <w:szCs w:val="20"/>
        </w:rPr>
      </w:pPr>
      <w:r>
        <w:rPr>
          <w:color w:val="000000"/>
          <w:sz w:val="20"/>
          <w:szCs w:val="20"/>
        </w:rPr>
        <w:t xml:space="preserve">Для целей настоящего </w:t>
      </w:r>
      <w:r>
        <w:rPr>
          <w:color w:val="000000"/>
          <w:sz w:val="20"/>
          <w:szCs w:val="20"/>
        </w:rPr>
        <w:t xml:space="preserve">Контракт</w:t>
      </w:r>
      <w:r>
        <w:rPr>
          <w:color w:val="000000"/>
          <w:sz w:val="20"/>
          <w:szCs w:val="20"/>
        </w:rPr>
        <w:t xml:space="preserve">а </w:t>
      </w:r>
      <w:r>
        <w:rPr>
          <w:color w:val="000000"/>
          <w:sz w:val="20"/>
          <w:szCs w:val="20"/>
        </w:rPr>
        <w:t xml:space="preserve">используются следующие определения:</w:t>
      </w:r>
      <w:r>
        <w:rPr>
          <w:color w:val="000000"/>
          <w:sz w:val="20"/>
          <w:szCs w:val="20"/>
        </w:rPr>
      </w:r>
    </w:p>
    <w:p>
      <w:pPr>
        <w:pStyle w:val="905"/>
        <w:ind w:left="0" w:firstLine="567"/>
        <w:rPr>
          <w:color w:val="000000"/>
          <w:sz w:val="20"/>
          <w:szCs w:val="20"/>
        </w:rPr>
      </w:pPr>
      <w:r>
        <w:rPr>
          <w:b/>
          <w:color w:val="000000"/>
          <w:sz w:val="20"/>
          <w:szCs w:val="20"/>
        </w:rPr>
        <w:t xml:space="preserve">Несчастный случай</w:t>
      </w:r>
      <w:r>
        <w:rPr>
          <w:color w:val="000000"/>
          <w:sz w:val="20"/>
          <w:szCs w:val="20"/>
        </w:rPr>
        <w:t xml:space="preserve"> — внезап</w:t>
      </w:r>
      <w:r>
        <w:rPr>
          <w:color w:val="000000"/>
          <w:sz w:val="20"/>
          <w:szCs w:val="20"/>
        </w:rPr>
        <w:t xml:space="preserve">ное, непредвиденное, внешнее по отношению к Застрахованному лицу событие, которое произошло помимо воли Застрахованного и привело к временной или стойкой утрате трудоспособности/расстройству здоровья, смерти Застрахованного. К несчастным случаям относятся:</w:t>
      </w:r>
      <w:r>
        <w:rPr>
          <w:color w:val="000000"/>
          <w:sz w:val="20"/>
          <w:szCs w:val="20"/>
        </w:rPr>
      </w:r>
    </w:p>
    <w:p>
      <w:pPr>
        <w:pStyle w:val="907"/>
        <w:ind w:left="0" w:firstLine="567"/>
        <w:tabs>
          <w:tab w:val="clear" w:pos="340" w:leader="none"/>
          <w:tab w:val="left" w:pos="851" w:leader="none"/>
        </w:tabs>
        <w:rPr>
          <w:bCs/>
          <w:color w:val="000000"/>
          <w:sz w:val="20"/>
          <w:szCs w:val="20"/>
        </w:rPr>
      </w:pPr>
      <w:r>
        <w:rPr>
          <w:bCs/>
          <w:color w:val="000000"/>
          <w:sz w:val="20"/>
          <w:szCs w:val="20"/>
        </w:rPr>
        <w:t xml:space="preserve">травматическое повреждение — нарушение анатомической целостности или функционального состояния ткани, части тела, органа, обусловленное возд</w:t>
      </w:r>
      <w:r>
        <w:rPr>
          <w:bCs/>
          <w:color w:val="000000"/>
          <w:sz w:val="20"/>
          <w:szCs w:val="20"/>
        </w:rPr>
        <w:t xml:space="preserve">ействием различных внешних факторов (в т. ч. противоправных действий третьих лиц): физических, механических, термических, химических, электрических, стихийных явлений природы и др.; столбняк, бешенство, развившиеся в результате травматического повреждения;</w:t>
      </w:r>
      <w:r>
        <w:rPr>
          <w:bCs/>
          <w:color w:val="000000"/>
          <w:sz w:val="20"/>
          <w:szCs w:val="20"/>
        </w:rPr>
      </w:r>
    </w:p>
    <w:p>
      <w:pPr>
        <w:pStyle w:val="907"/>
        <w:ind w:left="0" w:firstLine="567"/>
        <w:tabs>
          <w:tab w:val="clear" w:pos="340" w:leader="none"/>
          <w:tab w:val="left" w:pos="851" w:leader="none"/>
        </w:tabs>
        <w:rPr>
          <w:bCs/>
          <w:color w:val="000000"/>
          <w:sz w:val="20"/>
          <w:szCs w:val="20"/>
        </w:rPr>
      </w:pPr>
      <w:r>
        <w:rPr>
          <w:bCs/>
          <w:color w:val="000000"/>
          <w:sz w:val="20"/>
          <w:szCs w:val="20"/>
        </w:rPr>
        <w:t xml:space="preserve">слу</w:t>
      </w:r>
      <w:r>
        <w:rPr>
          <w:bCs/>
          <w:color w:val="000000"/>
          <w:sz w:val="20"/>
          <w:szCs w:val="20"/>
        </w:rPr>
        <w:t xml:space="preserve">чайное острое отравление в результате поступления в организм человека из внешней среды химических веществ различного происхождения, лекарств, медицинских препаратов, ядовитых растений, ядовитых грибов, ядовитых газов, недоброкачественных пищевых продуктов;</w:t>
      </w:r>
      <w:r>
        <w:rPr>
          <w:bCs/>
          <w:color w:val="000000"/>
          <w:sz w:val="20"/>
          <w:szCs w:val="20"/>
        </w:rPr>
      </w:r>
    </w:p>
    <w:p>
      <w:pPr>
        <w:pStyle w:val="907"/>
        <w:ind w:left="0" w:firstLine="567"/>
        <w:tabs>
          <w:tab w:val="clear" w:pos="340" w:leader="none"/>
          <w:tab w:val="left" w:pos="851" w:leader="none"/>
        </w:tabs>
        <w:rPr>
          <w:bCs/>
          <w:color w:val="000000"/>
          <w:sz w:val="20"/>
          <w:szCs w:val="20"/>
        </w:rPr>
      </w:pPr>
      <w:r>
        <w:rPr>
          <w:bCs/>
          <w:color w:val="000000"/>
          <w:sz w:val="20"/>
          <w:szCs w:val="20"/>
        </w:rPr>
        <w:t xml:space="preserve">заболевание клещевым энцефалитом, болезнью Лайма (клещевой боррелиоз) или послепрививочным энцефалитом (энцефаломиелитом), а также укусы змей, ядовитых животных и ядовитых насекомых.</w:t>
      </w:r>
      <w:r>
        <w:rPr>
          <w:bCs/>
          <w:color w:val="000000"/>
          <w:sz w:val="20"/>
          <w:szCs w:val="20"/>
        </w:rPr>
      </w:r>
    </w:p>
    <w:p>
      <w:pPr>
        <w:pStyle w:val="715"/>
        <w:ind w:firstLine="567"/>
        <w:rPr>
          <w:bCs/>
          <w:color w:val="000000"/>
          <w:sz w:val="20"/>
          <w:szCs w:val="20"/>
        </w:rPr>
      </w:pPr>
      <w:r>
        <w:rPr>
          <w:bCs/>
          <w:color w:val="000000"/>
          <w:sz w:val="20"/>
          <w:szCs w:val="20"/>
        </w:rPr>
        <w:t xml:space="preserve">Не относятся к несчастным случаям привычный или врожденный вывих, патологический перелом; остро</w:t>
      </w:r>
      <w:r>
        <w:rPr>
          <w:bCs/>
          <w:color w:val="000000"/>
          <w:sz w:val="20"/>
          <w:szCs w:val="20"/>
        </w:rPr>
        <w:t xml:space="preserve">-</w:t>
      </w:r>
      <w:r>
        <w:rPr>
          <w:bCs/>
          <w:color w:val="000000"/>
          <w:sz w:val="20"/>
          <w:szCs w:val="20"/>
        </w:rPr>
        <w:t xml:space="preserve">возникшие или хронические заболевания и их осложнения (как ранее диагностированные, так и впервые выявленные), спровоцированные воздействием внешних факторов, в частности </w:t>
      </w:r>
      <w:r>
        <w:rPr>
          <w:bCs/>
          <w:color w:val="000000"/>
          <w:sz w:val="20"/>
          <w:szCs w:val="20"/>
        </w:rPr>
        <w:t xml:space="preserve">инфаркт миокарда,</w:t>
      </w:r>
      <w:r>
        <w:rPr>
          <w:bCs/>
          <w:color w:val="000000"/>
          <w:sz w:val="20"/>
          <w:szCs w:val="20"/>
        </w:rPr>
        <w:t xml:space="preserve"> инсульт, аневризмы, опухоли, функциональная недостаточность органов, врожденные аномалии органов; инфекционные заболевания (кроме клещевого или послепрививочного </w:t>
      </w:r>
      <w:r>
        <w:rPr>
          <w:bCs/>
          <w:color w:val="000000"/>
          <w:sz w:val="20"/>
          <w:szCs w:val="20"/>
        </w:rPr>
        <w:t xml:space="preserve">энцефалита, энцефаломиелита, болезни Лайма), пищевые токсикоинфекции (пищевые отравления микробной этиологии — острые кишечные инфекционные заболевания, вызываемые группой сальмонелл, кишечной, паракишечной, дизентерийной палочками, стафилококками и др.). </w:t>
      </w:r>
      <w:r>
        <w:rPr>
          <w:bCs/>
          <w:color w:val="000000"/>
          <w:sz w:val="20"/>
          <w:szCs w:val="20"/>
        </w:rPr>
      </w:r>
    </w:p>
    <w:p>
      <w:pPr>
        <w:pStyle w:val="905"/>
        <w:ind w:left="0" w:firstLine="567"/>
        <w:rPr>
          <w:color w:val="000000"/>
          <w:sz w:val="20"/>
          <w:szCs w:val="20"/>
        </w:rPr>
      </w:pPr>
      <w:r>
        <w:rPr>
          <w:color w:val="000000"/>
          <w:sz w:val="20"/>
          <w:szCs w:val="20"/>
        </w:rPr>
        <w:t xml:space="preserve">Территория страхования: </w:t>
      </w:r>
      <w:r>
        <w:rPr>
          <w:color w:val="000000"/>
          <w:sz w:val="20"/>
          <w:szCs w:val="20"/>
        </w:rPr>
        <w:t xml:space="preserve">территорией страхования является весь мир, кроме территорий, на которых объявлено чрезвычайное положение или проводятся боевые действия (в том числе осуществляются операции против террористов, различных вооружённых формирований).</w:t>
      </w:r>
      <w:r>
        <w:rPr>
          <w:color w:val="000000"/>
          <w:sz w:val="20"/>
          <w:szCs w:val="20"/>
        </w:rPr>
      </w:r>
      <w:r>
        <w:rPr>
          <w:color w:val="000000"/>
          <w:sz w:val="20"/>
          <w:szCs w:val="20"/>
        </w:rPr>
      </w:r>
    </w:p>
    <w:p>
      <w:pPr>
        <w:pStyle w:val="905"/>
        <w:ind w:left="0" w:firstLine="567"/>
        <w:rPr>
          <w:color w:val="000000"/>
          <w:sz w:val="20"/>
          <w:szCs w:val="20"/>
        </w:rPr>
      </w:pPr>
      <w:r>
        <w:rPr>
          <w:color w:val="000000"/>
          <w:sz w:val="20"/>
          <w:szCs w:val="20"/>
        </w:rPr>
        <w:t xml:space="preserve">Правила страхования, действующие у Страховщика в отношении страхуемых рисков, для Страхователя не обязательны</w:t>
      </w:r>
      <w:r>
        <w:rPr>
          <w:color w:val="1f497d"/>
          <w:sz w:val="20"/>
          <w:szCs w:val="20"/>
        </w:rPr>
        <w:t xml:space="preserve">.</w:t>
      </w:r>
      <w:r>
        <w:rPr>
          <w:color w:val="1f497d"/>
          <w:sz w:val="20"/>
          <w:szCs w:val="20"/>
        </w:rPr>
        <w:t xml:space="preserve"> </w:t>
      </w:r>
      <w:r>
        <w:rPr>
          <w:color w:val="000000"/>
          <w:sz w:val="20"/>
          <w:szCs w:val="20"/>
        </w:rPr>
        <w:t xml:space="preserve">В то же время Страхователь (Выгодоприобретатель) вправе ссылаться в защиту своих интересов на правила страхования соответствующего вида, действующие у Страховщика. </w:t>
      </w:r>
      <w:r>
        <w:rPr>
          <w:color w:val="000000"/>
          <w:sz w:val="20"/>
          <w:szCs w:val="20"/>
        </w:rPr>
      </w:r>
      <w:r>
        <w:rPr>
          <w:color w:val="000000"/>
          <w:sz w:val="20"/>
          <w:szCs w:val="20"/>
        </w:rPr>
      </w:r>
    </w:p>
    <w:p>
      <w:pPr>
        <w:pStyle w:val="905"/>
        <w:ind w:left="0" w:firstLine="567"/>
        <w:rPr>
          <w:color w:val="000000"/>
          <w:sz w:val="20"/>
          <w:szCs w:val="20"/>
        </w:rPr>
      </w:pPr>
      <w:r>
        <w:rPr>
          <w:color w:val="000000"/>
          <w:sz w:val="20"/>
          <w:szCs w:val="20"/>
        </w:rPr>
        <w:t xml:space="preserve"> Идентификационный код закупки:</w:t>
      </w:r>
      <w:r>
        <w:t xml:space="preserve"> </w:t>
      </w:r>
      <w:r>
        <w:rPr>
          <w:lang w:eastAsia="ru-RU"/>
        </w:rPr>
        <w:t xml:space="preserve">261780102805778010100102260000000244</w:t>
      </w:r>
      <w:r>
        <w:rPr>
          <w:color w:val="000000"/>
          <w:sz w:val="20"/>
          <w:szCs w:val="20"/>
        </w:rPr>
      </w:r>
      <w:r>
        <w:rPr>
          <w:color w:val="000000"/>
          <w:sz w:val="20"/>
          <w:szCs w:val="20"/>
        </w:rPr>
      </w:r>
    </w:p>
    <w:p>
      <w:pPr>
        <w:pStyle w:val="905"/>
        <w:numPr>
          <w:ilvl w:val="0"/>
          <w:numId w:val="0"/>
        </w:numPr>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bookmarkStart w:id="2" w:name="_Toc264885880"/>
      <w:r>
        <w:rPr>
          <w:color w:val="000000"/>
          <w:sz w:val="20"/>
          <w:szCs w:val="20"/>
        </w:rPr>
        <w:t xml:space="preserve"> ЗАСТРАХОВАННОЕ ЛИЦО. ВЫГОДОПРИОБРЕТАТЕЛЬ</w:t>
      </w:r>
      <w:bookmarkEnd w:id="1"/>
      <w:r>
        <w:rPr>
          <w:color w:val="000000"/>
          <w:sz w:val="20"/>
          <w:szCs w:val="20"/>
        </w:rPr>
        <w:t xml:space="preserve"> </w:t>
      </w:r>
      <w:r>
        <w:rPr>
          <w:color w:val="000000"/>
          <w:sz w:val="20"/>
          <w:szCs w:val="20"/>
        </w:rPr>
      </w:r>
      <w:r>
        <w:rPr>
          <w:color w:val="000000"/>
          <w:sz w:val="20"/>
          <w:szCs w:val="20"/>
        </w:rPr>
      </w:r>
    </w:p>
    <w:p>
      <w:pPr>
        <w:pStyle w:val="905"/>
        <w:ind w:left="0" w:firstLine="567"/>
        <w:rPr>
          <w:rStyle w:val="831"/>
          <w:b w:val="0"/>
          <w:bCs w:val="0"/>
          <w:color w:val="000000"/>
          <w:sz w:val="20"/>
          <w:szCs w:val="20"/>
        </w:rPr>
      </w:pPr>
      <w:r>
        <w:rPr>
          <w:rStyle w:val="831"/>
          <w:bCs w:val="0"/>
          <w:color w:val="000000"/>
          <w:sz w:val="20"/>
          <w:szCs w:val="20"/>
        </w:rPr>
        <w:t xml:space="preserve">Застрахованным</w:t>
      </w:r>
      <w:r>
        <w:rPr>
          <w:rStyle w:val="831"/>
          <w:bCs w:val="0"/>
          <w:color w:val="000000"/>
          <w:sz w:val="20"/>
          <w:szCs w:val="20"/>
        </w:rPr>
        <w:t xml:space="preserve">и</w:t>
      </w:r>
      <w:r>
        <w:rPr>
          <w:rStyle w:val="831"/>
          <w:bCs w:val="0"/>
          <w:color w:val="000000"/>
          <w:sz w:val="20"/>
          <w:szCs w:val="20"/>
        </w:rPr>
        <w:t xml:space="preserve"> </w:t>
      </w:r>
      <w:r>
        <w:rPr>
          <w:rStyle w:val="831"/>
          <w:bCs w:val="0"/>
          <w:color w:val="000000"/>
          <w:sz w:val="20"/>
          <w:szCs w:val="20"/>
        </w:rPr>
        <w:t xml:space="preserve">лицами</w:t>
      </w:r>
      <w:r>
        <w:rPr>
          <w:rStyle w:val="831"/>
          <w:b w:val="0"/>
          <w:bCs w:val="0"/>
          <w:color w:val="000000"/>
          <w:sz w:val="20"/>
          <w:szCs w:val="20"/>
        </w:rPr>
        <w:t xml:space="preserve"> </w:t>
      </w:r>
      <w:r>
        <w:rPr>
          <w:rStyle w:val="831"/>
          <w:b w:val="0"/>
          <w:bCs w:val="0"/>
          <w:color w:val="000000"/>
          <w:sz w:val="20"/>
          <w:szCs w:val="20"/>
        </w:rPr>
        <w:t xml:space="preserve">или Застрахованным </w:t>
      </w:r>
      <w:r>
        <w:rPr>
          <w:rStyle w:val="831"/>
          <w:b w:val="0"/>
          <w:bCs w:val="0"/>
          <w:color w:val="000000"/>
          <w:sz w:val="20"/>
          <w:szCs w:val="20"/>
        </w:rPr>
        <w:t xml:space="preserve">являются </w:t>
      </w:r>
      <w:r>
        <w:rPr>
          <w:sz w:val="20"/>
          <w:szCs w:val="20"/>
          <w:lang w:eastAsia="ru-RU"/>
        </w:rPr>
        <w:t xml:space="preserve">физические лица, указанные в Списке Застрахованных лиц в соответствии с Приложением 1 к настоящему </w:t>
      </w:r>
      <w:r>
        <w:rPr>
          <w:sz w:val="20"/>
          <w:szCs w:val="20"/>
          <w:lang w:eastAsia="ru-RU"/>
        </w:rPr>
        <w:t xml:space="preserve">Контракт</w:t>
      </w:r>
      <w:r>
        <w:rPr>
          <w:sz w:val="20"/>
          <w:szCs w:val="20"/>
          <w:lang w:eastAsia="ru-RU"/>
        </w:rPr>
        <w:t xml:space="preserve">у, который является неотъемлемой частью настоящего </w:t>
      </w:r>
      <w:r>
        <w:rPr>
          <w:sz w:val="20"/>
          <w:szCs w:val="20"/>
          <w:lang w:eastAsia="ru-RU"/>
        </w:rPr>
        <w:t xml:space="preserve">Контракт</w:t>
      </w:r>
      <w:r>
        <w:rPr>
          <w:sz w:val="20"/>
          <w:szCs w:val="20"/>
          <w:lang w:eastAsia="ru-RU"/>
        </w:rPr>
        <w:t xml:space="preserve">а</w:t>
      </w:r>
      <w:r>
        <w:rPr>
          <w:sz w:val="20"/>
          <w:szCs w:val="20"/>
          <w:lang w:eastAsia="ru-RU"/>
        </w:rPr>
        <w:t xml:space="preserve">. Общее число Застрахованных лиц на момент заключения настоящего </w:t>
      </w:r>
      <w:r>
        <w:rPr>
          <w:sz w:val="20"/>
          <w:szCs w:val="20"/>
          <w:lang w:eastAsia="ru-RU"/>
        </w:rPr>
        <w:t xml:space="preserve">Контракт</w:t>
      </w:r>
      <w:r>
        <w:rPr>
          <w:sz w:val="20"/>
          <w:szCs w:val="20"/>
          <w:lang w:eastAsia="ru-RU"/>
        </w:rPr>
        <w:t xml:space="preserve">а составляет </w:t>
      </w:r>
      <w:r>
        <w:rPr>
          <w:b/>
          <w:bCs w:val="0"/>
          <w:sz w:val="20"/>
          <w:szCs w:val="20"/>
          <w:lang w:eastAsia="ru-RU"/>
        </w:rPr>
        <w:t xml:space="preserve">7</w:t>
      </w:r>
      <w:r>
        <w:rPr>
          <w:b/>
          <w:bCs w:val="0"/>
          <w:sz w:val="20"/>
          <w:szCs w:val="20"/>
          <w:lang w:eastAsia="ru-RU"/>
        </w:rPr>
        <w:t xml:space="preserve">0</w:t>
      </w:r>
      <w:r>
        <w:rPr>
          <w:b/>
          <w:bCs w:val="0"/>
          <w:sz w:val="20"/>
          <w:szCs w:val="20"/>
          <w:lang w:eastAsia="ru-RU"/>
        </w:rPr>
        <w:t xml:space="preserve"> (</w:t>
      </w:r>
      <w:r>
        <w:rPr>
          <w:b/>
          <w:bCs w:val="0"/>
          <w:sz w:val="20"/>
          <w:szCs w:val="20"/>
          <w:lang w:eastAsia="ru-RU"/>
        </w:rPr>
        <w:t xml:space="preserve">Семьдесят</w:t>
      </w:r>
      <w:r>
        <w:rPr>
          <w:b/>
          <w:sz w:val="20"/>
          <w:szCs w:val="20"/>
          <w:lang w:eastAsia="ru-RU"/>
        </w:rPr>
        <w:t xml:space="preserve">) </w:t>
      </w:r>
      <w:r>
        <w:rPr>
          <w:sz w:val="20"/>
          <w:szCs w:val="20"/>
          <w:lang w:eastAsia="ru-RU"/>
        </w:rPr>
        <w:t xml:space="preserve">человек</w:t>
      </w:r>
      <w:r>
        <w:rPr>
          <w:sz w:val="20"/>
          <w:szCs w:val="20"/>
          <w:lang w:eastAsia="ru-RU"/>
        </w:rPr>
        <w:t xml:space="preserve">.</w:t>
      </w:r>
      <w:r>
        <w:rPr>
          <w:rStyle w:val="831"/>
          <w:b w:val="0"/>
          <w:bCs w:val="0"/>
          <w:color w:val="000000"/>
          <w:sz w:val="20"/>
          <w:szCs w:val="20"/>
        </w:rPr>
      </w:r>
      <w:r>
        <w:rPr>
          <w:rStyle w:val="831"/>
          <w:b w:val="0"/>
          <w:bCs w:val="0"/>
          <w:color w:val="000000"/>
          <w:sz w:val="20"/>
          <w:szCs w:val="20"/>
        </w:rPr>
      </w:r>
    </w:p>
    <w:p>
      <w:pPr>
        <w:pStyle w:val="905"/>
        <w:ind w:left="0" w:firstLine="567"/>
        <w:rPr>
          <w:color w:val="000000"/>
          <w:sz w:val="20"/>
          <w:szCs w:val="20"/>
        </w:rPr>
      </w:pPr>
      <w:r>
        <w:rPr>
          <w:b/>
          <w:color w:val="000000"/>
          <w:sz w:val="20"/>
          <w:szCs w:val="20"/>
        </w:rPr>
        <w:t xml:space="preserve">Выгодоприобретатель</w:t>
      </w:r>
      <w:r>
        <w:rPr>
          <w:color w:val="000000"/>
          <w:sz w:val="20"/>
          <w:szCs w:val="20"/>
        </w:rPr>
        <w:t xml:space="preserve"> — физическое или юридическое лицо, в пользу которого может быть заключен </w:t>
      </w:r>
      <w:r>
        <w:rPr>
          <w:color w:val="000000"/>
          <w:sz w:val="20"/>
          <w:szCs w:val="20"/>
        </w:rPr>
        <w:t xml:space="preserve">Контракт</w:t>
      </w:r>
      <w:r>
        <w:rPr>
          <w:color w:val="000000"/>
          <w:sz w:val="20"/>
          <w:szCs w:val="20"/>
        </w:rPr>
        <w:t xml:space="preserve">. </w:t>
      </w:r>
      <w:r>
        <w:rPr>
          <w:color w:val="000000"/>
          <w:sz w:val="20"/>
          <w:szCs w:val="20"/>
        </w:rPr>
      </w:r>
      <w:r>
        <w:rPr>
          <w:color w:val="000000"/>
          <w:sz w:val="20"/>
          <w:szCs w:val="20"/>
        </w:rPr>
      </w:r>
    </w:p>
    <w:p>
      <w:pPr>
        <w:pStyle w:val="905"/>
        <w:ind w:left="0" w:firstLine="567"/>
        <w:rPr>
          <w:color w:val="000000"/>
          <w:sz w:val="20"/>
          <w:szCs w:val="20"/>
        </w:rPr>
      </w:pPr>
      <w:r>
        <w:rPr>
          <w:color w:val="000000"/>
          <w:sz w:val="20"/>
          <w:szCs w:val="20"/>
        </w:rPr>
        <w:t xml:space="preserve">Выгодопр</w:t>
      </w:r>
      <w:r>
        <w:rPr>
          <w:color w:val="000000"/>
          <w:sz w:val="20"/>
          <w:szCs w:val="20"/>
        </w:rPr>
        <w:t xml:space="preserve">и</w:t>
      </w:r>
      <w:r>
        <w:rPr>
          <w:color w:val="000000"/>
          <w:sz w:val="20"/>
          <w:szCs w:val="20"/>
        </w:rPr>
        <w:t xml:space="preserve">обретателями по </w:t>
      </w:r>
      <w:r>
        <w:rPr>
          <w:color w:val="000000"/>
          <w:sz w:val="20"/>
          <w:szCs w:val="20"/>
        </w:rPr>
        <w:t xml:space="preserve">Контракт</w:t>
      </w:r>
      <w:r>
        <w:rPr>
          <w:color w:val="000000"/>
          <w:sz w:val="20"/>
          <w:szCs w:val="20"/>
        </w:rPr>
        <w:t xml:space="preserve">у являются:</w:t>
      </w:r>
      <w:r>
        <w:rPr>
          <w:color w:val="000000"/>
          <w:sz w:val="20"/>
          <w:szCs w:val="20"/>
        </w:rPr>
      </w:r>
    </w:p>
    <w:p>
      <w:pPr>
        <w:pStyle w:val="905"/>
        <w:numPr>
          <w:ilvl w:val="0"/>
          <w:numId w:val="0"/>
        </w:numPr>
        <w:ind w:firstLine="567"/>
        <w:tabs>
          <w:tab w:val="left" w:pos="851" w:leader="none"/>
        </w:tabs>
        <w:rPr>
          <w:color w:val="000000"/>
          <w:sz w:val="20"/>
          <w:szCs w:val="20"/>
        </w:rPr>
      </w:pPr>
      <w:r>
        <w:rPr>
          <w:color w:val="000000"/>
          <w:sz w:val="20"/>
          <w:szCs w:val="20"/>
        </w:rPr>
        <w:t xml:space="preserve">а)</w:t>
      </w:r>
      <w:r>
        <w:rPr>
          <w:color w:val="000000"/>
          <w:sz w:val="20"/>
          <w:szCs w:val="20"/>
        </w:rPr>
        <w:tab/>
        <w:t xml:space="preserve">в части страхования по риску «</w:t>
      </w:r>
      <w:r>
        <w:rPr>
          <w:color w:val="000000"/>
          <w:sz w:val="20"/>
          <w:szCs w:val="20"/>
        </w:rPr>
        <w:t xml:space="preserve">Телесные повреждения (травма) </w:t>
      </w:r>
      <w:r>
        <w:rPr>
          <w:color w:val="000000"/>
          <w:sz w:val="20"/>
          <w:szCs w:val="20"/>
        </w:rPr>
        <w:t xml:space="preserve">в результате несчастного случая» и «Стойкая утрата трудоспособности в результате несчастного случая» - Застрахованные лица;</w:t>
      </w:r>
      <w:r>
        <w:rPr>
          <w:color w:val="000000"/>
          <w:sz w:val="20"/>
          <w:szCs w:val="20"/>
        </w:rPr>
      </w:r>
    </w:p>
    <w:p>
      <w:pPr>
        <w:pStyle w:val="907"/>
        <w:numPr>
          <w:ilvl w:val="0"/>
          <w:numId w:val="0"/>
        </w:numPr>
        <w:ind w:firstLine="567"/>
        <w:tabs>
          <w:tab w:val="left" w:pos="0" w:leader="none"/>
          <w:tab w:val="left" w:pos="851" w:leader="none"/>
        </w:tabs>
        <w:rPr>
          <w:color w:val="000000"/>
          <w:sz w:val="22"/>
          <w:szCs w:val="22"/>
        </w:rPr>
      </w:pPr>
      <w:r>
        <w:rPr>
          <w:color w:val="000000"/>
          <w:sz w:val="20"/>
          <w:szCs w:val="20"/>
        </w:rPr>
        <w:t xml:space="preserve">б)</w:t>
      </w:r>
      <w:r>
        <w:rPr>
          <w:color w:val="000000"/>
          <w:sz w:val="20"/>
          <w:szCs w:val="20"/>
        </w:rPr>
        <w:tab/>
      </w:r>
      <w:r>
        <w:rPr>
          <w:color w:val="000000"/>
          <w:sz w:val="22"/>
          <w:szCs w:val="22"/>
        </w:rPr>
        <w:t xml:space="preserve">в части стр</w:t>
      </w:r>
      <w:r>
        <w:rPr>
          <w:color w:val="000000"/>
          <w:sz w:val="22"/>
          <w:szCs w:val="22"/>
        </w:rPr>
        <w:t xml:space="preserve">ахования по риску «Смерть в результате несчастного случая» - лица, указанные как Выгодоприобретатели в Контракте с письменного согласия Застрахованного, а если такое не указано, тогда согласно порядку, установленному законодательством Российской Федерации.</w:t>
      </w:r>
      <w:r>
        <w:rPr>
          <w:color w:val="000000"/>
          <w:sz w:val="22"/>
          <w:szCs w:val="22"/>
        </w:rPr>
      </w:r>
    </w:p>
    <w:p>
      <w:pPr>
        <w:pStyle w:val="905"/>
        <w:numPr>
          <w:ilvl w:val="0"/>
          <w:numId w:val="0"/>
        </w:numPr>
        <w:ind w:firstLine="567"/>
        <w:tabs>
          <w:tab w:val="left" w:pos="851" w:leader="none"/>
        </w:tabs>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bookmarkStart w:id="3" w:name="_Toc264885881"/>
      <w:r>
        <w:rPr>
          <w:color w:val="000000"/>
          <w:sz w:val="20"/>
          <w:szCs w:val="20"/>
        </w:rPr>
        <w:t xml:space="preserve">ОБЪЕКТЫ СТРАХОВАНИЯ</w:t>
      </w:r>
      <w:bookmarkEnd w:id="2"/>
      <w:r>
        <w:rPr>
          <w:color w:val="000000"/>
          <w:sz w:val="20"/>
          <w:szCs w:val="20"/>
        </w:rPr>
      </w:r>
      <w:r>
        <w:rPr>
          <w:color w:val="000000"/>
          <w:sz w:val="20"/>
          <w:szCs w:val="20"/>
        </w:rPr>
      </w:r>
    </w:p>
    <w:p>
      <w:pPr>
        <w:pStyle w:val="905"/>
        <w:ind w:left="0" w:firstLine="567"/>
        <w:rPr>
          <w:color w:val="000000"/>
          <w:sz w:val="20"/>
          <w:szCs w:val="20"/>
        </w:rPr>
      </w:pPr>
      <w:r>
        <w:rPr>
          <w:color w:val="000000"/>
          <w:sz w:val="20"/>
          <w:szCs w:val="20"/>
        </w:rPr>
        <w:t xml:space="preserve">Объектом страхования являются имущественные интересы, не противоречащие законодательству Российской Федерации, связанные с причинением вреда жизни и здоровью Застрахованного.</w:t>
      </w:r>
      <w:r>
        <w:rPr>
          <w:color w:val="000000"/>
          <w:sz w:val="20"/>
          <w:szCs w:val="20"/>
        </w:rPr>
      </w:r>
    </w:p>
    <w:p>
      <w:pPr>
        <w:pStyle w:val="905"/>
        <w:numPr>
          <w:ilvl w:val="0"/>
          <w:numId w:val="0"/>
        </w:numPr>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bookmarkStart w:id="4" w:name="03"/>
      <w:r/>
      <w:bookmarkStart w:id="5" w:name="_Toc264885882"/>
      <w:r>
        <w:rPr>
          <w:color w:val="000000"/>
          <w:sz w:val="20"/>
          <w:szCs w:val="20"/>
        </w:rPr>
        <w:t xml:space="preserve">СТРАХОВЫЕ РИСКИ, СТРАХОВЫЕ СЛУЧАИ</w:t>
      </w:r>
      <w:bookmarkEnd w:id="3"/>
      <w:r/>
      <w:bookmarkEnd w:id="4"/>
      <w:r>
        <w:rPr>
          <w:color w:val="000000"/>
          <w:sz w:val="20"/>
          <w:szCs w:val="20"/>
        </w:rPr>
      </w:r>
      <w:r>
        <w:rPr>
          <w:color w:val="000000"/>
          <w:sz w:val="20"/>
          <w:szCs w:val="20"/>
        </w:rPr>
      </w:r>
    </w:p>
    <w:p>
      <w:pPr>
        <w:pStyle w:val="905"/>
        <w:ind w:left="0" w:firstLine="567"/>
        <w:rPr>
          <w:color w:val="000000"/>
          <w:sz w:val="20"/>
          <w:szCs w:val="20"/>
        </w:rPr>
      </w:pPr>
      <w:r>
        <w:rPr>
          <w:b/>
          <w:color w:val="000000"/>
          <w:sz w:val="20"/>
          <w:szCs w:val="20"/>
        </w:rPr>
        <w:t xml:space="preserve">Страховые риски</w:t>
      </w:r>
      <w:r>
        <w:rPr>
          <w:color w:val="000000"/>
          <w:sz w:val="20"/>
          <w:szCs w:val="20"/>
        </w:rPr>
        <w:t xml:space="preserve"> — предполагаемые события, на случай наступления которых проводится страхование. Событие, рассматриваемое в качестве страхового риска, должно обладать признаками вероятности и случайности его наступления.</w:t>
      </w:r>
      <w:r>
        <w:rPr>
          <w:color w:val="000000"/>
          <w:sz w:val="20"/>
          <w:szCs w:val="20"/>
        </w:rPr>
      </w:r>
    </w:p>
    <w:p>
      <w:pPr>
        <w:pStyle w:val="905"/>
        <w:ind w:left="0" w:firstLine="567"/>
        <w:rPr>
          <w:color w:val="000000"/>
          <w:sz w:val="20"/>
          <w:szCs w:val="20"/>
        </w:rPr>
      </w:pPr>
      <w:r>
        <w:rPr>
          <w:b/>
          <w:color w:val="000000"/>
          <w:sz w:val="20"/>
          <w:szCs w:val="20"/>
        </w:rPr>
        <w:t xml:space="preserve">Страховой случай</w:t>
      </w:r>
      <w:r>
        <w:rPr>
          <w:color w:val="000000"/>
          <w:sz w:val="20"/>
          <w:szCs w:val="20"/>
        </w:rPr>
        <w:t xml:space="preserve"> — совершившееся событие, предусмотренное </w:t>
      </w:r>
      <w:r>
        <w:rPr>
          <w:color w:val="000000"/>
          <w:sz w:val="20"/>
          <w:szCs w:val="20"/>
        </w:rPr>
        <w:t xml:space="preserve">Контракт</w:t>
      </w:r>
      <w:r>
        <w:rPr>
          <w:color w:val="000000"/>
          <w:sz w:val="20"/>
          <w:szCs w:val="20"/>
        </w:rPr>
        <w:t xml:space="preserve">ом</w:t>
      </w:r>
      <w:r>
        <w:rPr>
          <w:color w:val="000000"/>
          <w:sz w:val="20"/>
          <w:szCs w:val="20"/>
        </w:rPr>
        <w:t xml:space="preserve">, с наступлением которого возникает обязанность Страховщика произвести </w:t>
      </w:r>
      <w:r>
        <w:rPr>
          <w:color w:val="000000"/>
          <w:sz w:val="20"/>
          <w:szCs w:val="20"/>
        </w:rPr>
        <w:t xml:space="preserve">страховую </w:t>
      </w:r>
      <w:r>
        <w:rPr>
          <w:color w:val="000000"/>
          <w:sz w:val="20"/>
          <w:szCs w:val="20"/>
        </w:rPr>
        <w:t xml:space="preserve">выплату в соответствии с условиями </w:t>
      </w:r>
      <w:r>
        <w:rPr>
          <w:color w:val="000000"/>
          <w:sz w:val="20"/>
          <w:szCs w:val="20"/>
        </w:rPr>
        <w:t xml:space="preserve">Контракт</w:t>
      </w:r>
      <w:r>
        <w:rPr>
          <w:color w:val="000000"/>
          <w:sz w:val="20"/>
          <w:szCs w:val="20"/>
        </w:rPr>
        <w:t xml:space="preserve">а.</w:t>
      </w:r>
      <w:r>
        <w:rPr>
          <w:color w:val="000000"/>
          <w:sz w:val="20"/>
          <w:szCs w:val="20"/>
        </w:rPr>
      </w:r>
    </w:p>
    <w:p>
      <w:pPr>
        <w:pStyle w:val="905"/>
        <w:ind w:left="0" w:firstLine="567"/>
        <w:rPr>
          <w:color w:val="000000"/>
          <w:sz w:val="20"/>
          <w:szCs w:val="20"/>
        </w:rPr>
      </w:pPr>
      <w:r/>
      <w:bookmarkStart w:id="6" w:name="_Ref253673749"/>
      <w:r>
        <w:rPr>
          <w:color w:val="000000"/>
          <w:sz w:val="20"/>
          <w:szCs w:val="20"/>
        </w:rPr>
        <w:t xml:space="preserve">Страховыми рисками</w:t>
      </w:r>
      <w:r>
        <w:rPr>
          <w:color w:val="000000"/>
          <w:sz w:val="20"/>
          <w:szCs w:val="20"/>
        </w:rPr>
        <w:t xml:space="preserve">,</w:t>
      </w:r>
      <w:r>
        <w:rPr>
          <w:color w:val="000000"/>
          <w:sz w:val="20"/>
          <w:szCs w:val="20"/>
        </w:rPr>
        <w:t xml:space="preserve"> по которым производится страхование</w:t>
      </w:r>
      <w:r>
        <w:rPr>
          <w:color w:val="000000"/>
          <w:sz w:val="20"/>
          <w:szCs w:val="20"/>
        </w:rPr>
        <w:t xml:space="preserve">,</w:t>
      </w:r>
      <w:r>
        <w:rPr>
          <w:color w:val="000000"/>
          <w:sz w:val="20"/>
          <w:szCs w:val="20"/>
        </w:rPr>
        <w:t xml:space="preserve"> в рамках настоящего </w:t>
      </w:r>
      <w:r>
        <w:rPr>
          <w:color w:val="000000"/>
          <w:sz w:val="20"/>
          <w:szCs w:val="20"/>
        </w:rPr>
        <w:t xml:space="preserve">Контракт</w:t>
      </w:r>
      <w:r>
        <w:rPr>
          <w:color w:val="000000"/>
          <w:sz w:val="20"/>
          <w:szCs w:val="20"/>
        </w:rPr>
        <w:t xml:space="preserve">а </w:t>
      </w:r>
      <w:r>
        <w:rPr>
          <w:color w:val="000000"/>
          <w:sz w:val="20"/>
          <w:szCs w:val="20"/>
        </w:rPr>
        <w:t xml:space="preserve">являются следующие предполагаемые события:</w:t>
      </w:r>
      <w:bookmarkEnd w:id="5"/>
      <w:r>
        <w:rPr>
          <w:color w:val="000000"/>
          <w:sz w:val="20"/>
          <w:szCs w:val="20"/>
        </w:rPr>
      </w:r>
      <w:r>
        <w:rPr>
          <w:color w:val="000000"/>
          <w:sz w:val="20"/>
          <w:szCs w:val="20"/>
        </w:rPr>
      </w:r>
    </w:p>
    <w:p>
      <w:pPr>
        <w:pStyle w:val="909"/>
        <w:ind w:left="0" w:firstLine="567"/>
        <w:tabs>
          <w:tab w:val="left" w:pos="0" w:leader="none"/>
        </w:tabs>
        <w:rPr>
          <w:color w:val="000000"/>
          <w:sz w:val="20"/>
          <w:szCs w:val="20"/>
        </w:rPr>
      </w:pPr>
      <w:r/>
      <w:bookmarkStart w:id="7" w:name="_Ref253674238"/>
      <w:r>
        <w:rPr>
          <w:color w:val="000000"/>
          <w:sz w:val="20"/>
          <w:szCs w:val="20"/>
        </w:rPr>
        <w:t xml:space="preserve">телесные повреждения (травма) Застрахованного в результате несчастного случая</w:t>
      </w:r>
      <w:r>
        <w:rPr>
          <w:color w:val="000000"/>
          <w:sz w:val="20"/>
          <w:szCs w:val="20"/>
        </w:rPr>
        <w:t xml:space="preserve">.</w:t>
      </w:r>
      <w:bookmarkEnd w:id="6"/>
      <w:r>
        <w:rPr>
          <w:color w:val="000000"/>
          <w:sz w:val="20"/>
          <w:szCs w:val="20"/>
        </w:rPr>
      </w:r>
      <w:r>
        <w:rPr>
          <w:color w:val="000000"/>
          <w:sz w:val="20"/>
          <w:szCs w:val="20"/>
        </w:rPr>
      </w:r>
    </w:p>
    <w:p>
      <w:pPr>
        <w:pStyle w:val="909"/>
        <w:ind w:left="0" w:firstLine="567"/>
        <w:tabs>
          <w:tab w:val="left" w:pos="0" w:leader="none"/>
        </w:tabs>
        <w:rPr>
          <w:color w:val="000000"/>
          <w:sz w:val="20"/>
          <w:szCs w:val="20"/>
        </w:rPr>
      </w:pPr>
      <w:r/>
      <w:bookmarkStart w:id="8" w:name="_Ref253674090"/>
      <w:r>
        <w:rPr>
          <w:color w:val="000000"/>
          <w:sz w:val="20"/>
          <w:szCs w:val="20"/>
        </w:rPr>
        <w:t xml:space="preserve">стойкая утрата трудоспособности — получение Застрахованным инвалидности I, II или III группы в результате несчастного случая.</w:t>
      </w:r>
      <w:bookmarkEnd w:id="7"/>
      <w:r/>
      <w:bookmarkEnd w:id="8"/>
      <w:r>
        <w:rPr>
          <w:color w:val="000000"/>
          <w:sz w:val="20"/>
          <w:szCs w:val="20"/>
        </w:rPr>
      </w:r>
      <w:r>
        <w:rPr>
          <w:color w:val="000000"/>
          <w:sz w:val="20"/>
          <w:szCs w:val="20"/>
        </w:rPr>
      </w:r>
    </w:p>
    <w:p>
      <w:pPr>
        <w:pStyle w:val="909"/>
        <w:ind w:left="0" w:firstLine="567"/>
        <w:tabs>
          <w:tab w:val="left" w:pos="0" w:leader="none"/>
        </w:tabs>
        <w:rPr>
          <w:color w:val="000000"/>
          <w:sz w:val="20"/>
          <w:szCs w:val="20"/>
        </w:rPr>
      </w:pPr>
      <w:r/>
      <w:bookmarkStart w:id="9" w:name="_Ref253674129"/>
      <w:r>
        <w:rPr>
          <w:color w:val="000000"/>
          <w:sz w:val="20"/>
          <w:szCs w:val="20"/>
        </w:rPr>
        <w:t xml:space="preserve">смерть Застрахованного в результате несчастного случая.</w:t>
      </w:r>
      <w:bookmarkEnd w:id="9"/>
      <w:r>
        <w:rPr>
          <w:color w:val="000000"/>
          <w:sz w:val="20"/>
          <w:szCs w:val="20"/>
        </w:rPr>
      </w:r>
      <w:r>
        <w:rPr>
          <w:color w:val="000000"/>
          <w:sz w:val="20"/>
          <w:szCs w:val="20"/>
        </w:rPr>
      </w:r>
    </w:p>
    <w:p>
      <w:pPr>
        <w:pStyle w:val="905"/>
        <w:ind w:left="0" w:firstLine="567"/>
        <w:rPr>
          <w:color w:val="000000"/>
          <w:sz w:val="20"/>
          <w:szCs w:val="20"/>
        </w:rPr>
      </w:pPr>
      <w:r/>
      <w:bookmarkStart w:id="10" w:name="__RefNumPara__894_2087285528"/>
      <w:r/>
      <w:bookmarkStart w:id="11" w:name="_Ref253674337"/>
      <w:r/>
      <w:bookmarkStart w:id="12" w:name="_Ref253674349"/>
      <w:r>
        <w:rPr>
          <w:color w:val="000000"/>
          <w:sz w:val="20"/>
          <w:szCs w:val="20"/>
        </w:rPr>
        <w:t xml:space="preserve">События, предусмотренные п.п.</w:t>
      </w:r>
      <w:r>
        <w:rPr>
          <w:color w:val="000000"/>
          <w:sz w:val="20"/>
          <w:szCs w:val="20"/>
        </w:rPr>
        <w:t xml:space="preserve">4.3.2, 4.3.3, наступившие в результате имевшего место в течение срока страхования несчастного случая, признаются страховыми случаями, если они наступили не позднее, чем в течение одного года со дня несчастного случая, как прямое их следствие.</w:t>
      </w:r>
      <w:r>
        <w:rPr>
          <w:color w:val="000000"/>
          <w:sz w:val="20"/>
          <w:szCs w:val="20"/>
        </w:rPr>
      </w:r>
    </w:p>
    <w:p>
      <w:pPr>
        <w:pStyle w:val="905"/>
        <w:ind w:left="0" w:firstLine="567"/>
        <w:rPr>
          <w:color w:val="000000"/>
          <w:sz w:val="20"/>
          <w:szCs w:val="20"/>
        </w:rPr>
      </w:pPr>
      <w:r>
        <w:rPr>
          <w:color w:val="000000"/>
          <w:sz w:val="20"/>
          <w:szCs w:val="20"/>
        </w:rPr>
        <w:t xml:space="preserve">События, указанные в п.</w:t>
      </w:r>
      <w:r>
        <w:rPr>
          <w:color w:val="000000"/>
          <w:sz w:val="20"/>
          <w:szCs w:val="20"/>
        </w:rPr>
        <w:t xml:space="preserve">4.3. </w:t>
      </w:r>
      <w:r>
        <w:rPr>
          <w:color w:val="000000"/>
          <w:sz w:val="20"/>
          <w:szCs w:val="20"/>
        </w:rPr>
        <w:t xml:space="preserve">Контракт</w:t>
      </w:r>
      <w:r>
        <w:rPr>
          <w:color w:val="000000"/>
          <w:sz w:val="20"/>
          <w:szCs w:val="20"/>
        </w:rPr>
        <w:t xml:space="preserve">а</w:t>
      </w:r>
      <w:r>
        <w:rPr>
          <w:color w:val="000000"/>
          <w:sz w:val="20"/>
          <w:szCs w:val="20"/>
        </w:rPr>
        <w:t xml:space="preserve">, произошедшие в результате несчастного случая, признаются страховыми </w:t>
      </w:r>
      <w:r>
        <w:rPr>
          <w:color w:val="000000"/>
          <w:sz w:val="20"/>
          <w:szCs w:val="20"/>
        </w:rPr>
        <w:t xml:space="preserve">случаями</w:t>
      </w:r>
      <w:r>
        <w:rPr>
          <w:color w:val="000000"/>
          <w:sz w:val="20"/>
          <w:szCs w:val="20"/>
        </w:rPr>
        <w:t xml:space="preserve">, если несчастный случай произошел в период и время действия </w:t>
      </w:r>
      <w:r>
        <w:rPr>
          <w:color w:val="000000"/>
          <w:sz w:val="20"/>
          <w:szCs w:val="20"/>
        </w:rPr>
        <w:t xml:space="preserve">Контракт</w:t>
      </w:r>
      <w:r>
        <w:rPr>
          <w:color w:val="000000"/>
          <w:sz w:val="20"/>
          <w:szCs w:val="20"/>
        </w:rPr>
        <w:t xml:space="preserve">а</w:t>
      </w:r>
      <w:r>
        <w:rPr>
          <w:color w:val="000000"/>
          <w:sz w:val="20"/>
          <w:szCs w:val="20"/>
        </w:rPr>
        <w:t xml:space="preserve">.</w:t>
      </w:r>
      <w:r>
        <w:rPr>
          <w:color w:val="000000"/>
          <w:sz w:val="20"/>
          <w:szCs w:val="20"/>
        </w:rPr>
      </w:r>
    </w:p>
    <w:p>
      <w:pPr>
        <w:pStyle w:val="905"/>
        <w:numPr>
          <w:ilvl w:val="0"/>
          <w:numId w:val="0"/>
        </w:numPr>
        <w:ind w:left="850"/>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bookmarkStart w:id="13" w:name="_Toc264885883"/>
      <w:r>
        <w:rPr>
          <w:color w:val="000000"/>
          <w:sz w:val="20"/>
          <w:szCs w:val="20"/>
        </w:rPr>
        <w:t xml:space="preserve">ОБЩИЕ ИСКЛЮЧЕНИЯ ИЗ СТРАХОВОГО ПОКРЫТИЯ</w:t>
      </w:r>
      <w:bookmarkEnd w:id="10"/>
      <w:r>
        <w:rPr>
          <w:color w:val="000000"/>
          <w:sz w:val="20"/>
          <w:szCs w:val="20"/>
        </w:rPr>
      </w:r>
      <w:r>
        <w:rPr>
          <w:color w:val="000000"/>
          <w:sz w:val="20"/>
          <w:szCs w:val="20"/>
        </w:rPr>
      </w:r>
    </w:p>
    <w:p>
      <w:pPr>
        <w:pStyle w:val="905"/>
        <w:ind w:left="0" w:firstLine="567"/>
        <w:rPr>
          <w:color w:val="000000"/>
          <w:sz w:val="20"/>
          <w:szCs w:val="20"/>
        </w:rPr>
      </w:pPr>
      <w:r>
        <w:rPr>
          <w:color w:val="000000"/>
          <w:sz w:val="20"/>
          <w:szCs w:val="20"/>
        </w:rPr>
        <w:t xml:space="preserve">События, перечисленные в п. 4.3, </w:t>
      </w:r>
      <w:r>
        <w:rPr>
          <w:i/>
          <w:color w:val="000000"/>
          <w:sz w:val="20"/>
          <w:szCs w:val="20"/>
        </w:rPr>
        <w:t xml:space="preserve">не признаются страховыми случаями, и Страховщик освобождается от страховой выплаты, если они произошли в результате</w:t>
      </w:r>
      <w:r>
        <w:rPr>
          <w:color w:val="000000"/>
          <w:sz w:val="20"/>
          <w:szCs w:val="20"/>
        </w:rPr>
        <w:t xml:space="preserve">:</w:t>
      </w:r>
      <w:r>
        <w:rPr>
          <w:color w:val="000000"/>
          <w:sz w:val="20"/>
          <w:szCs w:val="20"/>
        </w:rPr>
      </w:r>
    </w:p>
    <w:p>
      <w:pPr>
        <w:pStyle w:val="909"/>
        <w:ind w:left="0" w:firstLine="567"/>
        <w:tabs>
          <w:tab w:val="left" w:pos="-3402" w:leader="none"/>
        </w:tabs>
        <w:rPr>
          <w:color w:val="000000"/>
          <w:sz w:val="20"/>
          <w:szCs w:val="20"/>
        </w:rPr>
      </w:pPr>
      <w:r>
        <w:rPr>
          <w:color w:val="000000"/>
          <w:sz w:val="20"/>
          <w:szCs w:val="20"/>
        </w:rPr>
        <w:t xml:space="preserve">умышленного преступного действия или бездействия Страхователя, Застрахованного лица или Выгодоприобретателя, направленного на наступление страхового случая;</w:t>
      </w:r>
      <w:r>
        <w:rPr>
          <w:color w:val="000000"/>
          <w:sz w:val="20"/>
          <w:szCs w:val="20"/>
        </w:rPr>
      </w:r>
    </w:p>
    <w:p>
      <w:pPr>
        <w:pStyle w:val="909"/>
        <w:ind w:left="0" w:firstLine="567"/>
        <w:tabs>
          <w:tab w:val="left" w:pos="-3402" w:leader="none"/>
        </w:tabs>
        <w:rPr>
          <w:color w:val="000000"/>
          <w:sz w:val="20"/>
          <w:szCs w:val="20"/>
        </w:rPr>
      </w:pPr>
      <w:r>
        <w:rPr>
          <w:color w:val="000000"/>
          <w:sz w:val="20"/>
          <w:szCs w:val="20"/>
        </w:rPr>
        <w:t xml:space="preserve">умышленного причинения Застрахованным лицом вреда самому себе или причинение ему вреда третьими лицами по его просьбе или его согласию;</w:t>
      </w:r>
      <w:r>
        <w:rPr>
          <w:color w:val="000000"/>
          <w:sz w:val="20"/>
          <w:szCs w:val="20"/>
        </w:rPr>
      </w:r>
    </w:p>
    <w:p>
      <w:pPr>
        <w:pStyle w:val="909"/>
        <w:ind w:left="0" w:firstLine="567"/>
        <w:tabs>
          <w:tab w:val="left" w:pos="-3402" w:leader="none"/>
        </w:tabs>
        <w:rPr>
          <w:color w:val="000000"/>
          <w:sz w:val="20"/>
          <w:szCs w:val="20"/>
        </w:rPr>
      </w:pPr>
      <w:r>
        <w:rPr>
          <w:color w:val="000000"/>
          <w:sz w:val="20"/>
          <w:szCs w:val="20"/>
        </w:rPr>
        <w:t xml:space="preserve">нахождения Застрахованного лица в состоянии алкогольного, наркотического или токсического опьянения и/или</w:t>
      </w:r>
      <w:r>
        <w:rPr>
          <w:color w:val="000000"/>
          <w:sz w:val="20"/>
          <w:szCs w:val="20"/>
        </w:rPr>
        <w:t xml:space="preserve"> отравления Застрахованного в результате потребления им алкогольных, наркотических, сильнодействующих и психотропных веществ без предписания врача, если только приём Застрахованным лицом перечисленных веществ не был осуществлён помимо его собственной воли;</w:t>
      </w:r>
      <w:r>
        <w:rPr>
          <w:color w:val="000000"/>
          <w:sz w:val="20"/>
          <w:szCs w:val="20"/>
        </w:rPr>
      </w:r>
    </w:p>
    <w:p>
      <w:pPr>
        <w:pStyle w:val="909"/>
        <w:ind w:left="0" w:firstLine="567"/>
        <w:tabs>
          <w:tab w:val="left" w:pos="-3402" w:leader="none"/>
        </w:tabs>
        <w:rPr>
          <w:color w:val="000000"/>
          <w:sz w:val="20"/>
          <w:szCs w:val="20"/>
        </w:rPr>
      </w:pPr>
      <w:r>
        <w:rPr>
          <w:color w:val="000000"/>
          <w:sz w:val="20"/>
          <w:szCs w:val="20"/>
        </w:rPr>
        <w:t xml:space="preserve">управления Застрахованным лицом любым транспортным средством, летательным аппаратом без права на управление, либо в состоянии любой формы опьянения (алкогольной, наркотической или токсической), а также передачи З</w:t>
      </w:r>
      <w:r>
        <w:rPr>
          <w:color w:val="000000"/>
          <w:sz w:val="20"/>
          <w:szCs w:val="20"/>
        </w:rPr>
        <w:t xml:space="preserve">астрахованным управления лицу, не имевшему на это права либо лицу, находившемуся в состоянии алкогольного, наркотического или токсического опьянения (либо отказавшемуся пройти медицинское освидетельствование (экспертизу) на установление степени опьянения);</w:t>
      </w:r>
      <w:r>
        <w:rPr>
          <w:color w:val="000000"/>
          <w:sz w:val="20"/>
          <w:szCs w:val="20"/>
        </w:rPr>
      </w:r>
    </w:p>
    <w:p>
      <w:pPr>
        <w:pStyle w:val="909"/>
        <w:ind w:left="0" w:firstLine="567"/>
        <w:tabs>
          <w:tab w:val="left" w:pos="-3402" w:leader="none"/>
        </w:tabs>
        <w:rPr>
          <w:color w:val="000000"/>
          <w:sz w:val="20"/>
          <w:szCs w:val="20"/>
        </w:rPr>
      </w:pPr>
      <w:r>
        <w:rPr>
          <w:color w:val="000000"/>
          <w:sz w:val="20"/>
          <w:szCs w:val="20"/>
        </w:rPr>
        <w:t xml:space="preserve">самоубийства или попытки самоубийства (за исключением доведения до самоубийства в соответствии со статьей 110 УК РФ, что должно быть подтверждено приговором суда). </w:t>
      </w:r>
      <w:r>
        <w:rPr>
          <w:color w:val="000000"/>
          <w:sz w:val="20"/>
          <w:szCs w:val="20"/>
        </w:rPr>
      </w:r>
    </w:p>
    <w:p>
      <w:pPr>
        <w:pStyle w:val="909"/>
        <w:ind w:left="0" w:firstLine="567"/>
        <w:tabs>
          <w:tab w:val="left" w:pos="-3402" w:leader="none"/>
        </w:tabs>
        <w:rPr>
          <w:color w:val="000000"/>
          <w:sz w:val="20"/>
          <w:szCs w:val="20"/>
        </w:rPr>
      </w:pPr>
      <w:r>
        <w:rPr>
          <w:color w:val="000000"/>
          <w:sz w:val="20"/>
          <w:szCs w:val="20"/>
        </w:rPr>
        <w:t xml:space="preserve">смерть или инвалидность Застрахованного, наступившие вследствие серде</w:t>
      </w:r>
      <w:r>
        <w:rPr>
          <w:color w:val="000000"/>
          <w:sz w:val="20"/>
          <w:szCs w:val="20"/>
        </w:rPr>
        <w:t xml:space="preserve">чно</w:t>
      </w:r>
      <w:r>
        <w:rPr>
          <w:color w:val="000000"/>
          <w:sz w:val="20"/>
          <w:szCs w:val="20"/>
        </w:rPr>
        <w:t xml:space="preserve">-</w:t>
      </w:r>
      <w:r>
        <w:rPr>
          <w:color w:val="000000"/>
          <w:sz w:val="20"/>
          <w:szCs w:val="20"/>
        </w:rPr>
        <w:t xml:space="preserve">сосудистого, онкологического</w:t>
      </w:r>
      <w:r>
        <w:rPr>
          <w:color w:val="000000"/>
          <w:sz w:val="20"/>
          <w:szCs w:val="20"/>
        </w:rPr>
        <w:t xml:space="preserve"> имевшегося у Застрахованного на дату заключения </w:t>
      </w:r>
      <w:r>
        <w:rPr>
          <w:color w:val="000000"/>
          <w:sz w:val="20"/>
          <w:szCs w:val="20"/>
        </w:rPr>
        <w:t xml:space="preserve">Контракт</w:t>
      </w:r>
      <w:r>
        <w:rPr>
          <w:color w:val="000000"/>
          <w:sz w:val="20"/>
          <w:szCs w:val="20"/>
        </w:rPr>
        <w:t xml:space="preserve">а при условии, что Страховщик не был поставлен об этом в известность при заключении </w:t>
      </w:r>
      <w:r>
        <w:rPr>
          <w:color w:val="000000"/>
          <w:sz w:val="20"/>
          <w:szCs w:val="20"/>
        </w:rPr>
        <w:t xml:space="preserve">Контракт</w:t>
      </w:r>
      <w:r>
        <w:rPr>
          <w:color w:val="000000"/>
          <w:sz w:val="20"/>
          <w:szCs w:val="20"/>
        </w:rPr>
        <w:t xml:space="preserve">а;</w:t>
      </w:r>
      <w:r>
        <w:rPr>
          <w:color w:val="000000"/>
          <w:sz w:val="20"/>
          <w:szCs w:val="20"/>
        </w:rPr>
      </w:r>
    </w:p>
    <w:p>
      <w:pPr>
        <w:pStyle w:val="909"/>
        <w:ind w:left="0" w:firstLine="567"/>
        <w:tabs>
          <w:tab w:val="left" w:pos="-3402" w:leader="none"/>
        </w:tabs>
        <w:rPr>
          <w:color w:val="000000"/>
          <w:sz w:val="20"/>
          <w:szCs w:val="20"/>
        </w:rPr>
      </w:pPr>
      <w:r>
        <w:rPr>
          <w:color w:val="000000"/>
          <w:sz w:val="20"/>
          <w:szCs w:val="20"/>
        </w:rPr>
        <w:t xml:space="preserve">военных действий, их последствий, гражданской войны, военных переворотов, массовых беспорядков, террористических актов;</w:t>
      </w:r>
      <w:r>
        <w:rPr>
          <w:color w:val="000000"/>
          <w:sz w:val="20"/>
          <w:szCs w:val="20"/>
        </w:rPr>
      </w:r>
    </w:p>
    <w:p>
      <w:pPr>
        <w:pStyle w:val="909"/>
        <w:ind w:left="0" w:firstLine="567"/>
        <w:tabs>
          <w:tab w:val="left" w:pos="-3402" w:leader="none"/>
        </w:tabs>
        <w:rPr>
          <w:sz w:val="20"/>
          <w:szCs w:val="20"/>
        </w:rPr>
      </w:pPr>
      <w:r>
        <w:rPr>
          <w:sz w:val="20"/>
          <w:szCs w:val="20"/>
        </w:rPr>
        <w:t xml:space="preserve">полета Застрахованного лица на летательном аппарате или управления им, если Застрахованный является профессиональным пилотом, кроме случаев </w:t>
      </w:r>
      <w:r>
        <w:rPr>
          <w:sz w:val="20"/>
          <w:szCs w:val="20"/>
        </w:rPr>
        <w:t xml:space="preserve">полетов участников экспедиции</w:t>
      </w:r>
      <w:r>
        <w:rPr>
          <w:sz w:val="20"/>
          <w:szCs w:val="20"/>
        </w:rPr>
        <w:t xml:space="preserve"> ФГБУ «ААНИИ»</w:t>
      </w:r>
      <w:r>
        <w:rPr>
          <w:sz w:val="20"/>
          <w:szCs w:val="20"/>
        </w:rPr>
        <w:t xml:space="preserve">, осуществляемых в качестве пассажира при перелетах </w:t>
      </w:r>
      <w:r>
        <w:rPr>
          <w:sz w:val="20"/>
          <w:szCs w:val="20"/>
        </w:rPr>
        <w:t xml:space="preserve">на </w:t>
      </w:r>
      <w:r>
        <w:rPr>
          <w:sz w:val="20"/>
          <w:szCs w:val="20"/>
        </w:rPr>
        <w:t xml:space="preserve">воздушных судах между </w:t>
      </w:r>
      <w:r>
        <w:rPr>
          <w:sz w:val="20"/>
          <w:szCs w:val="20"/>
        </w:rPr>
        <w:t xml:space="preserve">островами и морскими судами</w:t>
      </w:r>
      <w:r>
        <w:rPr>
          <w:sz w:val="20"/>
          <w:szCs w:val="20"/>
        </w:rPr>
        <w:t xml:space="preserve">, </w:t>
      </w:r>
      <w:r>
        <w:rPr>
          <w:sz w:val="20"/>
          <w:szCs w:val="20"/>
        </w:rPr>
        <w:t xml:space="preserve">осуществляющих </w:t>
      </w:r>
      <w:r>
        <w:rPr>
          <w:sz w:val="20"/>
          <w:szCs w:val="20"/>
        </w:rPr>
        <w:t xml:space="preserve">научные наблюдения с борта </w:t>
      </w:r>
      <w:r>
        <w:rPr>
          <w:sz w:val="20"/>
          <w:szCs w:val="20"/>
        </w:rPr>
        <w:t xml:space="preserve">такого судна на</w:t>
      </w:r>
      <w:r>
        <w:rPr>
          <w:sz w:val="20"/>
          <w:szCs w:val="20"/>
        </w:rPr>
        <w:t xml:space="preserve"> территори</w:t>
      </w:r>
      <w:r>
        <w:rPr>
          <w:sz w:val="20"/>
          <w:szCs w:val="20"/>
        </w:rPr>
        <w:t xml:space="preserve">и</w:t>
      </w:r>
      <w:r>
        <w:rPr>
          <w:sz w:val="20"/>
          <w:szCs w:val="20"/>
        </w:rPr>
        <w:t xml:space="preserve"> </w:t>
      </w:r>
      <w:r>
        <w:rPr>
          <w:sz w:val="20"/>
          <w:szCs w:val="20"/>
        </w:rPr>
        <w:t xml:space="preserve">Арктики</w:t>
      </w:r>
      <w:r>
        <w:rPr>
          <w:sz w:val="20"/>
          <w:szCs w:val="20"/>
        </w:rPr>
        <w:t xml:space="preserve">. Данные виды пребывания на борту </w:t>
      </w:r>
      <w:r>
        <w:rPr>
          <w:sz w:val="20"/>
          <w:szCs w:val="20"/>
        </w:rPr>
        <w:t xml:space="preserve">таких </w:t>
      </w:r>
      <w:r>
        <w:rPr>
          <w:sz w:val="20"/>
          <w:szCs w:val="20"/>
        </w:rPr>
        <w:t xml:space="preserve">судов считаются рабочим временем участников </w:t>
      </w:r>
      <w:r>
        <w:rPr>
          <w:sz w:val="20"/>
          <w:szCs w:val="20"/>
        </w:rPr>
        <w:t xml:space="preserve">экспедиции</w:t>
      </w:r>
      <w:r>
        <w:rPr>
          <w:sz w:val="20"/>
          <w:szCs w:val="20"/>
        </w:rPr>
        <w:t xml:space="preserve">, и на них распространяется ответственность Страховщика по страховым случаям, указанным в п.4.2 и п.4.3. </w:t>
      </w:r>
      <w:r>
        <w:rPr>
          <w:sz w:val="20"/>
          <w:szCs w:val="20"/>
        </w:rPr>
        <w:t xml:space="preserve">настоящего Контракта.</w:t>
      </w:r>
      <w:r>
        <w:rPr>
          <w:sz w:val="20"/>
          <w:szCs w:val="20"/>
        </w:rPr>
      </w:r>
      <w:r>
        <w:rPr>
          <w:sz w:val="20"/>
          <w:szCs w:val="20"/>
        </w:rPr>
      </w:r>
    </w:p>
    <w:p>
      <w:pPr>
        <w:pStyle w:val="909"/>
        <w:ind w:left="0" w:firstLine="567"/>
        <w:tabs>
          <w:tab w:val="left" w:pos="-3402" w:leader="none"/>
        </w:tabs>
        <w:rPr>
          <w:color w:val="000000"/>
          <w:sz w:val="20"/>
          <w:szCs w:val="20"/>
        </w:rPr>
      </w:pPr>
      <w:r>
        <w:rPr>
          <w:color w:val="000000"/>
          <w:sz w:val="20"/>
          <w:szCs w:val="20"/>
        </w:rPr>
        <w:t xml:space="preserve">занятия спортом на профессиональном уровне</w:t>
      </w:r>
      <w:r>
        <w:rPr>
          <w:color w:val="000000"/>
          <w:sz w:val="20"/>
          <w:szCs w:val="20"/>
        </w:rPr>
        <w:t xml:space="preserve">.</w:t>
      </w:r>
      <w:r>
        <w:rPr>
          <w:color w:val="000000"/>
          <w:sz w:val="20"/>
          <w:szCs w:val="20"/>
        </w:rPr>
      </w:r>
      <w:r>
        <w:rPr>
          <w:color w:val="000000"/>
          <w:sz w:val="20"/>
          <w:szCs w:val="20"/>
        </w:rPr>
      </w:r>
    </w:p>
    <w:p>
      <w:pPr>
        <w:pStyle w:val="909"/>
        <w:numPr>
          <w:ilvl w:val="0"/>
          <w:numId w:val="0"/>
        </w:numPr>
        <w:tabs>
          <w:tab w:val="left" w:pos="0" w:leader="none"/>
        </w:tabs>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bookmarkStart w:id="14" w:name="08"/>
      <w:r/>
      <w:bookmarkStart w:id="15" w:name="_Toc264885884"/>
      <w:r>
        <w:rPr>
          <w:color w:val="000000"/>
          <w:sz w:val="20"/>
          <w:szCs w:val="20"/>
        </w:rPr>
        <w:t xml:space="preserve">СРОК ДЕЙСТВИЯ </w:t>
      </w:r>
      <w:bookmarkEnd w:id="11"/>
      <w:r>
        <w:rPr>
          <w:color w:val="000000"/>
          <w:sz w:val="20"/>
          <w:szCs w:val="20"/>
        </w:rPr>
        <w:t xml:space="preserve">КОНТРАКТ</w:t>
      </w:r>
      <w:r>
        <w:rPr>
          <w:color w:val="000000"/>
          <w:sz w:val="20"/>
          <w:szCs w:val="20"/>
        </w:rPr>
        <w:t xml:space="preserve">А </w:t>
      </w:r>
      <w:r>
        <w:rPr>
          <w:color w:val="000000"/>
          <w:sz w:val="20"/>
          <w:szCs w:val="20"/>
        </w:rPr>
      </w:r>
      <w:r>
        <w:rPr>
          <w:color w:val="000000"/>
          <w:sz w:val="20"/>
          <w:szCs w:val="20"/>
        </w:rPr>
      </w:r>
    </w:p>
    <w:p>
      <w:pPr>
        <w:pStyle w:val="905"/>
        <w:ind w:left="0" w:firstLine="567"/>
        <w:rPr>
          <w:color w:val="000000"/>
          <w:sz w:val="20"/>
          <w:szCs w:val="20"/>
        </w:rPr>
      </w:pPr>
      <w:r>
        <w:rPr>
          <w:color w:val="000000"/>
          <w:sz w:val="20"/>
          <w:szCs w:val="20"/>
        </w:rPr>
        <w:t xml:space="preserve">Настоящий </w:t>
      </w:r>
      <w:r>
        <w:rPr>
          <w:color w:val="000000"/>
          <w:sz w:val="20"/>
          <w:szCs w:val="20"/>
        </w:rPr>
        <w:t xml:space="preserve">Контракт</w:t>
      </w:r>
      <w:r>
        <w:rPr>
          <w:color w:val="000000"/>
          <w:sz w:val="20"/>
          <w:szCs w:val="20"/>
        </w:rPr>
        <w:t xml:space="preserve">, вступает в силу с момента подписания его Сторонами и действует до полного выполнения сторонами своих обязательств.</w:t>
      </w:r>
      <w:r>
        <w:rPr>
          <w:color w:val="000000"/>
          <w:sz w:val="20"/>
          <w:szCs w:val="20"/>
        </w:rPr>
      </w:r>
    </w:p>
    <w:p>
      <w:pPr>
        <w:pStyle w:val="905"/>
        <w:ind w:left="0" w:firstLine="567"/>
        <w:rPr>
          <w:color w:val="000000"/>
          <w:sz w:val="20"/>
          <w:szCs w:val="20"/>
        </w:rPr>
      </w:pPr>
      <w:r>
        <w:rPr>
          <w:color w:val="000000"/>
          <w:sz w:val="20"/>
          <w:szCs w:val="20"/>
        </w:rPr>
        <w:t xml:space="preserve">Срок страхования </w:t>
      </w:r>
      <w:r>
        <w:rPr>
          <w:color w:val="000000"/>
          <w:sz w:val="20"/>
          <w:szCs w:val="20"/>
        </w:rPr>
        <w:t xml:space="preserve">в отношении каждого </w:t>
      </w:r>
      <w:r>
        <w:rPr>
          <w:color w:val="000000"/>
          <w:sz w:val="20"/>
          <w:szCs w:val="20"/>
        </w:rPr>
        <w:t xml:space="preserve">Застрахованного </w:t>
      </w:r>
      <w:r>
        <w:rPr>
          <w:color w:val="000000"/>
          <w:sz w:val="20"/>
          <w:szCs w:val="20"/>
        </w:rPr>
        <w:t xml:space="preserve">указан в </w:t>
      </w:r>
      <w:r>
        <w:rPr>
          <w:color w:val="000000"/>
          <w:sz w:val="20"/>
          <w:szCs w:val="20"/>
        </w:rPr>
        <w:t xml:space="preserve">Списке Застрахованных лиц (Приложение 1 к настоящему </w:t>
      </w:r>
      <w:r>
        <w:rPr>
          <w:color w:val="000000"/>
          <w:sz w:val="20"/>
          <w:szCs w:val="20"/>
        </w:rPr>
        <w:t xml:space="preserve">Контракт</w:t>
      </w:r>
      <w:r>
        <w:rPr>
          <w:color w:val="000000"/>
          <w:sz w:val="20"/>
          <w:szCs w:val="20"/>
        </w:rPr>
        <w:t xml:space="preserve">у</w:t>
      </w:r>
      <w:r>
        <w:rPr>
          <w:color w:val="000000"/>
          <w:sz w:val="20"/>
          <w:szCs w:val="20"/>
        </w:rPr>
        <w:t xml:space="preserve">)</w:t>
      </w:r>
      <w:r>
        <w:rPr>
          <w:color w:val="000000"/>
          <w:sz w:val="20"/>
          <w:szCs w:val="20"/>
        </w:rPr>
        <w:t xml:space="preserve">.</w:t>
      </w:r>
      <w:r>
        <w:rPr>
          <w:color w:val="000000"/>
          <w:sz w:val="20"/>
          <w:szCs w:val="20"/>
        </w:rPr>
      </w:r>
      <w:r>
        <w:rPr>
          <w:color w:val="000000"/>
          <w:sz w:val="20"/>
          <w:szCs w:val="20"/>
        </w:rPr>
      </w:r>
    </w:p>
    <w:p>
      <w:pPr>
        <w:pStyle w:val="905"/>
        <w:numPr>
          <w:ilvl w:val="0"/>
          <w:numId w:val="0"/>
        </w:numPr>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bookmarkStart w:id="16" w:name="_Toc264885885"/>
      <w:r>
        <w:rPr>
          <w:color w:val="000000"/>
          <w:sz w:val="20"/>
          <w:szCs w:val="20"/>
        </w:rPr>
        <w:t xml:space="preserve">СТРАХОВАЯ СУММА, СТРАХОВАЯ ПРЕМИЯ</w:t>
      </w:r>
      <w:bookmarkEnd w:id="12"/>
      <w:r>
        <w:rPr>
          <w:color w:val="000000"/>
          <w:sz w:val="20"/>
          <w:szCs w:val="20"/>
        </w:rPr>
      </w:r>
      <w:r>
        <w:rPr>
          <w:color w:val="000000"/>
          <w:sz w:val="20"/>
          <w:szCs w:val="20"/>
        </w:rPr>
      </w:r>
    </w:p>
    <w:p>
      <w:pPr>
        <w:pStyle w:val="905"/>
        <w:ind w:left="0" w:firstLine="567"/>
        <w:rPr>
          <w:color w:val="000000"/>
          <w:sz w:val="20"/>
          <w:szCs w:val="20"/>
        </w:rPr>
      </w:pPr>
      <w:r>
        <w:rPr>
          <w:b/>
          <w:color w:val="000000"/>
          <w:sz w:val="20"/>
          <w:szCs w:val="20"/>
        </w:rPr>
        <w:t xml:space="preserve">Страховая сумма </w:t>
      </w:r>
      <w:r>
        <w:rPr>
          <w:color w:val="000000"/>
          <w:sz w:val="20"/>
          <w:szCs w:val="20"/>
        </w:rPr>
        <w:t xml:space="preserve">— определенная </w:t>
      </w:r>
      <w:r>
        <w:rPr>
          <w:color w:val="000000"/>
          <w:sz w:val="20"/>
          <w:szCs w:val="20"/>
        </w:rPr>
        <w:t xml:space="preserve">Контракт</w:t>
      </w:r>
      <w:r>
        <w:rPr>
          <w:color w:val="000000"/>
          <w:sz w:val="20"/>
          <w:szCs w:val="20"/>
        </w:rPr>
        <w:t xml:space="preserve">ом </w:t>
      </w:r>
      <w:r>
        <w:rPr>
          <w:color w:val="000000"/>
          <w:sz w:val="20"/>
          <w:szCs w:val="20"/>
        </w:rPr>
        <w:t xml:space="preserve">денежная сумма, </w:t>
      </w:r>
      <w:r>
        <w:rPr>
          <w:color w:val="000000"/>
          <w:sz w:val="20"/>
          <w:szCs w:val="20"/>
        </w:rPr>
        <w:t xml:space="preserve">устанавливается </w:t>
      </w:r>
      <w:r>
        <w:rPr>
          <w:color w:val="000000"/>
          <w:sz w:val="20"/>
          <w:szCs w:val="20"/>
        </w:rPr>
        <w:t xml:space="preserve">единая </w:t>
      </w:r>
      <w:r>
        <w:rPr>
          <w:color w:val="000000"/>
          <w:sz w:val="20"/>
          <w:szCs w:val="20"/>
        </w:rPr>
        <w:t xml:space="preserve">по </w:t>
      </w:r>
      <w:r>
        <w:rPr>
          <w:color w:val="000000"/>
          <w:sz w:val="20"/>
          <w:szCs w:val="20"/>
          <w:u w:val="single"/>
        </w:rPr>
        <w:t xml:space="preserve">всем страховым рискам</w:t>
      </w:r>
      <w:r>
        <w:rPr>
          <w:color w:val="000000"/>
          <w:sz w:val="20"/>
          <w:szCs w:val="20"/>
        </w:rPr>
        <w:t xml:space="preserve">.</w:t>
      </w:r>
      <w:r>
        <w:rPr>
          <w:color w:val="000000"/>
          <w:sz w:val="20"/>
          <w:szCs w:val="20"/>
        </w:rPr>
      </w:r>
    </w:p>
    <w:p>
      <w:pPr>
        <w:pStyle w:val="905"/>
        <w:numPr>
          <w:ilvl w:val="0"/>
          <w:numId w:val="0"/>
        </w:numPr>
        <w:ind w:firstLine="567"/>
        <w:rPr>
          <w:color w:val="000000"/>
          <w:sz w:val="20"/>
          <w:szCs w:val="20"/>
        </w:rPr>
      </w:pPr>
      <w:r>
        <w:rPr>
          <w:color w:val="000000"/>
          <w:sz w:val="20"/>
          <w:szCs w:val="20"/>
        </w:rPr>
        <w:t xml:space="preserve">Общая страховая сумма по настоящему </w:t>
      </w:r>
      <w:r>
        <w:rPr>
          <w:color w:val="000000"/>
          <w:sz w:val="20"/>
          <w:szCs w:val="20"/>
        </w:rPr>
        <w:t xml:space="preserve">Контракт</w:t>
      </w:r>
      <w:r>
        <w:rPr>
          <w:color w:val="000000"/>
          <w:sz w:val="20"/>
          <w:szCs w:val="20"/>
        </w:rPr>
        <w:t xml:space="preserve">у </w:t>
      </w:r>
      <w:r>
        <w:rPr>
          <w:color w:val="000000"/>
          <w:sz w:val="20"/>
          <w:szCs w:val="20"/>
        </w:rPr>
        <w:t xml:space="preserve">по всем Застрахованным лицам на дату заключения настоящего </w:t>
      </w:r>
      <w:r>
        <w:rPr>
          <w:color w:val="000000"/>
          <w:sz w:val="20"/>
          <w:szCs w:val="20"/>
        </w:rPr>
        <w:t xml:space="preserve">Контракт</w:t>
      </w:r>
      <w:r>
        <w:rPr>
          <w:color w:val="000000"/>
          <w:sz w:val="20"/>
          <w:szCs w:val="20"/>
        </w:rPr>
        <w:t xml:space="preserve">а </w:t>
      </w:r>
      <w:r>
        <w:rPr>
          <w:color w:val="000000"/>
          <w:sz w:val="20"/>
          <w:szCs w:val="20"/>
        </w:rPr>
        <w:t xml:space="preserve">составляет</w:t>
      </w:r>
      <w:r>
        <w:rPr>
          <w:color w:val="000000"/>
          <w:sz w:val="20"/>
          <w:szCs w:val="20"/>
        </w:rPr>
        <w:t xml:space="preserve"> </w:t>
      </w:r>
      <w:bookmarkStart w:id="17" w:name="OLE_LINK1"/>
      <w:r>
        <w:rPr>
          <w:b/>
          <w:bCs w:val="0"/>
          <w:color w:val="000000"/>
          <w:sz w:val="20"/>
          <w:szCs w:val="20"/>
        </w:rPr>
        <w:t xml:space="preserve">105 </w:t>
      </w:r>
      <w:r>
        <w:rPr>
          <w:b/>
          <w:bCs w:val="0"/>
          <w:color w:val="000000"/>
          <w:sz w:val="20"/>
          <w:szCs w:val="20"/>
        </w:rPr>
        <w:t xml:space="preserve">0</w:t>
      </w:r>
      <w:r>
        <w:rPr>
          <w:b/>
          <w:bCs w:val="0"/>
          <w:color w:val="000000"/>
          <w:sz w:val="20"/>
          <w:szCs w:val="20"/>
        </w:rPr>
        <w:t xml:space="preserve">00 000</w:t>
      </w:r>
      <w:r>
        <w:rPr>
          <w:b/>
          <w:bCs w:val="0"/>
          <w:color w:val="000000"/>
          <w:sz w:val="20"/>
          <w:szCs w:val="20"/>
        </w:rPr>
        <w:t xml:space="preserve"> </w:t>
      </w:r>
      <w:bookmarkEnd w:id="13"/>
      <w:r>
        <w:rPr>
          <w:b/>
          <w:bCs w:val="0"/>
          <w:color w:val="000000"/>
          <w:sz w:val="20"/>
          <w:szCs w:val="20"/>
        </w:rPr>
        <w:t xml:space="preserve">(</w:t>
      </w:r>
      <w:r>
        <w:rPr>
          <w:b/>
          <w:bCs w:val="0"/>
          <w:color w:val="000000"/>
          <w:sz w:val="20"/>
          <w:szCs w:val="20"/>
        </w:rPr>
        <w:t xml:space="preserve">Сто пять</w:t>
      </w:r>
      <w:r>
        <w:rPr>
          <w:b/>
          <w:bCs w:val="0"/>
          <w:color w:val="000000"/>
          <w:sz w:val="20"/>
          <w:szCs w:val="20"/>
        </w:rPr>
        <w:t xml:space="preserve"> </w:t>
      </w:r>
      <w:r>
        <w:rPr>
          <w:b/>
          <w:bCs w:val="0"/>
          <w:color w:val="000000"/>
          <w:sz w:val="20"/>
          <w:szCs w:val="20"/>
        </w:rPr>
        <w:t xml:space="preserve">миллио</w:t>
      </w:r>
      <w:r>
        <w:rPr>
          <w:b/>
          <w:bCs w:val="0"/>
          <w:color w:val="000000"/>
          <w:sz w:val="20"/>
          <w:szCs w:val="20"/>
        </w:rPr>
        <w:t xml:space="preserve">нов</w:t>
      </w:r>
      <w:r>
        <w:rPr>
          <w:b/>
          <w:bCs w:val="0"/>
          <w:color w:val="000000"/>
          <w:sz w:val="20"/>
          <w:szCs w:val="20"/>
        </w:rPr>
        <w:t xml:space="preserve">)</w:t>
      </w:r>
      <w:r>
        <w:rPr>
          <w:b/>
          <w:bCs w:val="0"/>
          <w:color w:val="000000"/>
          <w:sz w:val="20"/>
          <w:szCs w:val="20"/>
        </w:rPr>
        <w:t xml:space="preserve"> рублей 00 копеек</w:t>
      </w:r>
      <w:r>
        <w:rPr>
          <w:color w:val="000000"/>
          <w:sz w:val="20"/>
          <w:szCs w:val="20"/>
        </w:rPr>
        <w:t xml:space="preserve">.</w:t>
      </w:r>
      <w:r>
        <w:rPr>
          <w:color w:val="000000"/>
          <w:sz w:val="20"/>
          <w:szCs w:val="20"/>
        </w:rPr>
      </w:r>
      <w:r>
        <w:rPr>
          <w:color w:val="000000"/>
          <w:sz w:val="20"/>
          <w:szCs w:val="20"/>
        </w:rPr>
      </w:r>
    </w:p>
    <w:p>
      <w:pPr>
        <w:pStyle w:val="905"/>
        <w:numPr>
          <w:ilvl w:val="0"/>
          <w:numId w:val="0"/>
        </w:numPr>
        <w:ind w:firstLine="567"/>
        <w:rPr>
          <w:color w:val="000000"/>
          <w:sz w:val="20"/>
          <w:szCs w:val="20"/>
        </w:rPr>
      </w:pPr>
      <w:r>
        <w:rPr>
          <w:color w:val="000000"/>
          <w:sz w:val="20"/>
          <w:szCs w:val="20"/>
        </w:rPr>
        <w:t xml:space="preserve">Страховая сумма п</w:t>
      </w:r>
      <w:r>
        <w:rPr>
          <w:color w:val="000000"/>
          <w:sz w:val="20"/>
          <w:szCs w:val="20"/>
        </w:rPr>
        <w:t xml:space="preserve">о каждому Застрахованному лицу </w:t>
      </w:r>
      <w:r>
        <w:rPr>
          <w:color w:val="000000"/>
          <w:sz w:val="20"/>
          <w:szCs w:val="20"/>
        </w:rPr>
        <w:t xml:space="preserve">устанавливается единая по всем страховым рискам и указывается в списке застрахованных лиц (Приложение №1 к настоящему </w:t>
      </w:r>
      <w:r>
        <w:rPr>
          <w:color w:val="000000"/>
          <w:sz w:val="20"/>
          <w:szCs w:val="20"/>
        </w:rPr>
        <w:t xml:space="preserve">Контракт</w:t>
      </w:r>
      <w:r>
        <w:rPr>
          <w:color w:val="000000"/>
          <w:sz w:val="20"/>
          <w:szCs w:val="20"/>
        </w:rPr>
        <w:t xml:space="preserve">у</w:t>
      </w:r>
      <w:r>
        <w:rPr>
          <w:color w:val="000000"/>
          <w:sz w:val="20"/>
          <w:szCs w:val="20"/>
        </w:rPr>
        <w:t xml:space="preserve">)</w:t>
      </w:r>
      <w:r>
        <w:rPr>
          <w:color w:val="000000"/>
          <w:sz w:val="20"/>
          <w:szCs w:val="20"/>
        </w:rPr>
        <w:t xml:space="preserve">.</w:t>
      </w:r>
      <w:r>
        <w:rPr>
          <w:color w:val="000000"/>
          <w:sz w:val="20"/>
          <w:szCs w:val="20"/>
        </w:rPr>
      </w:r>
    </w:p>
    <w:p>
      <w:pPr>
        <w:pStyle w:val="905"/>
        <w:ind w:left="0" w:firstLine="567"/>
        <w:rPr>
          <w:color w:val="000000"/>
          <w:sz w:val="20"/>
          <w:szCs w:val="20"/>
        </w:rPr>
      </w:pPr>
      <w:r>
        <w:rPr>
          <w:b/>
          <w:color w:val="000000"/>
          <w:sz w:val="20"/>
          <w:szCs w:val="20"/>
        </w:rPr>
        <w:t xml:space="preserve">Страховая премия (страховой взнос)</w:t>
      </w:r>
      <w:r>
        <w:rPr>
          <w:color w:val="000000"/>
          <w:sz w:val="20"/>
          <w:szCs w:val="20"/>
        </w:rPr>
        <w:t xml:space="preserve"> — плата за страхование, которую Страхователь обязан уплатить Страховщику в порядке и в сроки, установленные </w:t>
      </w:r>
      <w:r>
        <w:rPr>
          <w:color w:val="000000"/>
          <w:sz w:val="20"/>
          <w:szCs w:val="20"/>
        </w:rPr>
        <w:t xml:space="preserve">Контракт</w:t>
      </w:r>
      <w:r>
        <w:rPr>
          <w:color w:val="000000"/>
          <w:sz w:val="20"/>
          <w:szCs w:val="20"/>
        </w:rPr>
        <w:t xml:space="preserve">ом</w:t>
      </w:r>
      <w:r>
        <w:rPr>
          <w:color w:val="000000"/>
          <w:sz w:val="20"/>
          <w:szCs w:val="20"/>
        </w:rPr>
        <w:t xml:space="preserve">.</w:t>
      </w:r>
      <w:r>
        <w:rPr>
          <w:color w:val="000000"/>
          <w:sz w:val="20"/>
          <w:szCs w:val="20"/>
        </w:rPr>
      </w:r>
    </w:p>
    <w:p>
      <w:pPr>
        <w:pStyle w:val="905"/>
        <w:ind w:left="0" w:firstLine="567"/>
        <w:tabs>
          <w:tab w:val="left" w:pos="142" w:leader="none"/>
        </w:tabs>
        <w:rPr>
          <w:b/>
          <w:sz w:val="20"/>
          <w:szCs w:val="20"/>
        </w:rPr>
      </w:pPr>
      <w:r/>
      <w:bookmarkStart w:id="18" w:name="05"/>
      <w:r/>
      <w:bookmarkStart w:id="19" w:name="04"/>
      <w:r/>
      <w:bookmarkStart w:id="20" w:name="__RefHeading__56_785676609"/>
      <w:r/>
      <w:bookmarkStart w:id="21" w:name="_Ref253747425"/>
      <w:r/>
      <w:bookmarkStart w:id="22" w:name="07"/>
      <w:r/>
      <w:bookmarkStart w:id="23" w:name="06"/>
      <w:r/>
      <w:bookmarkStart w:id="24" w:name="_Toc264885887"/>
      <w:r>
        <w:rPr>
          <w:sz w:val="20"/>
          <w:szCs w:val="20"/>
        </w:rPr>
        <w:t xml:space="preserve">Общая сумма страховой премии по настоящему </w:t>
      </w:r>
      <w:r>
        <w:rPr>
          <w:sz w:val="20"/>
          <w:szCs w:val="20"/>
        </w:rPr>
        <w:t xml:space="preserve">Контракт</w:t>
      </w:r>
      <w:r>
        <w:rPr>
          <w:sz w:val="20"/>
          <w:szCs w:val="20"/>
        </w:rPr>
        <w:t xml:space="preserve">у (цена </w:t>
      </w:r>
      <w:r>
        <w:rPr>
          <w:sz w:val="20"/>
          <w:szCs w:val="20"/>
        </w:rPr>
        <w:t xml:space="preserve">Контракт</w:t>
      </w:r>
      <w:r>
        <w:rPr>
          <w:sz w:val="20"/>
          <w:szCs w:val="20"/>
        </w:rPr>
        <w:t xml:space="preserve">а) составляет: </w:t>
      </w:r>
      <w:r>
        <w:rPr>
          <w:b/>
          <w:sz w:val="20"/>
          <w:szCs w:val="20"/>
        </w:rPr>
        <w:t xml:space="preserve">________</w:t>
      </w:r>
      <w:r>
        <w:rPr>
          <w:b/>
          <w:color w:val="000000"/>
          <w:sz w:val="20"/>
          <w:szCs w:val="20"/>
        </w:rPr>
        <w:t xml:space="preserve"> рублей </w:t>
      </w:r>
      <w:r>
        <w:rPr>
          <w:b/>
          <w:color w:val="000000"/>
          <w:sz w:val="20"/>
          <w:szCs w:val="20"/>
        </w:rPr>
        <w:t xml:space="preserve">____</w:t>
      </w:r>
      <w:r>
        <w:rPr>
          <w:b/>
          <w:color w:val="000000"/>
          <w:sz w:val="20"/>
          <w:szCs w:val="20"/>
        </w:rPr>
        <w:t xml:space="preserve"> копеек, </w:t>
      </w:r>
      <w:r>
        <w:rPr>
          <w:bCs w:val="0"/>
          <w:color w:val="000000"/>
          <w:sz w:val="20"/>
          <w:szCs w:val="20"/>
        </w:rPr>
        <w:t xml:space="preserve">НДС не облагается</w:t>
      </w:r>
      <w:r>
        <w:rPr>
          <w:b/>
          <w:sz w:val="20"/>
          <w:szCs w:val="20"/>
        </w:rPr>
        <w:t xml:space="preserve">.</w:t>
      </w:r>
      <w:r>
        <w:rPr>
          <w:b/>
          <w:sz w:val="20"/>
          <w:szCs w:val="20"/>
        </w:rPr>
      </w:r>
    </w:p>
    <w:p>
      <w:pPr>
        <w:pStyle w:val="905"/>
        <w:ind w:left="0" w:firstLine="567"/>
        <w:rPr>
          <w:color w:val="000000"/>
          <w:sz w:val="20"/>
          <w:szCs w:val="20"/>
        </w:rPr>
      </w:pPr>
      <w:r>
        <w:rPr>
          <w:color w:val="000000"/>
          <w:sz w:val="20"/>
          <w:szCs w:val="20"/>
        </w:rPr>
        <w:t xml:space="preserve">Страховая премия уплачивается Страхователем Страховщику безналичным путем на основании предоставленных оригиналов документов: страхового полиса, счета и иных необходимых для оплаты документов в следующем порядке: </w:t>
      </w:r>
      <w:r>
        <w:rPr>
          <w:color w:val="000000"/>
          <w:sz w:val="20"/>
          <w:szCs w:val="20"/>
        </w:rPr>
      </w:r>
    </w:p>
    <w:p>
      <w:pPr>
        <w:pStyle w:val="905"/>
        <w:numPr>
          <w:ilvl w:val="0"/>
          <w:numId w:val="0"/>
        </w:numPr>
        <w:ind w:firstLine="567"/>
        <w:rPr>
          <w:color w:val="000000"/>
          <w:sz w:val="20"/>
          <w:szCs w:val="20"/>
        </w:rPr>
      </w:pPr>
      <w:r>
        <w:rPr>
          <w:color w:val="000000"/>
          <w:sz w:val="20"/>
          <w:szCs w:val="20"/>
        </w:rPr>
        <w:t xml:space="preserve">7.5.1. авансовый платеж в размере </w:t>
      </w:r>
      <w:r>
        <w:rPr>
          <w:color w:val="000000"/>
          <w:sz w:val="20"/>
          <w:szCs w:val="20"/>
        </w:rPr>
        <w:t xml:space="preserve">1</w:t>
      </w:r>
      <w:r>
        <w:rPr>
          <w:color w:val="000000"/>
          <w:sz w:val="20"/>
          <w:szCs w:val="20"/>
        </w:rPr>
        <w:t xml:space="preserve">0</w:t>
      </w:r>
      <w:r>
        <w:rPr>
          <w:color w:val="000000"/>
          <w:sz w:val="20"/>
          <w:szCs w:val="20"/>
        </w:rPr>
        <w:t xml:space="preserve">% от суммы страховой премии, </w:t>
      </w:r>
      <w:r>
        <w:rPr>
          <w:color w:val="000000"/>
          <w:sz w:val="20"/>
          <w:szCs w:val="20"/>
        </w:rPr>
        <w:t xml:space="preserve">составляющий рублей </w:t>
      </w:r>
      <w:r>
        <w:rPr>
          <w:color w:val="000000"/>
          <w:sz w:val="20"/>
          <w:szCs w:val="20"/>
        </w:rPr>
        <w:t xml:space="preserve">__</w:t>
      </w:r>
      <w:r>
        <w:rPr>
          <w:color w:val="000000"/>
          <w:sz w:val="20"/>
          <w:szCs w:val="20"/>
        </w:rPr>
        <w:t xml:space="preserve"> копеек, осуществляется на основании предоставленного в бухгалтерию Страхователя оригинала счёта и страхового полиса в течение 7 (семи) рабочих дней с даты получения Страхователем</w:t>
      </w:r>
      <w:r>
        <w:rPr>
          <w:color w:val="000000"/>
          <w:sz w:val="20"/>
          <w:szCs w:val="20"/>
        </w:rPr>
        <w:t xml:space="preserve"> полиса и оригинала счета;</w:t>
      </w:r>
      <w:r>
        <w:rPr>
          <w:color w:val="000000"/>
          <w:sz w:val="20"/>
          <w:szCs w:val="20"/>
        </w:rPr>
      </w:r>
    </w:p>
    <w:p>
      <w:pPr>
        <w:pStyle w:val="909"/>
        <w:numPr>
          <w:ilvl w:val="2"/>
          <w:numId w:val="6"/>
        </w:numPr>
        <w:ind w:left="0" w:firstLine="567"/>
        <w:rPr>
          <w:color w:val="000000"/>
          <w:sz w:val="20"/>
          <w:szCs w:val="20"/>
        </w:rPr>
      </w:pPr>
      <w:r>
        <w:rPr>
          <w:color w:val="000000"/>
          <w:sz w:val="20"/>
          <w:szCs w:val="20"/>
        </w:rPr>
        <w:t xml:space="preserve">окончательная оплата осуществляется в течение 7 (семи) рабочих дней с даты подписания Страхователем Акта сдачи-приемки оказанных услуг, на основании оригиналов счета и данного Акта.</w:t>
      </w:r>
      <w:r>
        <w:rPr>
          <w:color w:val="000000"/>
          <w:sz w:val="20"/>
          <w:szCs w:val="20"/>
        </w:rPr>
      </w:r>
    </w:p>
    <w:p>
      <w:pPr>
        <w:pStyle w:val="905"/>
        <w:ind w:left="0" w:firstLine="567"/>
        <w:rPr>
          <w:color w:val="000000"/>
          <w:sz w:val="20"/>
          <w:szCs w:val="20"/>
        </w:rPr>
      </w:pPr>
      <w:r>
        <w:rPr>
          <w:color w:val="000000"/>
          <w:sz w:val="20"/>
          <w:szCs w:val="20"/>
        </w:rPr>
        <w:t xml:space="preserve">Датой уплаты страховой премии считается дата списания денежных средств с расчетного счета Страхователя.</w:t>
      </w:r>
      <w:r>
        <w:rPr>
          <w:color w:val="000000"/>
          <w:sz w:val="20"/>
          <w:szCs w:val="20"/>
        </w:rPr>
      </w:r>
    </w:p>
    <w:p>
      <w:pPr>
        <w:pStyle w:val="905"/>
        <w:ind w:left="0" w:firstLine="567"/>
        <w:rPr>
          <w:color w:val="000000"/>
          <w:sz w:val="20"/>
          <w:szCs w:val="20"/>
        </w:rPr>
      </w:pPr>
      <w:r>
        <w:rPr>
          <w:color w:val="000000"/>
          <w:sz w:val="20"/>
          <w:szCs w:val="20"/>
        </w:rPr>
        <w:t xml:space="preserve">Сумма, подлежащая уплате Страховщику, уменьшается на размер налогов, сборов и иных обязательных платежей в бюджеты бюджетной системы Российской Фе</w:t>
      </w:r>
      <w:r>
        <w:rPr>
          <w:color w:val="000000"/>
          <w:sz w:val="20"/>
          <w:szCs w:val="20"/>
        </w:rPr>
        <w:t xml:space="preserve">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r>
        <w:rPr>
          <w:color w:val="000000"/>
          <w:sz w:val="20"/>
          <w:szCs w:val="20"/>
        </w:rPr>
      </w:r>
    </w:p>
    <w:p>
      <w:pPr>
        <w:pStyle w:val="905"/>
        <w:ind w:left="0" w:firstLine="567"/>
        <w:rPr>
          <w:color w:val="000000"/>
          <w:sz w:val="20"/>
          <w:szCs w:val="20"/>
        </w:rPr>
      </w:pPr>
      <w:r>
        <w:rPr>
          <w:color w:val="000000"/>
          <w:sz w:val="20"/>
          <w:szCs w:val="20"/>
        </w:rPr>
        <w:t xml:space="preserve">Цена контракта является твёрдой и определяется на весь срок исполнения Контракта. </w:t>
      </w:r>
      <w:r>
        <w:rPr>
          <w:color w:val="000000"/>
          <w:sz w:val="20"/>
          <w:szCs w:val="20"/>
        </w:rPr>
      </w:r>
    </w:p>
    <w:p>
      <w:pPr>
        <w:pStyle w:val="905"/>
        <w:ind w:left="0" w:firstLine="567"/>
        <w:rPr>
          <w:color w:val="000000"/>
          <w:sz w:val="20"/>
          <w:szCs w:val="20"/>
        </w:rPr>
      </w:pPr>
      <w:r>
        <w:rPr>
          <w:color w:val="000000"/>
          <w:sz w:val="20"/>
          <w:szCs w:val="20"/>
        </w:rPr>
        <w:t xml:space="preserve">В случае несвоевременного предоставления оформленных в соответствии с требованиями законодательства РФ документов (Акта сдачи-приёмки оказанных услуг, счёта, иных документов) </w:t>
      </w:r>
      <w:r>
        <w:rPr>
          <w:color w:val="000000"/>
          <w:sz w:val="20"/>
          <w:szCs w:val="20"/>
        </w:rPr>
        <w:t xml:space="preserve">в сроки, установленные законодательством РФ и предусмотренные Контрактом, Страхователь вправе произвести задержку в перечислении денежных средств в качестве оплаты услуг на соответствующее количество дней задержки Страховщиком в предоставлении документов. </w:t>
      </w:r>
      <w:r>
        <w:rPr>
          <w:color w:val="000000"/>
          <w:sz w:val="20"/>
          <w:szCs w:val="20"/>
        </w:rPr>
      </w:r>
    </w:p>
    <w:p>
      <w:pPr>
        <w:pStyle w:val="905"/>
        <w:numPr>
          <w:ilvl w:val="0"/>
          <w:numId w:val="0"/>
        </w:numPr>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rPr>
          <w:color w:val="000000"/>
          <w:sz w:val="20"/>
          <w:szCs w:val="20"/>
        </w:rPr>
        <w:t xml:space="preserve">ПРАВА И ОБЯЗАННОСТИ СТОРОН</w:t>
      </w:r>
      <w:bookmarkEnd w:id="14"/>
      <w:r>
        <w:rPr>
          <w:color w:val="000000"/>
          <w:sz w:val="20"/>
          <w:szCs w:val="20"/>
        </w:rPr>
      </w:r>
      <w:r>
        <w:rPr>
          <w:color w:val="000000"/>
          <w:sz w:val="20"/>
          <w:szCs w:val="20"/>
        </w:rPr>
      </w:r>
    </w:p>
    <w:p>
      <w:pPr>
        <w:pStyle w:val="905"/>
        <w:ind w:left="0" w:firstLine="567"/>
        <w:rPr>
          <w:b/>
          <w:color w:val="000000"/>
          <w:sz w:val="20"/>
          <w:szCs w:val="20"/>
        </w:rPr>
      </w:pPr>
      <w:r>
        <w:rPr>
          <w:color w:val="000000"/>
          <w:sz w:val="20"/>
          <w:szCs w:val="20"/>
        </w:rPr>
        <w:t xml:space="preserve">В период действия </w:t>
      </w:r>
      <w:r>
        <w:rPr>
          <w:color w:val="000000"/>
          <w:sz w:val="20"/>
          <w:szCs w:val="20"/>
        </w:rPr>
        <w:t xml:space="preserve">Контракт</w:t>
      </w:r>
      <w:r>
        <w:rPr>
          <w:color w:val="000000"/>
          <w:sz w:val="20"/>
          <w:szCs w:val="20"/>
        </w:rPr>
        <w:t xml:space="preserve">а </w:t>
      </w:r>
      <w:r>
        <w:rPr>
          <w:b/>
          <w:color w:val="000000"/>
          <w:sz w:val="20"/>
          <w:szCs w:val="20"/>
          <w:u w:val="single"/>
        </w:rPr>
        <w:t xml:space="preserve">Страхователь имеет право</w:t>
      </w:r>
      <w:r>
        <w:rPr>
          <w:b/>
          <w:color w:val="000000"/>
          <w:sz w:val="20"/>
          <w:szCs w:val="20"/>
        </w:rPr>
        <w:t xml:space="preserve">:</w:t>
      </w:r>
      <w:r>
        <w:rPr>
          <w:b/>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получать любые разъяснения по заключенному </w:t>
      </w:r>
      <w:r>
        <w:rPr>
          <w:color w:val="000000"/>
          <w:sz w:val="20"/>
          <w:szCs w:val="20"/>
        </w:rPr>
        <w:t xml:space="preserve">Контракт</w:t>
      </w:r>
      <w:r>
        <w:rPr>
          <w:color w:val="000000"/>
          <w:sz w:val="20"/>
          <w:szCs w:val="20"/>
        </w:rPr>
        <w:t xml:space="preserve">у</w:t>
      </w:r>
      <w:r>
        <w:rPr>
          <w:color w:val="000000"/>
          <w:sz w:val="20"/>
          <w:szCs w:val="20"/>
        </w:rPr>
        <w:t xml:space="preserve">;</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досрочно расторгнуть </w:t>
      </w:r>
      <w:r>
        <w:rPr>
          <w:color w:val="000000"/>
          <w:sz w:val="20"/>
          <w:szCs w:val="20"/>
        </w:rPr>
        <w:t xml:space="preserve">Контракт</w:t>
      </w:r>
      <w:r>
        <w:rPr>
          <w:color w:val="000000"/>
          <w:sz w:val="20"/>
          <w:szCs w:val="20"/>
        </w:rPr>
        <w:t xml:space="preserve"> в соответствии с условиями </w:t>
      </w:r>
      <w:r>
        <w:rPr>
          <w:color w:val="000000"/>
          <w:sz w:val="20"/>
          <w:szCs w:val="20"/>
        </w:rPr>
        <w:t xml:space="preserve">Контракт</w:t>
      </w:r>
      <w:r>
        <w:rPr>
          <w:color w:val="000000"/>
          <w:sz w:val="20"/>
          <w:szCs w:val="20"/>
        </w:rPr>
        <w:t xml:space="preserve">а </w:t>
      </w:r>
      <w:r>
        <w:rPr>
          <w:color w:val="000000"/>
          <w:sz w:val="20"/>
          <w:szCs w:val="20"/>
        </w:rPr>
        <w:t xml:space="preserve">и действующим российским законодательством;</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получить дубликат </w:t>
      </w:r>
      <w:r>
        <w:rPr>
          <w:color w:val="000000"/>
          <w:sz w:val="20"/>
          <w:szCs w:val="20"/>
        </w:rPr>
        <w:t xml:space="preserve">Контракт</w:t>
      </w:r>
      <w:r>
        <w:rPr>
          <w:color w:val="000000"/>
          <w:sz w:val="20"/>
          <w:szCs w:val="20"/>
        </w:rPr>
        <w:t xml:space="preserve">а в случае его утраты;</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назначать и заменять Выгодоприобретателя по всем или отдельно взятым рискам с письменног</w:t>
      </w:r>
      <w:r>
        <w:rPr>
          <w:color w:val="000000"/>
          <w:sz w:val="20"/>
          <w:szCs w:val="20"/>
        </w:rPr>
        <w:t xml:space="preserve">о согласия Застрахованного лица.</w:t>
      </w:r>
      <w:r>
        <w:rPr>
          <w:color w:val="000000"/>
          <w:sz w:val="20"/>
          <w:szCs w:val="20"/>
        </w:rPr>
      </w:r>
      <w:r>
        <w:rPr>
          <w:color w:val="000000"/>
          <w:sz w:val="20"/>
          <w:szCs w:val="20"/>
        </w:rPr>
      </w:r>
    </w:p>
    <w:p>
      <w:pPr>
        <w:pStyle w:val="905"/>
        <w:ind w:left="0" w:firstLine="567"/>
        <w:rPr>
          <w:b/>
          <w:color w:val="000000"/>
          <w:sz w:val="20"/>
          <w:szCs w:val="20"/>
          <w:u w:val="single"/>
        </w:rPr>
      </w:pPr>
      <w:r>
        <w:rPr>
          <w:b/>
          <w:color w:val="000000"/>
          <w:sz w:val="20"/>
          <w:szCs w:val="20"/>
          <w:u w:val="single"/>
        </w:rPr>
        <w:t xml:space="preserve">Страхователь обязан:</w:t>
      </w:r>
      <w:r>
        <w:rPr>
          <w:b/>
          <w:color w:val="000000"/>
          <w:sz w:val="20"/>
          <w:szCs w:val="20"/>
          <w:u w:val="single"/>
        </w:rPr>
      </w:r>
    </w:p>
    <w:p>
      <w:pPr>
        <w:pStyle w:val="909"/>
        <w:ind w:left="0" w:firstLine="567"/>
        <w:tabs>
          <w:tab w:val="left" w:pos="0" w:leader="none"/>
        </w:tabs>
        <w:rPr>
          <w:color w:val="000000"/>
          <w:sz w:val="20"/>
          <w:szCs w:val="20"/>
        </w:rPr>
      </w:pPr>
      <w:r>
        <w:rPr>
          <w:color w:val="000000"/>
          <w:sz w:val="20"/>
          <w:szCs w:val="20"/>
        </w:rPr>
        <w:t xml:space="preserve">сообщить Страховщику при заключении </w:t>
      </w:r>
      <w:r>
        <w:rPr>
          <w:color w:val="000000"/>
          <w:sz w:val="20"/>
          <w:szCs w:val="20"/>
        </w:rPr>
        <w:t xml:space="preserve">Контракт</w:t>
      </w:r>
      <w:r>
        <w:rPr>
          <w:color w:val="000000"/>
          <w:sz w:val="20"/>
          <w:szCs w:val="20"/>
        </w:rPr>
        <w:t xml:space="preserve">а достоверную информацию, имеющую значение для определения степени риска;</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своевременно информировать Страховщика об изменении персонального состава страхуемых работников (застрахованных лиц);</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оплатить страховую премию в порядке, сроки, предусмотренные </w:t>
      </w:r>
      <w:r>
        <w:rPr>
          <w:color w:val="000000"/>
          <w:sz w:val="20"/>
          <w:szCs w:val="20"/>
        </w:rPr>
        <w:t xml:space="preserve">Контракт</w:t>
      </w:r>
      <w:r>
        <w:rPr>
          <w:color w:val="000000"/>
          <w:sz w:val="20"/>
          <w:szCs w:val="20"/>
        </w:rPr>
        <w:t xml:space="preserve">ом, и в полном размере;</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поставить в известность Застрахованного(-ых) об условиях </w:t>
      </w:r>
      <w:r>
        <w:rPr>
          <w:color w:val="000000"/>
          <w:sz w:val="20"/>
          <w:szCs w:val="20"/>
        </w:rPr>
        <w:t xml:space="preserve">Контракт</w:t>
      </w:r>
      <w:r>
        <w:rPr>
          <w:color w:val="000000"/>
          <w:sz w:val="20"/>
          <w:szCs w:val="20"/>
        </w:rPr>
        <w:t xml:space="preserve">а и их изменениях;</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в период действия </w:t>
      </w:r>
      <w:r>
        <w:rPr>
          <w:color w:val="000000"/>
          <w:sz w:val="20"/>
          <w:szCs w:val="20"/>
        </w:rPr>
        <w:t xml:space="preserve">Контракт</w:t>
      </w:r>
      <w:r>
        <w:rPr>
          <w:color w:val="000000"/>
          <w:sz w:val="20"/>
          <w:szCs w:val="20"/>
        </w:rPr>
        <w:t xml:space="preserve">а незамедлительно сообщать Страховщику обо всех ставших ему известными существенных изменениях в обстоятельствах, заявленных Страховщику при заключении </w:t>
      </w:r>
      <w:r>
        <w:rPr>
          <w:color w:val="000000"/>
          <w:sz w:val="20"/>
          <w:szCs w:val="20"/>
        </w:rPr>
        <w:t xml:space="preserve">Контракт</w:t>
      </w:r>
      <w:r>
        <w:rPr>
          <w:color w:val="000000"/>
          <w:sz w:val="20"/>
          <w:szCs w:val="20"/>
        </w:rPr>
        <w:t xml:space="preserve">а, если эти изменения могут существенно повлиять на увеличение страхового риска;</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немедленно соо</w:t>
      </w:r>
      <w:r>
        <w:rPr>
          <w:color w:val="000000"/>
          <w:sz w:val="20"/>
          <w:szCs w:val="20"/>
        </w:rPr>
        <w:t xml:space="preserve">бщить в правоохранительные органы — ОВД, Прокуратуру, ГИБДД и т. д., если травма или гибель Застрахованного лица произошли в результате дорожно-транспортного происшествия (ДТП), взрыва, возгорания или явились следствием противоправных действий третьих лиц;</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сообщить Страховщику о наступлении страхового случая в течение 30 </w:t>
      </w:r>
      <w:r>
        <w:rPr>
          <w:color w:val="000000"/>
          <w:sz w:val="20"/>
          <w:szCs w:val="20"/>
        </w:rPr>
        <w:t xml:space="preserve">(тридцати) календарных дней, начиная со дня, следующего за днем наступления страхового случая, любым доступным ему способом, позволяющим объективно зафиксировать факт сообщения, или с момента устранения обстоятельств, препятствующих соблюдению этого срока;</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исполнять иные положени</w:t>
      </w:r>
      <w:r>
        <w:rPr>
          <w:color w:val="000000"/>
          <w:sz w:val="20"/>
          <w:szCs w:val="20"/>
        </w:rPr>
        <w:t xml:space="preserve">я настоящего </w:t>
      </w:r>
      <w:r>
        <w:rPr>
          <w:color w:val="000000"/>
          <w:sz w:val="20"/>
          <w:szCs w:val="20"/>
        </w:rPr>
        <w:t xml:space="preserve">Контракт</w:t>
      </w:r>
      <w:r>
        <w:rPr>
          <w:color w:val="000000"/>
          <w:sz w:val="20"/>
          <w:szCs w:val="20"/>
        </w:rPr>
        <w:t xml:space="preserve">а </w:t>
      </w:r>
      <w:r>
        <w:rPr>
          <w:color w:val="000000"/>
          <w:sz w:val="20"/>
          <w:szCs w:val="20"/>
        </w:rPr>
        <w:t xml:space="preserve">закрепляющих </w:t>
      </w:r>
      <w:r>
        <w:rPr>
          <w:color w:val="000000"/>
          <w:sz w:val="20"/>
          <w:szCs w:val="20"/>
        </w:rPr>
        <w:t xml:space="preserve">Контракт</w:t>
      </w:r>
      <w:r>
        <w:rPr>
          <w:color w:val="000000"/>
          <w:sz w:val="20"/>
          <w:szCs w:val="20"/>
        </w:rPr>
        <w:t xml:space="preserve">ные отношения между Страхователем и Страховщиком, связанные с заключением, исполнением или прекращением этих отношений.</w:t>
      </w:r>
      <w:r>
        <w:rPr>
          <w:color w:val="000000"/>
          <w:sz w:val="20"/>
          <w:szCs w:val="20"/>
        </w:rPr>
      </w:r>
    </w:p>
    <w:p>
      <w:pPr>
        <w:pStyle w:val="905"/>
        <w:ind w:left="0" w:firstLine="567"/>
        <w:keepNext/>
        <w:rPr>
          <w:b/>
          <w:color w:val="000000"/>
          <w:sz w:val="20"/>
          <w:szCs w:val="20"/>
          <w:u w:val="single"/>
        </w:rPr>
      </w:pPr>
      <w:r>
        <w:rPr>
          <w:b/>
          <w:color w:val="000000"/>
          <w:sz w:val="20"/>
          <w:szCs w:val="20"/>
          <w:u w:val="single"/>
        </w:rPr>
        <w:t xml:space="preserve">Застрахованный имеет право:</w:t>
      </w:r>
      <w:r>
        <w:rPr>
          <w:b/>
          <w:color w:val="000000"/>
          <w:sz w:val="20"/>
          <w:szCs w:val="20"/>
          <w:u w:val="single"/>
        </w:rPr>
      </w:r>
    </w:p>
    <w:p>
      <w:pPr>
        <w:pStyle w:val="909"/>
        <w:ind w:left="0" w:firstLine="567"/>
        <w:rPr>
          <w:color w:val="000000"/>
          <w:sz w:val="20"/>
          <w:szCs w:val="20"/>
        </w:rPr>
      </w:pPr>
      <w:r>
        <w:rPr>
          <w:color w:val="000000"/>
          <w:sz w:val="20"/>
          <w:szCs w:val="20"/>
        </w:rPr>
        <w:t xml:space="preserve">ознакомиться с условиями </w:t>
      </w:r>
      <w:r>
        <w:rPr>
          <w:color w:val="000000"/>
          <w:sz w:val="20"/>
          <w:szCs w:val="20"/>
        </w:rPr>
        <w:t xml:space="preserve">Контракт</w:t>
      </w:r>
      <w:r>
        <w:rPr>
          <w:color w:val="000000"/>
          <w:sz w:val="20"/>
          <w:szCs w:val="20"/>
        </w:rPr>
        <w:t xml:space="preserve">а;</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получить </w:t>
      </w:r>
      <w:r>
        <w:rPr>
          <w:color w:val="000000"/>
          <w:sz w:val="20"/>
          <w:szCs w:val="20"/>
        </w:rPr>
        <w:t xml:space="preserve">страховую выплату </w:t>
      </w:r>
      <w:r>
        <w:rPr>
          <w:color w:val="000000"/>
          <w:sz w:val="20"/>
          <w:szCs w:val="20"/>
        </w:rPr>
        <w:t xml:space="preserve">в соответствии с </w:t>
      </w:r>
      <w:r>
        <w:rPr>
          <w:color w:val="000000"/>
          <w:sz w:val="20"/>
          <w:szCs w:val="20"/>
        </w:rPr>
        <w:t xml:space="preserve">Контракт</w:t>
      </w:r>
      <w:r>
        <w:rPr>
          <w:color w:val="000000"/>
          <w:sz w:val="20"/>
          <w:szCs w:val="20"/>
        </w:rPr>
        <w:t xml:space="preserve">ом;</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принять на себя обязанности Страхователя в случае его ликвидации (для юридического лица), или отказа от выполнения своих обязательств перед Страховщиком</w:t>
      </w:r>
      <w:r>
        <w:rPr>
          <w:color w:val="000000"/>
          <w:sz w:val="20"/>
          <w:szCs w:val="20"/>
        </w:rPr>
        <w:t xml:space="preserve">;</w:t>
      </w:r>
      <w:r>
        <w:rPr>
          <w:color w:val="000000"/>
          <w:sz w:val="20"/>
          <w:szCs w:val="20"/>
        </w:rPr>
      </w:r>
      <w:r>
        <w:rPr>
          <w:color w:val="000000"/>
          <w:sz w:val="20"/>
          <w:szCs w:val="20"/>
        </w:rPr>
      </w:r>
    </w:p>
    <w:p>
      <w:pPr>
        <w:pStyle w:val="905"/>
        <w:ind w:left="0" w:firstLine="567"/>
        <w:rPr>
          <w:b/>
          <w:color w:val="000000"/>
          <w:sz w:val="20"/>
          <w:szCs w:val="20"/>
        </w:rPr>
      </w:pPr>
      <w:r>
        <w:rPr>
          <w:b/>
          <w:color w:val="000000"/>
          <w:sz w:val="20"/>
          <w:szCs w:val="20"/>
          <w:u w:val="single"/>
        </w:rPr>
        <w:t xml:space="preserve">Застрахованный обязан</w:t>
      </w:r>
      <w:r>
        <w:rPr>
          <w:b/>
          <w:color w:val="000000"/>
          <w:sz w:val="20"/>
          <w:szCs w:val="20"/>
        </w:rPr>
        <w:t xml:space="preserve"> </w:t>
      </w:r>
      <w:r>
        <w:rPr>
          <w:color w:val="000000"/>
          <w:sz w:val="20"/>
          <w:szCs w:val="20"/>
        </w:rPr>
        <w:t xml:space="preserve">при наступлении несчастного случая</w:t>
      </w:r>
      <w:r>
        <w:rPr>
          <w:b/>
          <w:color w:val="000000"/>
          <w:sz w:val="20"/>
          <w:szCs w:val="20"/>
        </w:rPr>
        <w:t xml:space="preserve">:</w:t>
      </w:r>
      <w:r>
        <w:rPr>
          <w:b/>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принять разумные и доступные в сложившейся обстановке меры к предотвращению и уменьшению ущерба здоровью; </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обратиться в лечебное учреждение для объективной оценки вреда, причиненного здоровью, и получить медицинский документ, удостоверяющий факт наступления несчастного случая;</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неукоснительно выполнять рекомендации специалистов лечебных учреждений, осуществляющих лечебно-профилактические мероприятия в связи с наступившим событием;</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в срок, не превышающий</w:t>
      </w:r>
      <w:r>
        <w:rPr>
          <w:bCs/>
          <w:color w:val="000000"/>
          <w:sz w:val="20"/>
          <w:szCs w:val="20"/>
        </w:rPr>
        <w:t xml:space="preserve"> 30 (тридцати) календарных дней со дня причинения вреда жизни и здоровью Застрахованного или с момента устранения</w:t>
      </w:r>
      <w:r>
        <w:rPr>
          <w:color w:val="000000"/>
          <w:sz w:val="20"/>
          <w:szCs w:val="20"/>
        </w:rPr>
        <w:t xml:space="preserve"> обстоятельств, препятствующих соблюдению этого срока, уведомить о свершившемся страховом событии Страховщика путем подачи </w:t>
      </w:r>
      <w:r>
        <w:rPr>
          <w:color w:val="000000"/>
          <w:sz w:val="20"/>
          <w:szCs w:val="20"/>
        </w:rPr>
        <w:t xml:space="preserve">соответствующего заявления.</w:t>
      </w:r>
      <w:r>
        <w:rPr>
          <w:color w:val="000000"/>
          <w:sz w:val="20"/>
          <w:szCs w:val="20"/>
        </w:rPr>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предоставить относящиеся к данному страховому событию документы</w:t>
      </w:r>
      <w:r>
        <w:rPr>
          <w:color w:val="000000"/>
          <w:sz w:val="20"/>
          <w:szCs w:val="20"/>
        </w:rPr>
        <w:t xml:space="preserve">, имеющиеся в распоряжении Застрахованного лица</w:t>
      </w:r>
      <w:r>
        <w:rPr>
          <w:color w:val="000000"/>
          <w:sz w:val="20"/>
          <w:szCs w:val="20"/>
        </w:rPr>
        <w:t xml:space="preserve"> и ответить на вопросы Страховщика, касающиеся всех обстоятельств и последствий несчастного случая.</w:t>
      </w:r>
      <w:r>
        <w:rPr>
          <w:color w:val="000000"/>
          <w:sz w:val="20"/>
          <w:szCs w:val="20"/>
        </w:rPr>
      </w:r>
    </w:p>
    <w:p>
      <w:pPr>
        <w:pStyle w:val="905"/>
        <w:ind w:left="0" w:firstLine="567"/>
        <w:rPr>
          <w:b/>
          <w:color w:val="000000"/>
          <w:sz w:val="20"/>
          <w:szCs w:val="20"/>
          <w:u w:val="single"/>
        </w:rPr>
      </w:pPr>
      <w:r>
        <w:rPr>
          <w:b/>
          <w:color w:val="000000"/>
          <w:sz w:val="20"/>
          <w:szCs w:val="20"/>
          <w:u w:val="single"/>
        </w:rPr>
        <w:t xml:space="preserve">Страховщик имеет право:</w:t>
      </w:r>
      <w:r>
        <w:rPr>
          <w:b/>
          <w:color w:val="000000"/>
          <w:sz w:val="20"/>
          <w:szCs w:val="20"/>
          <w:u w:val="single"/>
        </w:rPr>
      </w:r>
    </w:p>
    <w:p>
      <w:pPr>
        <w:pStyle w:val="909"/>
        <w:ind w:left="0" w:firstLine="567"/>
        <w:tabs>
          <w:tab w:val="left" w:pos="0" w:leader="none"/>
        </w:tabs>
        <w:rPr>
          <w:color w:val="000000"/>
          <w:sz w:val="20"/>
          <w:szCs w:val="20"/>
        </w:rPr>
      </w:pPr>
      <w:r>
        <w:rPr>
          <w:color w:val="000000"/>
          <w:sz w:val="20"/>
          <w:szCs w:val="20"/>
        </w:rPr>
        <w:t xml:space="preserve">проверять достоверность данных и информации, сообщаемой Страхователем или Застрахованными, любыми доступными ему способами, не противоречащими законодательству Российской Федерации;</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для принятия решения о </w:t>
      </w:r>
      <w:r>
        <w:rPr>
          <w:color w:val="000000"/>
          <w:sz w:val="20"/>
          <w:szCs w:val="20"/>
        </w:rPr>
        <w:t xml:space="preserve">страховой </w:t>
      </w:r>
      <w:r>
        <w:rPr>
          <w:color w:val="000000"/>
          <w:sz w:val="20"/>
          <w:szCs w:val="20"/>
        </w:rPr>
        <w:t xml:space="preserve">выплате направлять при необходимости в компетентные органы запросы об обстоятельствах наступления страхового случая</w:t>
      </w:r>
      <w:r>
        <w:rPr>
          <w:color w:val="000000"/>
          <w:sz w:val="20"/>
          <w:szCs w:val="20"/>
        </w:rPr>
        <w:t xml:space="preserve">.</w:t>
      </w:r>
      <w:r>
        <w:rPr>
          <w:color w:val="000000"/>
          <w:sz w:val="20"/>
          <w:szCs w:val="20"/>
        </w:rPr>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пользоваться иными правами, осуществлять иные действия в порядке исполнения положени</w:t>
      </w:r>
      <w:r>
        <w:rPr>
          <w:color w:val="000000"/>
          <w:sz w:val="20"/>
          <w:szCs w:val="20"/>
        </w:rPr>
        <w:t xml:space="preserve">й </w:t>
      </w:r>
      <w:r>
        <w:rPr>
          <w:color w:val="000000"/>
          <w:sz w:val="20"/>
          <w:szCs w:val="20"/>
        </w:rPr>
        <w:t xml:space="preserve">Контракт</w:t>
      </w:r>
      <w:r>
        <w:rPr>
          <w:color w:val="000000"/>
          <w:sz w:val="20"/>
          <w:szCs w:val="20"/>
        </w:rPr>
        <w:t xml:space="preserve">а</w:t>
      </w:r>
      <w:r>
        <w:rPr>
          <w:color w:val="000000"/>
          <w:sz w:val="20"/>
          <w:szCs w:val="20"/>
        </w:rPr>
        <w:t xml:space="preserve">.</w:t>
      </w:r>
      <w:r>
        <w:rPr>
          <w:color w:val="000000"/>
          <w:sz w:val="20"/>
          <w:szCs w:val="20"/>
        </w:rPr>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отказать в </w:t>
      </w:r>
      <w:r>
        <w:rPr>
          <w:color w:val="000000"/>
          <w:sz w:val="20"/>
          <w:szCs w:val="20"/>
        </w:rPr>
        <w:t xml:space="preserve">страховой </w:t>
      </w:r>
      <w:r>
        <w:rPr>
          <w:color w:val="000000"/>
          <w:sz w:val="20"/>
          <w:szCs w:val="20"/>
        </w:rPr>
        <w:t xml:space="preserve">выплате, если Страхователь/Застрахованный (Выгодоприобретатель):</w:t>
      </w:r>
      <w:r>
        <w:rPr>
          <w:color w:val="000000"/>
          <w:sz w:val="20"/>
          <w:szCs w:val="20"/>
        </w:rPr>
      </w:r>
    </w:p>
    <w:p>
      <w:pPr>
        <w:pStyle w:val="909"/>
        <w:numPr>
          <w:ilvl w:val="0"/>
          <w:numId w:val="5"/>
        </w:numPr>
        <w:ind w:left="0" w:firstLine="567"/>
        <w:tabs>
          <w:tab w:val="left" w:pos="-3261" w:leader="none"/>
          <w:tab w:val="left" w:pos="851" w:leader="none"/>
        </w:tabs>
        <w:rPr>
          <w:color w:val="000000"/>
          <w:sz w:val="20"/>
          <w:szCs w:val="20"/>
        </w:rPr>
      </w:pPr>
      <w:r>
        <w:rPr>
          <w:color w:val="000000"/>
          <w:sz w:val="20"/>
          <w:szCs w:val="20"/>
        </w:rPr>
        <w:t xml:space="preserve">сообщил Страховщику заведомо ложные или недостоверные сведения о фактах, влияющих на установление степени риска или наступления страхового события, предусмотренного в </w:t>
      </w:r>
      <w:r>
        <w:rPr>
          <w:color w:val="000000"/>
          <w:sz w:val="20"/>
          <w:szCs w:val="20"/>
        </w:rPr>
        <w:t xml:space="preserve">Контракт</w:t>
      </w:r>
      <w:r>
        <w:rPr>
          <w:color w:val="000000"/>
          <w:sz w:val="20"/>
          <w:szCs w:val="20"/>
        </w:rPr>
        <w:t xml:space="preserve">е;</w:t>
      </w:r>
      <w:r>
        <w:rPr>
          <w:color w:val="000000"/>
          <w:sz w:val="20"/>
          <w:szCs w:val="20"/>
        </w:rPr>
      </w:r>
    </w:p>
    <w:p>
      <w:pPr>
        <w:pStyle w:val="909"/>
        <w:numPr>
          <w:ilvl w:val="0"/>
          <w:numId w:val="5"/>
        </w:numPr>
        <w:ind w:left="0" w:firstLine="567"/>
        <w:tabs>
          <w:tab w:val="left" w:pos="851" w:leader="none"/>
        </w:tabs>
        <w:rPr>
          <w:color w:val="000000"/>
          <w:sz w:val="20"/>
          <w:szCs w:val="20"/>
        </w:rPr>
      </w:pPr>
      <w:r>
        <w:rPr>
          <w:color w:val="000000"/>
          <w:sz w:val="20"/>
          <w:szCs w:val="20"/>
        </w:rPr>
        <w:t xml:space="preserve">предоставил заведомо ложные сведения о причинах наступления страхового события;</w:t>
      </w:r>
      <w:r>
        <w:rPr>
          <w:color w:val="000000"/>
          <w:sz w:val="20"/>
          <w:szCs w:val="20"/>
        </w:rPr>
      </w:r>
    </w:p>
    <w:p>
      <w:pPr>
        <w:pStyle w:val="905"/>
        <w:ind w:left="0" w:firstLine="567"/>
        <w:rPr>
          <w:b/>
          <w:color w:val="000000"/>
          <w:sz w:val="20"/>
          <w:szCs w:val="20"/>
        </w:rPr>
      </w:pPr>
      <w:r>
        <w:rPr>
          <w:b/>
          <w:color w:val="000000"/>
          <w:sz w:val="20"/>
          <w:szCs w:val="20"/>
        </w:rPr>
        <w:t xml:space="preserve">Страховщик обязан:</w:t>
      </w:r>
      <w:r>
        <w:rPr>
          <w:b/>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ознакомить </w:t>
      </w:r>
      <w:r>
        <w:rPr>
          <w:color w:val="000000"/>
          <w:sz w:val="20"/>
          <w:szCs w:val="20"/>
        </w:rPr>
        <w:t xml:space="preserve">застрахованного</w:t>
      </w:r>
      <w:r>
        <w:rPr>
          <w:color w:val="000000"/>
          <w:sz w:val="20"/>
          <w:szCs w:val="20"/>
        </w:rPr>
        <w:t xml:space="preserve"> с условиями страхования</w:t>
      </w:r>
      <w:r>
        <w:rPr>
          <w:color w:val="000000"/>
          <w:sz w:val="20"/>
          <w:szCs w:val="20"/>
        </w:rPr>
        <w:t xml:space="preserve">, предусмотренными настоящим </w:t>
      </w:r>
      <w:r>
        <w:rPr>
          <w:color w:val="000000"/>
          <w:sz w:val="20"/>
          <w:szCs w:val="20"/>
        </w:rPr>
        <w:t xml:space="preserve">Контракт</w:t>
      </w:r>
      <w:r>
        <w:rPr>
          <w:color w:val="000000"/>
          <w:sz w:val="20"/>
          <w:szCs w:val="20"/>
        </w:rPr>
        <w:t xml:space="preserve">ом</w:t>
      </w:r>
      <w:r>
        <w:rPr>
          <w:color w:val="000000"/>
          <w:sz w:val="20"/>
          <w:szCs w:val="20"/>
        </w:rPr>
        <w:t xml:space="preserve">;</w:t>
      </w:r>
      <w:r>
        <w:rPr>
          <w:color w:val="000000"/>
          <w:sz w:val="20"/>
          <w:szCs w:val="20"/>
        </w:rPr>
      </w:r>
    </w:p>
    <w:p>
      <w:pPr>
        <w:pStyle w:val="909"/>
        <w:ind w:left="0" w:firstLine="567"/>
        <w:rPr>
          <w:color w:val="000000"/>
          <w:sz w:val="20"/>
          <w:szCs w:val="20"/>
        </w:rPr>
      </w:pPr>
      <w:r>
        <w:rPr>
          <w:color w:val="000000"/>
          <w:sz w:val="20"/>
          <w:szCs w:val="20"/>
        </w:rPr>
        <w:t xml:space="preserve">при наступлении страхового случая </w:t>
      </w:r>
      <w:r>
        <w:rPr>
          <w:color w:val="000000"/>
          <w:sz w:val="20"/>
          <w:szCs w:val="20"/>
        </w:rPr>
        <w:t xml:space="preserve">осуществить страховую </w:t>
      </w:r>
      <w:r>
        <w:rPr>
          <w:color w:val="000000"/>
          <w:sz w:val="20"/>
          <w:szCs w:val="20"/>
        </w:rPr>
        <w:t xml:space="preserve">выплату в теч</w:t>
      </w:r>
      <w:r>
        <w:rPr>
          <w:bCs/>
          <w:color w:val="000000"/>
          <w:sz w:val="20"/>
          <w:szCs w:val="20"/>
        </w:rPr>
        <w:t xml:space="preserve">ение 15 рабочих дней </w:t>
      </w:r>
      <w:r>
        <w:rPr>
          <w:color w:val="000000"/>
          <w:sz w:val="20"/>
          <w:szCs w:val="20"/>
        </w:rPr>
        <w:t xml:space="preserve">после получения всех необходимых документов, указанных в п.п. </w:t>
      </w:r>
      <w:r>
        <w:rPr>
          <w:color w:val="000000"/>
          <w:sz w:val="20"/>
          <w:szCs w:val="20"/>
        </w:rPr>
        <w:t xml:space="preserve">9</w:t>
      </w:r>
      <w:r>
        <w:rPr>
          <w:color w:val="000000"/>
          <w:sz w:val="20"/>
          <w:szCs w:val="20"/>
        </w:rPr>
        <w:t xml:space="preserve">.</w:t>
      </w:r>
      <w:r>
        <w:rPr>
          <w:color w:val="000000"/>
          <w:sz w:val="20"/>
          <w:szCs w:val="20"/>
        </w:rPr>
        <w:t xml:space="preserve">6</w:t>
      </w:r>
      <w:r>
        <w:rPr>
          <w:color w:val="000000"/>
          <w:sz w:val="20"/>
          <w:szCs w:val="20"/>
        </w:rPr>
        <w:t xml:space="preserve">, </w:t>
      </w:r>
      <w:r>
        <w:rPr>
          <w:color w:val="000000"/>
          <w:sz w:val="20"/>
          <w:szCs w:val="20"/>
        </w:rPr>
        <w:t xml:space="preserve">9</w:t>
      </w:r>
      <w:r>
        <w:rPr>
          <w:color w:val="000000"/>
          <w:sz w:val="20"/>
          <w:szCs w:val="20"/>
        </w:rPr>
        <w:t xml:space="preserve">.</w:t>
      </w:r>
      <w:r>
        <w:rPr>
          <w:color w:val="000000"/>
          <w:sz w:val="20"/>
          <w:szCs w:val="20"/>
        </w:rPr>
        <w:t xml:space="preserve">7</w:t>
      </w:r>
      <w:r>
        <w:rPr>
          <w:color w:val="000000"/>
          <w:sz w:val="20"/>
          <w:szCs w:val="20"/>
        </w:rPr>
        <w:t xml:space="preserve">, подтверждающих факт наступления страхового события; </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в случае принятия решения об отказе в </w:t>
      </w:r>
      <w:r>
        <w:rPr>
          <w:color w:val="000000"/>
          <w:sz w:val="20"/>
          <w:szCs w:val="20"/>
        </w:rPr>
        <w:t xml:space="preserve">страховой </w:t>
      </w:r>
      <w:r>
        <w:rPr>
          <w:color w:val="000000"/>
          <w:sz w:val="20"/>
          <w:szCs w:val="20"/>
        </w:rPr>
        <w:t xml:space="preserve">выплате письменно уведомить об этом Застрахованного (его законных представителей) с мотивированным обоснованием отказа;</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обеспечить конфиденциальность в отношениях со Страхователем, Застрахованными, </w:t>
      </w:r>
      <w:r>
        <w:rPr>
          <w:color w:val="000000"/>
          <w:sz w:val="20"/>
          <w:szCs w:val="20"/>
        </w:rPr>
        <w:t xml:space="preserve">Выгодопр</w:t>
      </w:r>
      <w:r>
        <w:rPr>
          <w:color w:val="000000"/>
          <w:sz w:val="20"/>
          <w:szCs w:val="20"/>
        </w:rPr>
        <w:t xml:space="preserve">и</w:t>
      </w:r>
      <w:r>
        <w:rPr>
          <w:color w:val="000000"/>
          <w:sz w:val="20"/>
          <w:szCs w:val="20"/>
        </w:rPr>
        <w:t xml:space="preserve">обретателями</w:t>
      </w:r>
      <w:r>
        <w:rPr>
          <w:color w:val="000000"/>
          <w:sz w:val="20"/>
          <w:szCs w:val="20"/>
        </w:rPr>
        <w:t xml:space="preserve">;</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письменно информировать Страхователя о </w:t>
      </w:r>
      <w:r>
        <w:rPr>
          <w:color w:val="000000"/>
          <w:sz w:val="20"/>
          <w:szCs w:val="20"/>
        </w:rPr>
        <w:t xml:space="preserve">страховой </w:t>
      </w:r>
      <w:r>
        <w:rPr>
          <w:color w:val="000000"/>
          <w:sz w:val="20"/>
          <w:szCs w:val="20"/>
        </w:rPr>
        <w:t xml:space="preserve">выплате Застрахованному или об отказе в </w:t>
      </w:r>
      <w:r>
        <w:rPr>
          <w:color w:val="000000"/>
          <w:sz w:val="20"/>
          <w:szCs w:val="20"/>
        </w:rPr>
        <w:t xml:space="preserve">страховой </w:t>
      </w:r>
      <w:r>
        <w:rPr>
          <w:color w:val="000000"/>
          <w:sz w:val="20"/>
          <w:szCs w:val="20"/>
        </w:rPr>
        <w:t xml:space="preserve">выплате.</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в случае если в течение периода страхования персональный состав застрахованных работников Страхователя изменится (прекращение трудового </w:t>
      </w:r>
      <w:r>
        <w:rPr>
          <w:color w:val="000000"/>
          <w:sz w:val="20"/>
          <w:szCs w:val="20"/>
        </w:rPr>
        <w:t xml:space="preserve">Контракт</w:t>
      </w:r>
      <w:r>
        <w:rPr>
          <w:color w:val="000000"/>
          <w:sz w:val="20"/>
          <w:szCs w:val="20"/>
        </w:rPr>
        <w:t xml:space="preserve">а), Страховщик обязан внести соответствующие изменения в список застрахованных работников с последующим перерасчетом страховой премии;</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по инициативе Страхователя внести в список застрахованных лиц вместо прекратившего трудовые отношения, застрахованного работника другого работника Страхователя до окончания периода страхования без дополнительной оплаты страховой премии;</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в случае если Застрахованный самостоятельно обратился к Страховщику за страховой выплатой по настоящему </w:t>
      </w:r>
      <w:r>
        <w:rPr>
          <w:color w:val="000000"/>
          <w:sz w:val="20"/>
          <w:szCs w:val="20"/>
        </w:rPr>
        <w:t xml:space="preserve">Контракт</w:t>
      </w:r>
      <w:r>
        <w:rPr>
          <w:color w:val="000000"/>
          <w:sz w:val="20"/>
          <w:szCs w:val="20"/>
        </w:rPr>
        <w:t xml:space="preserve">у, Страховщик информирует Страхователя о таком обращении;</w:t>
      </w:r>
      <w:r>
        <w:rPr>
          <w:color w:val="000000"/>
          <w:sz w:val="20"/>
          <w:szCs w:val="20"/>
        </w:rPr>
      </w:r>
    </w:p>
    <w:p>
      <w:pPr>
        <w:pStyle w:val="909"/>
        <w:ind w:left="0" w:firstLine="567"/>
        <w:tabs>
          <w:tab w:val="left" w:pos="0" w:leader="none"/>
        </w:tabs>
        <w:rPr>
          <w:color w:val="000000"/>
          <w:sz w:val="20"/>
          <w:szCs w:val="20"/>
        </w:rPr>
      </w:pPr>
      <w:r>
        <w:rPr>
          <w:color w:val="000000"/>
          <w:sz w:val="20"/>
          <w:szCs w:val="20"/>
        </w:rPr>
        <w:t xml:space="preserve">обеспечить использование, обработку, сохранность персональных данных застрахованных лиц в соответствии с действующим законодательством Российской Федерации.</w:t>
      </w:r>
      <w:r>
        <w:rPr>
          <w:color w:val="000000"/>
          <w:sz w:val="20"/>
          <w:szCs w:val="20"/>
        </w:rPr>
      </w:r>
    </w:p>
    <w:p>
      <w:pPr>
        <w:pStyle w:val="909"/>
        <w:numPr>
          <w:ilvl w:val="0"/>
          <w:numId w:val="0"/>
        </w:numPr>
        <w:tabs>
          <w:tab w:val="left" w:pos="0" w:leader="none"/>
        </w:tabs>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bookmarkStart w:id="25" w:name="_Toc264885888"/>
      <w:r>
        <w:rPr>
          <w:color w:val="000000"/>
          <w:sz w:val="20"/>
          <w:szCs w:val="20"/>
        </w:rPr>
        <w:t xml:space="preserve">ПОРЯДОК РАСЧЕТА И </w:t>
      </w:r>
      <w:r>
        <w:rPr>
          <w:color w:val="000000"/>
          <w:sz w:val="20"/>
          <w:szCs w:val="20"/>
        </w:rPr>
        <w:t xml:space="preserve">СТРАХОВОЙ </w:t>
      </w:r>
      <w:r>
        <w:rPr>
          <w:color w:val="000000"/>
          <w:sz w:val="20"/>
          <w:szCs w:val="20"/>
        </w:rPr>
        <w:t xml:space="preserve">ВЫПЛАТЫ </w:t>
      </w:r>
      <w:bookmarkEnd w:id="15"/>
      <w:r>
        <w:rPr>
          <w:color w:val="000000"/>
          <w:sz w:val="20"/>
          <w:szCs w:val="20"/>
        </w:rPr>
      </w:r>
      <w:r>
        <w:rPr>
          <w:color w:val="000000"/>
          <w:sz w:val="20"/>
          <w:szCs w:val="20"/>
        </w:rPr>
      </w:r>
    </w:p>
    <w:p>
      <w:pPr>
        <w:pStyle w:val="715"/>
        <w:ind w:firstLine="567"/>
        <w:rPr>
          <w:color w:val="000000"/>
          <w:sz w:val="20"/>
          <w:szCs w:val="20"/>
        </w:rPr>
      </w:pPr>
      <w:r>
        <w:rPr>
          <w:color w:val="000000"/>
          <w:sz w:val="20"/>
          <w:szCs w:val="20"/>
        </w:rPr>
        <w:t xml:space="preserve">При наступлении страхового случая Страховщик </w:t>
      </w:r>
      <w:r>
        <w:rPr>
          <w:color w:val="000000"/>
          <w:sz w:val="20"/>
          <w:szCs w:val="20"/>
        </w:rPr>
        <w:t xml:space="preserve">осуществляет страховую выплату</w:t>
      </w:r>
      <w:r>
        <w:rPr>
          <w:color w:val="000000"/>
          <w:sz w:val="20"/>
          <w:szCs w:val="20"/>
        </w:rPr>
        <w:t xml:space="preserve"> в соответствии с условиями </w:t>
      </w:r>
      <w:r>
        <w:rPr>
          <w:color w:val="000000"/>
          <w:sz w:val="20"/>
          <w:szCs w:val="20"/>
        </w:rPr>
        <w:t xml:space="preserve">Контракт</w:t>
      </w:r>
      <w:r>
        <w:rPr>
          <w:color w:val="000000"/>
          <w:sz w:val="20"/>
          <w:szCs w:val="20"/>
        </w:rPr>
        <w:t xml:space="preserve">а. </w:t>
      </w:r>
      <w:r>
        <w:rPr>
          <w:color w:val="000000"/>
          <w:sz w:val="20"/>
          <w:szCs w:val="20"/>
        </w:rPr>
      </w:r>
    </w:p>
    <w:p>
      <w:pPr>
        <w:pStyle w:val="905"/>
        <w:ind w:left="0" w:firstLine="567"/>
        <w:rPr>
          <w:color w:val="000000"/>
          <w:sz w:val="20"/>
          <w:szCs w:val="20"/>
        </w:rPr>
      </w:pPr>
      <w:r>
        <w:rPr>
          <w:color w:val="000000"/>
          <w:sz w:val="20"/>
          <w:szCs w:val="20"/>
        </w:rPr>
        <w:t xml:space="preserve">При наступлении страхового случая, связанного с наступлением события, указанного в п.4.3.1 «</w:t>
      </w:r>
      <w:r>
        <w:rPr>
          <w:color w:val="000000"/>
          <w:sz w:val="20"/>
          <w:szCs w:val="20"/>
        </w:rPr>
        <w:t xml:space="preserve">Телесные повреждения (травма) Застрахованного</w:t>
      </w:r>
      <w:r>
        <w:rPr>
          <w:color w:val="000000"/>
          <w:sz w:val="20"/>
          <w:szCs w:val="20"/>
        </w:rPr>
        <w:t xml:space="preserve"> результате несчастного случая», </w:t>
      </w:r>
      <w:r>
        <w:rPr>
          <w:color w:val="000000"/>
          <w:sz w:val="20"/>
          <w:szCs w:val="20"/>
        </w:rPr>
        <w:t xml:space="preserve">страховая </w:t>
      </w:r>
      <w:r>
        <w:rPr>
          <w:color w:val="000000"/>
          <w:sz w:val="20"/>
          <w:szCs w:val="20"/>
        </w:rPr>
        <w:t xml:space="preserve">выплата </w:t>
      </w:r>
      <w:r>
        <w:rPr>
          <w:color w:val="000000"/>
          <w:sz w:val="20"/>
          <w:szCs w:val="20"/>
        </w:rPr>
        <w:t xml:space="preserve">осуществляется</w:t>
      </w:r>
      <w:r>
        <w:rPr>
          <w:color w:val="000000"/>
          <w:sz w:val="20"/>
          <w:szCs w:val="20"/>
        </w:rPr>
        <w:t xml:space="preserve">:</w:t>
      </w:r>
      <w:r>
        <w:rPr>
          <w:color w:val="000000"/>
          <w:sz w:val="20"/>
          <w:szCs w:val="20"/>
        </w:rPr>
      </w:r>
    </w:p>
    <w:p>
      <w:pPr>
        <w:pStyle w:val="907"/>
        <w:ind w:left="0" w:firstLine="567"/>
        <w:tabs>
          <w:tab w:val="left" w:pos="0" w:leader="none"/>
          <w:tab w:val="clear" w:pos="340" w:leader="none"/>
          <w:tab w:val="left" w:pos="426" w:leader="none"/>
          <w:tab w:val="left" w:pos="567" w:leader="none"/>
        </w:tabs>
        <w:rPr>
          <w:color w:val="000000"/>
          <w:sz w:val="20"/>
          <w:szCs w:val="20"/>
        </w:rPr>
      </w:pPr>
      <w:r>
        <w:rPr>
          <w:color w:val="000000"/>
          <w:sz w:val="20"/>
          <w:szCs w:val="20"/>
        </w:rPr>
        <w:t xml:space="preserve">по </w:t>
      </w:r>
      <w:r>
        <w:rPr>
          <w:color w:val="000000"/>
          <w:sz w:val="20"/>
          <w:szCs w:val="20"/>
        </w:rPr>
        <w:t xml:space="preserve">Таблице</w:t>
      </w:r>
      <w:r>
        <w:rPr>
          <w:color w:val="000000"/>
          <w:sz w:val="20"/>
          <w:szCs w:val="20"/>
        </w:rPr>
        <w:t xml:space="preserve"> </w:t>
      </w:r>
      <w:r>
        <w:rPr>
          <w:color w:val="000000"/>
          <w:sz w:val="20"/>
          <w:szCs w:val="20"/>
        </w:rPr>
        <w:t xml:space="preserve">страховых</w:t>
      </w:r>
      <w:r>
        <w:rPr>
          <w:color w:val="000000"/>
          <w:sz w:val="20"/>
          <w:szCs w:val="20"/>
        </w:rPr>
        <w:t xml:space="preserve"> выплат </w:t>
      </w:r>
      <w:r>
        <w:rPr>
          <w:color w:val="000000"/>
          <w:sz w:val="20"/>
          <w:szCs w:val="20"/>
        </w:rPr>
        <w:t xml:space="preserve">«</w:t>
      </w:r>
      <w:r>
        <w:rPr>
          <w:color w:val="000000"/>
          <w:sz w:val="20"/>
          <w:szCs w:val="20"/>
        </w:rPr>
        <w:t xml:space="preserve">Стандартная</w:t>
      </w:r>
      <w:r>
        <w:rPr>
          <w:color w:val="000000"/>
          <w:sz w:val="20"/>
          <w:szCs w:val="20"/>
        </w:rPr>
        <w:t xml:space="preserve">»</w:t>
      </w:r>
      <w:r>
        <w:rPr>
          <w:color w:val="000000"/>
          <w:sz w:val="20"/>
          <w:szCs w:val="20"/>
        </w:rPr>
        <w:t xml:space="preserve"> </w:t>
      </w:r>
      <w:r>
        <w:rPr>
          <w:color w:val="000000"/>
          <w:sz w:val="20"/>
          <w:szCs w:val="20"/>
        </w:rPr>
        <w:t xml:space="preserve">(Приложение №</w:t>
      </w:r>
      <w:r>
        <w:rPr>
          <w:color w:val="000000"/>
          <w:sz w:val="20"/>
          <w:szCs w:val="20"/>
        </w:rPr>
        <w:t xml:space="preserve">2</w:t>
      </w:r>
      <w:r>
        <w:rPr>
          <w:color w:val="000000"/>
          <w:sz w:val="20"/>
          <w:szCs w:val="20"/>
        </w:rPr>
        <w:t xml:space="preserve"> к настоящему </w:t>
      </w:r>
      <w:r>
        <w:rPr>
          <w:color w:val="000000"/>
          <w:sz w:val="20"/>
          <w:szCs w:val="20"/>
        </w:rPr>
        <w:t xml:space="preserve">Контракт</w:t>
      </w:r>
      <w:r>
        <w:rPr>
          <w:color w:val="000000"/>
          <w:sz w:val="20"/>
          <w:szCs w:val="20"/>
        </w:rPr>
        <w:t xml:space="preserve">у</w:t>
      </w:r>
      <w:r>
        <w:rPr>
          <w:color w:val="000000"/>
          <w:sz w:val="20"/>
          <w:szCs w:val="20"/>
        </w:rPr>
        <w:t xml:space="preserve">) </w:t>
      </w:r>
      <w:r>
        <w:rPr>
          <w:color w:val="000000"/>
          <w:sz w:val="20"/>
          <w:szCs w:val="20"/>
        </w:rPr>
        <w:t xml:space="preserve">в зависимости от тяжести травмы, исходя из страховой суммы, установленной для Застрахованного лица.</w:t>
      </w:r>
      <w:r>
        <w:rPr>
          <w:color w:val="000000"/>
          <w:sz w:val="20"/>
          <w:szCs w:val="20"/>
        </w:rPr>
      </w:r>
    </w:p>
    <w:p>
      <w:pPr>
        <w:pStyle w:val="905"/>
        <w:ind w:left="0" w:firstLine="567"/>
        <w:rPr>
          <w:color w:val="000000"/>
          <w:sz w:val="20"/>
          <w:szCs w:val="20"/>
        </w:rPr>
      </w:pPr>
      <w:r>
        <w:rPr>
          <w:color w:val="000000"/>
          <w:sz w:val="20"/>
          <w:szCs w:val="20"/>
        </w:rPr>
        <w:t xml:space="preserve">При наступлении страхового случая, связанного с наступлением события, указанного п. 4.3.2 «Стойкая утрата трудоспособности в результате несчастного случая»</w:t>
      </w:r>
      <w:r>
        <w:rPr>
          <w:color w:val="000000"/>
          <w:sz w:val="20"/>
          <w:szCs w:val="20"/>
        </w:rPr>
        <w:t xml:space="preserve"> </w:t>
      </w:r>
      <w:r>
        <w:rPr>
          <w:color w:val="000000"/>
          <w:sz w:val="20"/>
          <w:szCs w:val="20"/>
        </w:rPr>
        <w:t xml:space="preserve">страховая </w:t>
      </w:r>
      <w:r>
        <w:rPr>
          <w:color w:val="000000"/>
          <w:sz w:val="20"/>
          <w:szCs w:val="20"/>
        </w:rPr>
        <w:t xml:space="preserve">выплата </w:t>
      </w:r>
      <w:r>
        <w:rPr>
          <w:color w:val="000000"/>
          <w:sz w:val="20"/>
          <w:szCs w:val="20"/>
        </w:rPr>
        <w:t xml:space="preserve">осуществляется</w:t>
      </w:r>
      <w:r>
        <w:rPr>
          <w:color w:val="000000"/>
          <w:sz w:val="20"/>
          <w:szCs w:val="20"/>
        </w:rPr>
        <w:t xml:space="preserve">:</w:t>
      </w:r>
      <w:r>
        <w:rPr>
          <w:color w:val="000000"/>
          <w:sz w:val="20"/>
          <w:szCs w:val="20"/>
        </w:rPr>
      </w:r>
    </w:p>
    <w:p>
      <w:pPr>
        <w:pStyle w:val="907"/>
        <w:ind w:left="0" w:firstLine="567"/>
        <w:tabs>
          <w:tab w:val="left" w:pos="0" w:leader="none"/>
          <w:tab w:val="clear" w:pos="340" w:leader="none"/>
          <w:tab w:val="left" w:pos="426" w:leader="none"/>
          <w:tab w:val="left" w:pos="567" w:leader="none"/>
        </w:tabs>
        <w:rPr>
          <w:color w:val="000000"/>
          <w:sz w:val="20"/>
          <w:szCs w:val="20"/>
        </w:rPr>
      </w:pPr>
      <w:r>
        <w:rPr>
          <w:color w:val="000000"/>
          <w:sz w:val="20"/>
          <w:szCs w:val="20"/>
        </w:rPr>
        <w:t xml:space="preserve">при установлении I группы инвалидности — </w:t>
      </w:r>
      <w:r>
        <w:rPr>
          <w:color w:val="000000"/>
          <w:sz w:val="20"/>
          <w:szCs w:val="20"/>
        </w:rPr>
        <w:t xml:space="preserve">100 </w:t>
      </w:r>
      <w:r>
        <w:rPr>
          <w:color w:val="000000"/>
          <w:sz w:val="20"/>
          <w:szCs w:val="20"/>
        </w:rPr>
        <w:t xml:space="preserve">%</w:t>
      </w:r>
      <w:r>
        <w:rPr>
          <w:color w:val="000000"/>
          <w:sz w:val="20"/>
          <w:szCs w:val="20"/>
        </w:rPr>
      </w:r>
    </w:p>
    <w:p>
      <w:pPr>
        <w:pStyle w:val="907"/>
        <w:ind w:left="0" w:firstLine="567"/>
        <w:tabs>
          <w:tab w:val="left" w:pos="0" w:leader="none"/>
          <w:tab w:val="clear" w:pos="340" w:leader="none"/>
          <w:tab w:val="left" w:pos="426" w:leader="none"/>
          <w:tab w:val="left" w:pos="567" w:leader="none"/>
        </w:tabs>
        <w:rPr>
          <w:color w:val="000000"/>
          <w:sz w:val="20"/>
          <w:szCs w:val="20"/>
        </w:rPr>
      </w:pPr>
      <w:r>
        <w:rPr>
          <w:color w:val="000000"/>
          <w:sz w:val="20"/>
          <w:szCs w:val="20"/>
        </w:rPr>
        <w:t xml:space="preserve">при установлении II группы инвалидности — </w:t>
      </w:r>
      <w:r>
        <w:rPr>
          <w:color w:val="000000"/>
          <w:sz w:val="20"/>
          <w:szCs w:val="20"/>
        </w:rPr>
        <w:t xml:space="preserve">80 </w:t>
      </w:r>
      <w:r>
        <w:rPr>
          <w:color w:val="000000"/>
          <w:sz w:val="20"/>
          <w:szCs w:val="20"/>
        </w:rPr>
        <w:t xml:space="preserve">%</w:t>
      </w:r>
      <w:r>
        <w:rPr>
          <w:color w:val="000000"/>
          <w:sz w:val="20"/>
          <w:szCs w:val="20"/>
        </w:rPr>
      </w:r>
    </w:p>
    <w:p>
      <w:pPr>
        <w:pStyle w:val="907"/>
        <w:ind w:left="0" w:firstLine="567"/>
        <w:tabs>
          <w:tab w:val="left" w:pos="0" w:leader="none"/>
          <w:tab w:val="clear" w:pos="340" w:leader="none"/>
          <w:tab w:val="left" w:pos="426" w:leader="none"/>
          <w:tab w:val="left" w:pos="567" w:leader="none"/>
        </w:tabs>
        <w:rPr>
          <w:color w:val="000000"/>
          <w:sz w:val="20"/>
          <w:szCs w:val="20"/>
        </w:rPr>
      </w:pPr>
      <w:r>
        <w:rPr>
          <w:color w:val="000000"/>
          <w:sz w:val="20"/>
          <w:szCs w:val="20"/>
        </w:rPr>
        <w:t xml:space="preserve">при установлении III группы инвалидности — </w:t>
      </w:r>
      <w:r>
        <w:rPr>
          <w:color w:val="000000"/>
          <w:sz w:val="20"/>
          <w:szCs w:val="20"/>
        </w:rPr>
        <w:t xml:space="preserve">60 </w:t>
      </w:r>
      <w:r>
        <w:rPr>
          <w:color w:val="000000"/>
          <w:sz w:val="20"/>
          <w:szCs w:val="20"/>
        </w:rPr>
        <w:t xml:space="preserve">%</w:t>
      </w:r>
      <w:r>
        <w:rPr>
          <w:color w:val="000000"/>
          <w:sz w:val="20"/>
          <w:szCs w:val="20"/>
        </w:rPr>
      </w:r>
    </w:p>
    <w:p>
      <w:pPr>
        <w:pStyle w:val="715"/>
        <w:ind w:firstLine="567"/>
        <w:tabs>
          <w:tab w:val="left" w:pos="0" w:leader="none"/>
          <w:tab w:val="left" w:pos="426" w:leader="none"/>
        </w:tabs>
        <w:rPr>
          <w:color w:val="000000"/>
          <w:sz w:val="20"/>
          <w:szCs w:val="20"/>
        </w:rPr>
      </w:pPr>
      <w:r>
        <w:rPr>
          <w:color w:val="000000"/>
          <w:sz w:val="20"/>
          <w:szCs w:val="20"/>
        </w:rPr>
        <w:t xml:space="preserve">страховой суммы, определенной </w:t>
      </w:r>
      <w:r>
        <w:rPr>
          <w:color w:val="000000"/>
          <w:sz w:val="20"/>
          <w:szCs w:val="20"/>
        </w:rPr>
        <w:t xml:space="preserve">Контракт</w:t>
      </w:r>
      <w:r>
        <w:rPr>
          <w:color w:val="000000"/>
          <w:sz w:val="20"/>
          <w:szCs w:val="20"/>
        </w:rPr>
        <w:t xml:space="preserve">ом, для Застрахованного лица;</w:t>
      </w:r>
      <w:r>
        <w:rPr>
          <w:color w:val="000000"/>
          <w:sz w:val="20"/>
          <w:szCs w:val="20"/>
        </w:rPr>
      </w:r>
    </w:p>
    <w:p>
      <w:pPr>
        <w:pStyle w:val="905"/>
        <w:ind w:left="0" w:firstLine="567"/>
        <w:rPr>
          <w:color w:val="000000"/>
          <w:sz w:val="20"/>
          <w:szCs w:val="20"/>
        </w:rPr>
      </w:pPr>
      <w:r>
        <w:rPr>
          <w:color w:val="000000"/>
          <w:sz w:val="20"/>
          <w:szCs w:val="20"/>
        </w:rPr>
        <w:t xml:space="preserve">При наступлении страхового случая, связанного с наступлением события, указанного в п. 4.3.3 «Смерть в результате несчастного случая» </w:t>
      </w:r>
      <w:r>
        <w:rPr>
          <w:color w:val="000000"/>
          <w:sz w:val="20"/>
          <w:szCs w:val="20"/>
        </w:rPr>
        <w:t xml:space="preserve">страховая </w:t>
      </w:r>
      <w:r>
        <w:rPr>
          <w:color w:val="000000"/>
          <w:sz w:val="20"/>
          <w:szCs w:val="20"/>
        </w:rPr>
        <w:t xml:space="preserve">выплата </w:t>
      </w:r>
      <w:r>
        <w:rPr>
          <w:color w:val="000000"/>
          <w:sz w:val="20"/>
          <w:szCs w:val="20"/>
        </w:rPr>
        <w:t xml:space="preserve">осуществляется</w:t>
      </w:r>
      <w:r>
        <w:rPr>
          <w:color w:val="000000"/>
          <w:sz w:val="20"/>
          <w:szCs w:val="20"/>
        </w:rPr>
        <w:t xml:space="preserve"> в размере 100% страховой суммы, установленной для Застрахованного лица </w:t>
      </w:r>
      <w:r>
        <w:rPr>
          <w:color w:val="000000"/>
          <w:sz w:val="20"/>
          <w:szCs w:val="20"/>
        </w:rPr>
      </w:r>
    </w:p>
    <w:p>
      <w:pPr>
        <w:pStyle w:val="905"/>
        <w:ind w:left="0" w:firstLine="567"/>
        <w:rPr>
          <w:color w:val="000000"/>
          <w:sz w:val="20"/>
          <w:szCs w:val="20"/>
        </w:rPr>
      </w:pPr>
      <w:r>
        <w:rPr>
          <w:color w:val="000000"/>
          <w:sz w:val="20"/>
          <w:szCs w:val="20"/>
        </w:rPr>
        <w:t xml:space="preserve">С</w:t>
      </w:r>
      <w:r>
        <w:rPr>
          <w:bCs w:val="0"/>
          <w:color w:val="000000"/>
          <w:sz w:val="20"/>
          <w:szCs w:val="20"/>
        </w:rPr>
        <w:t xml:space="preserve">очетание страховых рисков с</w:t>
      </w:r>
      <w:r>
        <w:rPr>
          <w:color w:val="000000"/>
          <w:sz w:val="20"/>
          <w:szCs w:val="20"/>
        </w:rPr>
        <w:t xml:space="preserve"> общей страховой суммой, предусматривающих страховую выплату в случае </w:t>
      </w:r>
      <w:r>
        <w:rPr>
          <w:color w:val="000000"/>
          <w:sz w:val="20"/>
          <w:szCs w:val="20"/>
        </w:rPr>
        <w:t xml:space="preserve">травмы</w:t>
      </w:r>
      <w:r>
        <w:rPr>
          <w:color w:val="000000"/>
          <w:sz w:val="20"/>
          <w:szCs w:val="20"/>
        </w:rPr>
        <w:t xml:space="preserve">, стойкой утраты трудоспособности или смерти, и если несчастный случай лица</w:t>
      </w:r>
      <w:r>
        <w:rPr>
          <w:color w:val="000000"/>
          <w:sz w:val="20"/>
          <w:szCs w:val="20"/>
        </w:rPr>
        <w:t xml:space="preserve"> обусловил наступление последовательности страховых случаев, признаваемых сначала по одному страховому риску, а затем по другому страховому риску, то страховая выплата по каждому очередному страховому случаю из этой последовательности уменьшается на сумму </w:t>
      </w:r>
      <w:r>
        <w:rPr>
          <w:color w:val="000000"/>
          <w:sz w:val="20"/>
          <w:szCs w:val="20"/>
        </w:rPr>
        <w:t xml:space="preserve">страховой выплаты</w:t>
      </w:r>
      <w:r>
        <w:rPr>
          <w:color w:val="000000"/>
          <w:sz w:val="20"/>
          <w:szCs w:val="20"/>
        </w:rPr>
        <w:t xml:space="preserve">, ранее </w:t>
      </w:r>
      <w:r>
        <w:rPr>
          <w:color w:val="000000"/>
          <w:sz w:val="20"/>
          <w:szCs w:val="20"/>
        </w:rPr>
        <w:t xml:space="preserve">осуществленной</w:t>
      </w:r>
      <w:r>
        <w:rPr>
          <w:color w:val="000000"/>
          <w:sz w:val="20"/>
          <w:szCs w:val="20"/>
        </w:rPr>
        <w:t xml:space="preserve"> </w:t>
      </w:r>
      <w:r>
        <w:rPr>
          <w:color w:val="000000"/>
          <w:sz w:val="20"/>
          <w:szCs w:val="20"/>
        </w:rPr>
        <w:t xml:space="preserve">Страховщиком в связи с данным несчастным случаем</w:t>
      </w:r>
      <w:r>
        <w:rPr>
          <w:color w:val="000000"/>
          <w:sz w:val="20"/>
          <w:szCs w:val="20"/>
        </w:rPr>
        <w:t xml:space="preserve">.</w:t>
      </w:r>
      <w:r>
        <w:rPr>
          <w:color w:val="000000"/>
          <w:sz w:val="20"/>
          <w:szCs w:val="20"/>
        </w:rPr>
      </w:r>
      <w:r>
        <w:rPr>
          <w:color w:val="000000"/>
          <w:sz w:val="20"/>
          <w:szCs w:val="20"/>
        </w:rPr>
      </w:r>
    </w:p>
    <w:p>
      <w:pPr>
        <w:pStyle w:val="909"/>
        <w:ind w:left="0" w:firstLine="567"/>
        <w:rPr>
          <w:color w:val="000000"/>
          <w:sz w:val="20"/>
          <w:szCs w:val="20"/>
        </w:rPr>
      </w:pPr>
      <w:r>
        <w:rPr>
          <w:color w:val="000000"/>
          <w:sz w:val="20"/>
          <w:szCs w:val="20"/>
        </w:rPr>
        <w:t xml:space="preserve">При увеличении группы инвалидности в связи со страховым случаем, по которому уже была произведена выплата, </w:t>
      </w:r>
      <w:r>
        <w:rPr>
          <w:color w:val="000000"/>
          <w:sz w:val="20"/>
          <w:szCs w:val="20"/>
        </w:rPr>
        <w:t xml:space="preserve">страховая выплата осуществляется </w:t>
      </w:r>
      <w:r>
        <w:rPr>
          <w:color w:val="000000"/>
          <w:sz w:val="20"/>
          <w:szCs w:val="20"/>
        </w:rPr>
        <w:t xml:space="preserve">за вычетом ранее выплаченных сумм.</w:t>
      </w:r>
      <w:r>
        <w:rPr>
          <w:color w:val="000000"/>
          <w:sz w:val="20"/>
          <w:szCs w:val="20"/>
        </w:rPr>
      </w:r>
    </w:p>
    <w:p>
      <w:pPr>
        <w:pStyle w:val="909"/>
        <w:ind w:left="0" w:firstLine="567"/>
        <w:rPr>
          <w:color w:val="000000"/>
          <w:sz w:val="20"/>
          <w:szCs w:val="20"/>
        </w:rPr>
      </w:pPr>
      <w:r>
        <w:rPr>
          <w:color w:val="000000"/>
          <w:sz w:val="20"/>
          <w:szCs w:val="20"/>
        </w:rPr>
        <w:t xml:space="preserve">При уменьшении группы инвалидности в связи со страховым случаем, по которому уже была произведена выплата, Страховщик не </w:t>
      </w:r>
      <w:r>
        <w:rPr>
          <w:color w:val="000000"/>
          <w:sz w:val="20"/>
          <w:szCs w:val="20"/>
        </w:rPr>
        <w:t xml:space="preserve">осуществляет страховую выплату</w:t>
      </w:r>
      <w:r>
        <w:rPr>
          <w:color w:val="000000"/>
          <w:sz w:val="20"/>
          <w:szCs w:val="20"/>
        </w:rPr>
        <w:t xml:space="preserve">.</w:t>
      </w:r>
      <w:r>
        <w:rPr>
          <w:color w:val="000000"/>
          <w:sz w:val="20"/>
          <w:szCs w:val="20"/>
        </w:rPr>
      </w:r>
    </w:p>
    <w:p>
      <w:pPr>
        <w:pStyle w:val="905"/>
        <w:ind w:left="0" w:firstLine="567"/>
        <w:rPr>
          <w:color w:val="000000"/>
          <w:sz w:val="20"/>
          <w:szCs w:val="20"/>
        </w:rPr>
      </w:pPr>
      <w:r/>
      <w:bookmarkStart w:id="26" w:name="_Ref253674449"/>
      <w:r/>
      <w:bookmarkStart w:id="27" w:name="__RefHeading__397_2028885148"/>
      <w:r/>
      <w:bookmarkStart w:id="28" w:name="__RefHeading__107_1279236165"/>
      <w:r/>
      <w:bookmarkStart w:id="29" w:name="__RefHeading__396_490978213"/>
      <w:r>
        <w:rPr>
          <w:color w:val="000000"/>
          <w:sz w:val="20"/>
          <w:szCs w:val="20"/>
        </w:rPr>
        <w:t xml:space="preserve">Страховая выплата осуще</w:t>
      </w:r>
      <w:r>
        <w:rPr>
          <w:color w:val="000000"/>
          <w:sz w:val="20"/>
          <w:szCs w:val="20"/>
        </w:rPr>
        <w:t xml:space="preserve">с</w:t>
      </w:r>
      <w:r>
        <w:rPr>
          <w:color w:val="000000"/>
          <w:sz w:val="20"/>
          <w:szCs w:val="20"/>
        </w:rPr>
        <w:t xml:space="preserve">твляется </w:t>
      </w:r>
      <w:r>
        <w:rPr>
          <w:color w:val="000000"/>
          <w:sz w:val="20"/>
          <w:szCs w:val="20"/>
        </w:rPr>
        <w:t xml:space="preserve">Страховщиком в течение 15 рабочих дней</w:t>
      </w:r>
      <w:r>
        <w:rPr>
          <w:color w:val="000000"/>
          <w:sz w:val="20"/>
          <w:szCs w:val="20"/>
        </w:rPr>
        <w:t xml:space="preserve"> на основании письменного заявления Страхователя (Застрахованного, Выгодоприобретателя), страхового акта, составленного Страховщиком при наличии документов, подтверждающих факт наступления события, имеющего признаки страхового случая.</w:t>
      </w:r>
      <w:r>
        <w:rPr>
          <w:color w:val="000000"/>
          <w:sz w:val="20"/>
          <w:szCs w:val="20"/>
        </w:rPr>
      </w:r>
    </w:p>
    <w:p>
      <w:pPr>
        <w:pStyle w:val="905"/>
        <w:ind w:left="0" w:firstLine="567"/>
        <w:rPr>
          <w:color w:val="000000"/>
          <w:sz w:val="20"/>
          <w:szCs w:val="20"/>
        </w:rPr>
      </w:pPr>
      <w:r/>
      <w:bookmarkStart w:id="30" w:name="_Ref253687046"/>
      <w:r>
        <w:rPr>
          <w:color w:val="000000"/>
          <w:sz w:val="20"/>
          <w:szCs w:val="20"/>
        </w:rPr>
        <w:t xml:space="preserve">Независимо от вида страхового события к заявлению на </w:t>
      </w:r>
      <w:r>
        <w:rPr>
          <w:color w:val="000000"/>
          <w:sz w:val="20"/>
          <w:szCs w:val="20"/>
        </w:rPr>
        <w:t xml:space="preserve">страховую </w:t>
      </w:r>
      <w:r>
        <w:rPr>
          <w:color w:val="000000"/>
          <w:sz w:val="20"/>
          <w:szCs w:val="20"/>
        </w:rPr>
        <w:t xml:space="preserve">выплату всегда прилагаются копии:</w:t>
      </w:r>
      <w:bookmarkEnd w:id="16"/>
      <w:r>
        <w:rPr>
          <w:color w:val="000000"/>
          <w:sz w:val="20"/>
          <w:szCs w:val="20"/>
        </w:rPr>
      </w:r>
      <w:r>
        <w:rPr>
          <w:color w:val="000000"/>
          <w:sz w:val="20"/>
          <w:szCs w:val="20"/>
        </w:rPr>
      </w:r>
    </w:p>
    <w:p>
      <w:pPr>
        <w:pStyle w:val="907"/>
        <w:ind w:left="0" w:firstLine="567"/>
        <w:tabs>
          <w:tab w:val="left" w:pos="0" w:leader="none"/>
          <w:tab w:val="left" w:pos="567" w:leader="none"/>
        </w:tabs>
        <w:rPr>
          <w:color w:val="000000"/>
          <w:sz w:val="20"/>
          <w:szCs w:val="20"/>
        </w:rPr>
      </w:pPr>
      <w:r>
        <w:rPr>
          <w:color w:val="000000"/>
          <w:sz w:val="20"/>
          <w:szCs w:val="20"/>
        </w:rPr>
        <w:t xml:space="preserve">страхового </w:t>
      </w:r>
      <w:r>
        <w:rPr>
          <w:color w:val="000000"/>
          <w:sz w:val="20"/>
          <w:szCs w:val="20"/>
        </w:rPr>
        <w:t xml:space="preserve">Контракт</w:t>
      </w:r>
      <w:r>
        <w:rPr>
          <w:color w:val="000000"/>
          <w:sz w:val="20"/>
          <w:szCs w:val="20"/>
        </w:rPr>
        <w:t xml:space="preserve">а;</w:t>
      </w:r>
      <w:r>
        <w:rPr>
          <w:color w:val="000000"/>
          <w:sz w:val="20"/>
          <w:szCs w:val="20"/>
        </w:rPr>
      </w:r>
    </w:p>
    <w:p>
      <w:pPr>
        <w:pStyle w:val="907"/>
        <w:ind w:left="0" w:firstLine="567"/>
        <w:tabs>
          <w:tab w:val="left" w:pos="0" w:leader="none"/>
          <w:tab w:val="left" w:pos="567" w:leader="none"/>
        </w:tabs>
        <w:rPr>
          <w:color w:val="000000"/>
          <w:sz w:val="20"/>
          <w:szCs w:val="20"/>
        </w:rPr>
      </w:pPr>
      <w:r>
        <w:rPr>
          <w:color w:val="000000"/>
          <w:sz w:val="20"/>
          <w:szCs w:val="20"/>
        </w:rPr>
        <w:t xml:space="preserve">документа, удостоверяющего личность лица, который заявляет об осуществлении страховой выплаты в свою пользу;</w:t>
      </w:r>
      <w:r>
        <w:rPr>
          <w:color w:val="000000"/>
          <w:sz w:val="20"/>
          <w:szCs w:val="20"/>
        </w:rPr>
      </w:r>
    </w:p>
    <w:p>
      <w:pPr>
        <w:pStyle w:val="907"/>
        <w:ind w:left="0" w:firstLine="567"/>
        <w:tabs>
          <w:tab w:val="left" w:pos="0" w:leader="none"/>
          <w:tab w:val="left" w:pos="567" w:leader="none"/>
        </w:tabs>
        <w:rPr>
          <w:color w:val="000000"/>
          <w:sz w:val="20"/>
          <w:szCs w:val="20"/>
        </w:rPr>
      </w:pPr>
      <w:r>
        <w:rPr>
          <w:color w:val="000000"/>
          <w:sz w:val="20"/>
          <w:szCs w:val="20"/>
        </w:rPr>
        <w:t xml:space="preserve">документа, подтверждающего уплату страховых взносов (по запросу Страховщика).</w:t>
      </w:r>
      <w:r>
        <w:rPr>
          <w:color w:val="000000"/>
          <w:sz w:val="20"/>
          <w:szCs w:val="20"/>
        </w:rPr>
      </w:r>
    </w:p>
    <w:p>
      <w:pPr>
        <w:pStyle w:val="905"/>
        <w:ind w:left="0" w:firstLine="567"/>
        <w:rPr>
          <w:bCs w:val="0"/>
          <w:color w:val="000000"/>
          <w:sz w:val="20"/>
          <w:szCs w:val="20"/>
        </w:rPr>
      </w:pPr>
      <w:r>
        <w:rPr>
          <w:color w:val="000000"/>
          <w:sz w:val="20"/>
          <w:szCs w:val="20"/>
        </w:rPr>
        <w:t xml:space="preserve">Для получения </w:t>
      </w:r>
      <w:r>
        <w:rPr>
          <w:color w:val="000000"/>
          <w:sz w:val="20"/>
          <w:szCs w:val="20"/>
        </w:rPr>
        <w:t xml:space="preserve">страховой выплаты </w:t>
      </w:r>
      <w:r>
        <w:rPr>
          <w:color w:val="000000"/>
          <w:sz w:val="20"/>
          <w:szCs w:val="20"/>
        </w:rPr>
        <w:t xml:space="preserve">Страховщику </w:t>
      </w:r>
      <w:bookmarkStart w:id="31" w:name="_Ref255401761"/>
      <w:r/>
      <w:bookmarkStart w:id="32" w:name="__RefNumPara__316_2046708025"/>
      <w:r/>
      <w:bookmarkStart w:id="33" w:name="__RefNumPara__55_490978213"/>
      <w:r/>
      <w:bookmarkStart w:id="34" w:name="__RefHeading__57_490978213"/>
      <w:r/>
      <w:bookmarkStart w:id="35" w:name="__RefHeading__326_2028885148"/>
      <w:r>
        <w:rPr>
          <w:color w:val="000000"/>
          <w:sz w:val="20"/>
          <w:szCs w:val="20"/>
        </w:rPr>
        <w:t xml:space="preserve">представляются документы, подтверждающие факт наступления страхового случая</w:t>
      </w:r>
      <w:bookmarkEnd w:id="17"/>
      <w:r>
        <w:rPr>
          <w:color w:val="000000"/>
          <w:sz w:val="20"/>
          <w:szCs w:val="20"/>
        </w:rPr>
        <w:t xml:space="preserve"> (исчерпывающий перечень):</w:t>
      </w:r>
      <w:r>
        <w:rPr>
          <w:bCs w:val="0"/>
          <w:color w:val="000000"/>
          <w:sz w:val="20"/>
          <w:szCs w:val="20"/>
        </w:rPr>
      </w:r>
      <w:r>
        <w:rPr>
          <w:bCs w:val="0"/>
          <w:color w:val="000000"/>
          <w:sz w:val="20"/>
          <w:szCs w:val="20"/>
        </w:rPr>
      </w:r>
    </w:p>
    <w:p>
      <w:pPr>
        <w:pStyle w:val="909"/>
        <w:ind w:left="0" w:firstLine="567"/>
        <w:tabs>
          <w:tab w:val="left" w:pos="0" w:leader="none"/>
        </w:tabs>
        <w:rPr>
          <w:b/>
          <w:color w:val="000000"/>
          <w:sz w:val="20"/>
          <w:szCs w:val="20"/>
        </w:rPr>
      </w:pPr>
      <w:r>
        <w:rPr>
          <w:b/>
          <w:color w:val="000000"/>
          <w:sz w:val="20"/>
          <w:szCs w:val="20"/>
        </w:rPr>
        <w:t xml:space="preserve">в связи со смертью Застрахованного (п. 4.3.3):</w:t>
      </w:r>
      <w:r>
        <w:rPr>
          <w:b/>
          <w:color w:val="000000"/>
          <w:sz w:val="20"/>
          <w:szCs w:val="20"/>
        </w:rPr>
      </w:r>
    </w:p>
    <w:p>
      <w:pPr>
        <w:pStyle w:val="907"/>
        <w:ind w:left="0" w:firstLine="567"/>
        <w:tabs>
          <w:tab w:val="clear" w:pos="340" w:leader="none"/>
          <w:tab w:val="left" w:pos="851" w:leader="none"/>
        </w:tabs>
        <w:rPr>
          <w:color w:val="000000"/>
          <w:sz w:val="20"/>
          <w:szCs w:val="20"/>
        </w:rPr>
      </w:pPr>
      <w:r>
        <w:rPr>
          <w:color w:val="000000"/>
          <w:sz w:val="20"/>
          <w:szCs w:val="20"/>
        </w:rPr>
        <w:t xml:space="preserve">свидетельство ЗАГСа о смерти Застрахованного или его нотариально заверенную копию; медицинское заключение о причине смерти, на основании которого выдано свидетельство о смерти; </w:t>
      </w:r>
      <w:r>
        <w:rPr>
          <w:color w:val="000000"/>
          <w:sz w:val="20"/>
          <w:szCs w:val="20"/>
        </w:rPr>
      </w:r>
    </w:p>
    <w:p>
      <w:pPr>
        <w:pStyle w:val="907"/>
        <w:ind w:left="0" w:firstLine="567"/>
        <w:tabs>
          <w:tab w:val="clear" w:pos="340" w:leader="none"/>
          <w:tab w:val="left" w:pos="851" w:leader="none"/>
        </w:tabs>
        <w:rPr>
          <w:color w:val="000000"/>
          <w:sz w:val="20"/>
          <w:szCs w:val="20"/>
        </w:rPr>
      </w:pPr>
      <w:r>
        <w:rPr>
          <w:color w:val="000000"/>
          <w:sz w:val="20"/>
          <w:szCs w:val="20"/>
        </w:rPr>
        <w:t xml:space="preserve">акт о несчастном сл</w:t>
      </w:r>
      <w:r>
        <w:rPr>
          <w:color w:val="000000"/>
          <w:sz w:val="20"/>
          <w:szCs w:val="20"/>
        </w:rPr>
        <w:t xml:space="preserve">учае на производстве (форма Н1), если смерть произошла в результате несчастного случая на производстве.</w:t>
      </w:r>
      <w:r>
        <w:rPr>
          <w:color w:val="000000"/>
          <w:sz w:val="20"/>
          <w:szCs w:val="20"/>
        </w:rPr>
      </w:r>
      <w:r>
        <w:rPr>
          <w:color w:val="000000"/>
          <w:sz w:val="20"/>
          <w:szCs w:val="20"/>
        </w:rPr>
      </w:r>
    </w:p>
    <w:p>
      <w:pPr>
        <w:pStyle w:val="907"/>
        <w:ind w:left="0" w:firstLine="567"/>
        <w:tabs>
          <w:tab w:val="clear" w:pos="340" w:leader="none"/>
          <w:tab w:val="left" w:pos="851" w:leader="none"/>
        </w:tabs>
        <w:rPr>
          <w:color w:val="000000"/>
          <w:sz w:val="20"/>
          <w:szCs w:val="20"/>
        </w:rPr>
      </w:pPr>
      <w:r>
        <w:rPr>
          <w:color w:val="000000"/>
          <w:sz w:val="20"/>
          <w:szCs w:val="20"/>
        </w:rPr>
        <w:t xml:space="preserve">если в </w:t>
      </w:r>
      <w:r>
        <w:rPr>
          <w:color w:val="000000"/>
          <w:sz w:val="20"/>
          <w:szCs w:val="20"/>
        </w:rPr>
        <w:t xml:space="preserve">Контракт</w:t>
      </w:r>
      <w:r>
        <w:rPr>
          <w:color w:val="000000"/>
          <w:sz w:val="20"/>
          <w:szCs w:val="20"/>
        </w:rPr>
        <w:t xml:space="preserve">е не указан Выгодоприобретатель, свидетельство о праве на наследство, выданное нотариальной конторой. </w:t>
      </w:r>
      <w:r>
        <w:rPr>
          <w:color w:val="000000"/>
          <w:sz w:val="20"/>
          <w:szCs w:val="20"/>
        </w:rPr>
      </w:r>
    </w:p>
    <w:p>
      <w:pPr>
        <w:pStyle w:val="909"/>
        <w:ind w:left="0" w:firstLine="567"/>
        <w:rPr>
          <w:b/>
          <w:color w:val="000000"/>
          <w:sz w:val="20"/>
          <w:szCs w:val="20"/>
        </w:rPr>
      </w:pPr>
      <w:r>
        <w:rPr>
          <w:b/>
          <w:color w:val="000000"/>
          <w:sz w:val="20"/>
          <w:szCs w:val="20"/>
        </w:rPr>
        <w:t xml:space="preserve">в связи с </w:t>
      </w:r>
      <w:r>
        <w:rPr>
          <w:b/>
          <w:color w:val="000000"/>
          <w:sz w:val="20"/>
          <w:szCs w:val="20"/>
        </w:rPr>
        <w:t xml:space="preserve">травмой </w:t>
      </w:r>
      <w:r>
        <w:rPr>
          <w:b/>
          <w:color w:val="000000"/>
          <w:sz w:val="20"/>
          <w:szCs w:val="20"/>
        </w:rPr>
        <w:t xml:space="preserve">или стойкой утратой трудоспособности Застрахованным в результате несчастного случая (п. 4.3.1, 4.3.2):</w:t>
      </w:r>
      <w:r>
        <w:rPr>
          <w:b/>
          <w:color w:val="000000"/>
          <w:sz w:val="20"/>
          <w:szCs w:val="20"/>
        </w:rPr>
      </w:r>
    </w:p>
    <w:p>
      <w:pPr>
        <w:pStyle w:val="907"/>
        <w:ind w:left="0" w:firstLine="567"/>
        <w:tabs>
          <w:tab w:val="clear" w:pos="340" w:leader="none"/>
          <w:tab w:val="left" w:pos="851" w:leader="none"/>
        </w:tabs>
        <w:rPr>
          <w:color w:val="000000"/>
          <w:sz w:val="20"/>
          <w:szCs w:val="20"/>
        </w:rPr>
      </w:pPr>
      <w:r>
        <w:rPr>
          <w:color w:val="000000"/>
          <w:sz w:val="20"/>
          <w:szCs w:val="20"/>
        </w:rPr>
        <w:t xml:space="preserve">выписка из медицинской карты или истории болезни, справка медицинского учреждения с указанием диагноза, сроков лечения; </w:t>
      </w:r>
      <w:r>
        <w:rPr>
          <w:color w:val="000000"/>
          <w:sz w:val="20"/>
          <w:szCs w:val="20"/>
        </w:rPr>
      </w:r>
    </w:p>
    <w:p>
      <w:pPr>
        <w:pStyle w:val="907"/>
        <w:ind w:left="0" w:firstLine="567"/>
        <w:tabs>
          <w:tab w:val="clear" w:pos="340" w:leader="none"/>
          <w:tab w:val="left" w:pos="851" w:leader="none"/>
        </w:tabs>
        <w:rPr>
          <w:color w:val="000000"/>
          <w:sz w:val="20"/>
          <w:szCs w:val="20"/>
        </w:rPr>
      </w:pPr>
      <w:r>
        <w:rPr>
          <w:color w:val="000000"/>
          <w:sz w:val="20"/>
          <w:szCs w:val="20"/>
        </w:rPr>
        <w:t xml:space="preserve">акт о несчастном случае на производстве (форма Н1);</w:t>
      </w:r>
      <w:r>
        <w:rPr>
          <w:color w:val="000000"/>
          <w:sz w:val="20"/>
          <w:szCs w:val="20"/>
        </w:rPr>
        <w:t xml:space="preserve"> </w:t>
      </w:r>
      <w:r>
        <w:rPr>
          <w:color w:val="000000"/>
          <w:sz w:val="20"/>
          <w:szCs w:val="20"/>
        </w:rPr>
        <w:t xml:space="preserve">если временная или стойкая утрата трудоспособности произошла в результате несчастного случая на производстве.</w:t>
      </w:r>
      <w:r>
        <w:rPr>
          <w:color w:val="000000"/>
          <w:sz w:val="20"/>
          <w:szCs w:val="20"/>
        </w:rPr>
      </w:r>
    </w:p>
    <w:p>
      <w:pPr>
        <w:pStyle w:val="907"/>
        <w:ind w:left="0" w:firstLine="567"/>
        <w:tabs>
          <w:tab w:val="clear" w:pos="340" w:leader="none"/>
          <w:tab w:val="left" w:pos="851" w:leader="none"/>
        </w:tabs>
        <w:rPr>
          <w:color w:val="000000"/>
          <w:sz w:val="20"/>
          <w:szCs w:val="20"/>
        </w:rPr>
      </w:pPr>
      <w:r>
        <w:rPr>
          <w:color w:val="000000"/>
          <w:sz w:val="20"/>
          <w:szCs w:val="20"/>
        </w:rPr>
        <w:t xml:space="preserve">копии закрытых листков нетрудоспособности, заверенные отделом кадров Застрахованного (или документы, их заменяющие);</w:t>
      </w:r>
      <w:r>
        <w:rPr>
          <w:color w:val="000000"/>
          <w:sz w:val="20"/>
          <w:szCs w:val="20"/>
        </w:rPr>
      </w:r>
    </w:p>
    <w:p>
      <w:pPr>
        <w:pStyle w:val="907"/>
        <w:ind w:left="0" w:firstLine="567"/>
        <w:tabs>
          <w:tab w:val="clear" w:pos="340" w:leader="none"/>
          <w:tab w:val="left" w:pos="851" w:leader="none"/>
        </w:tabs>
        <w:rPr>
          <w:color w:val="000000"/>
          <w:sz w:val="20"/>
          <w:szCs w:val="20"/>
        </w:rPr>
      </w:pPr>
      <w:r>
        <w:rPr>
          <w:color w:val="000000"/>
          <w:sz w:val="20"/>
          <w:szCs w:val="20"/>
        </w:rPr>
        <w:t xml:space="preserve">заключение государственного учреждения медико-социальной экспертизы в случае установления Застрахованному лицу группы инвалидности, выданное в порядке, установленном действующим законодательством.</w:t>
      </w:r>
      <w:r>
        <w:rPr>
          <w:color w:val="000000"/>
          <w:sz w:val="20"/>
          <w:szCs w:val="20"/>
        </w:rPr>
      </w:r>
      <w:r>
        <w:rPr>
          <w:color w:val="000000"/>
          <w:sz w:val="20"/>
          <w:szCs w:val="20"/>
        </w:rPr>
      </w:r>
    </w:p>
    <w:p>
      <w:pPr>
        <w:pStyle w:val="905"/>
        <w:ind w:left="0" w:firstLine="567"/>
        <w:rPr>
          <w:color w:val="000000"/>
          <w:sz w:val="20"/>
          <w:szCs w:val="20"/>
        </w:rPr>
      </w:pPr>
      <w:r>
        <w:rPr>
          <w:color w:val="000000"/>
          <w:sz w:val="20"/>
          <w:szCs w:val="20"/>
        </w:rPr>
        <w:t xml:space="preserve">Обязанность по получению указанных документов из компетентных органов и медицинских учреждений лежит на Застрахованном (</w:t>
      </w:r>
      <w:r>
        <w:rPr>
          <w:color w:val="000000"/>
          <w:sz w:val="20"/>
          <w:szCs w:val="20"/>
        </w:rPr>
        <w:t xml:space="preserve">Выгодопр</w:t>
      </w:r>
      <w:r>
        <w:rPr>
          <w:color w:val="000000"/>
          <w:sz w:val="20"/>
          <w:szCs w:val="20"/>
        </w:rPr>
        <w:t xml:space="preserve">и</w:t>
      </w:r>
      <w:r>
        <w:rPr>
          <w:color w:val="000000"/>
          <w:sz w:val="20"/>
          <w:szCs w:val="20"/>
        </w:rPr>
        <w:t xml:space="preserve">обретателе</w:t>
      </w:r>
      <w:r>
        <w:rPr>
          <w:color w:val="000000"/>
          <w:sz w:val="20"/>
          <w:szCs w:val="20"/>
        </w:rPr>
        <w:t xml:space="preserve">). </w:t>
      </w:r>
      <w:bookmarkStart w:id="36" w:name="_Ref253674646"/>
      <w:r>
        <w:rPr>
          <w:color w:val="000000"/>
          <w:sz w:val="20"/>
          <w:szCs w:val="20"/>
        </w:rPr>
      </w:r>
      <w:r>
        <w:rPr>
          <w:color w:val="000000"/>
          <w:sz w:val="20"/>
          <w:szCs w:val="20"/>
        </w:rPr>
      </w:r>
    </w:p>
    <w:p>
      <w:pPr>
        <w:pStyle w:val="905"/>
        <w:ind w:left="0" w:firstLine="567"/>
        <w:rPr>
          <w:color w:val="000000"/>
          <w:sz w:val="20"/>
          <w:szCs w:val="20"/>
        </w:rPr>
      </w:pPr>
      <w:r>
        <w:rPr>
          <w:color w:val="000000"/>
          <w:sz w:val="20"/>
          <w:szCs w:val="20"/>
        </w:rPr>
        <w:t xml:space="preserve">Если событие произошло за пределами Российской Федерации, то Страховщику должны быть предоставлены медицинские</w:t>
      </w:r>
      <w:r>
        <w:rPr>
          <w:color w:val="000000"/>
          <w:sz w:val="20"/>
          <w:szCs w:val="20"/>
        </w:rPr>
        <w:t xml:space="preserve"> документы</w:t>
      </w:r>
      <w:r>
        <w:rPr>
          <w:color w:val="000000"/>
          <w:sz w:val="20"/>
          <w:szCs w:val="20"/>
        </w:rPr>
        <w:t xml:space="preserve">, позволяющие идентифицировать факт страхового случая и характер полученных повреждений на русском языке. Документы на иностранном языке должны иметь апостиль (если применимо) и/или нотариально заверенный перевод. Расходы по </w:t>
      </w:r>
      <w:r>
        <w:rPr>
          <w:color w:val="000000"/>
          <w:sz w:val="20"/>
          <w:szCs w:val="20"/>
        </w:rPr>
        <w:t xml:space="preserve">переводу </w:t>
      </w:r>
      <w:r>
        <w:rPr>
          <w:color w:val="000000"/>
          <w:sz w:val="20"/>
          <w:szCs w:val="20"/>
        </w:rPr>
        <w:t xml:space="preserve">указанных документов оплачивает Застрахованный (</w:t>
      </w:r>
      <w:r>
        <w:rPr>
          <w:color w:val="000000"/>
          <w:sz w:val="20"/>
          <w:szCs w:val="20"/>
        </w:rPr>
        <w:t xml:space="preserve">Выгодопр</w:t>
      </w:r>
      <w:r>
        <w:rPr>
          <w:color w:val="000000"/>
          <w:sz w:val="20"/>
          <w:szCs w:val="20"/>
        </w:rPr>
        <w:t xml:space="preserve">и</w:t>
      </w:r>
      <w:r>
        <w:rPr>
          <w:color w:val="000000"/>
          <w:sz w:val="20"/>
          <w:szCs w:val="20"/>
        </w:rPr>
        <w:t xml:space="preserve">обретатель</w:t>
      </w:r>
      <w:r>
        <w:rPr>
          <w:color w:val="000000"/>
          <w:sz w:val="20"/>
          <w:szCs w:val="20"/>
        </w:rPr>
        <w:t xml:space="preserve">)</w:t>
      </w:r>
      <w:bookmarkEnd w:id="18"/>
      <w:r>
        <w:rPr>
          <w:color w:val="000000"/>
          <w:sz w:val="20"/>
          <w:szCs w:val="20"/>
        </w:rPr>
        <w:t xml:space="preserve">,</w:t>
      </w:r>
      <w:r>
        <w:rPr>
          <w:color w:val="000000"/>
          <w:sz w:val="20"/>
          <w:szCs w:val="20"/>
        </w:rPr>
        <w:t xml:space="preserve"> </w:t>
      </w:r>
      <w:r>
        <w:rPr>
          <w:color w:val="000000"/>
          <w:sz w:val="20"/>
          <w:szCs w:val="20"/>
        </w:rPr>
        <w:t xml:space="preserve">с последующей компенсацией их Страховщиком.</w:t>
      </w:r>
      <w:r>
        <w:rPr>
          <w:color w:val="000000"/>
          <w:sz w:val="20"/>
          <w:szCs w:val="20"/>
        </w:rPr>
      </w:r>
      <w:r>
        <w:rPr>
          <w:color w:val="000000"/>
          <w:sz w:val="20"/>
          <w:szCs w:val="20"/>
        </w:rPr>
      </w:r>
    </w:p>
    <w:p>
      <w:pPr>
        <w:pStyle w:val="905"/>
        <w:ind w:left="0" w:firstLine="567"/>
        <w:rPr>
          <w:color w:val="000000"/>
          <w:sz w:val="20"/>
          <w:szCs w:val="20"/>
        </w:rPr>
      </w:pPr>
      <w:r/>
      <w:bookmarkStart w:id="37" w:name="10"/>
      <w:r/>
      <w:bookmarkStart w:id="38" w:name="_Toc264885889"/>
      <w:r>
        <w:rPr>
          <w:color w:val="000000"/>
          <w:sz w:val="20"/>
          <w:szCs w:val="20"/>
        </w:rPr>
        <w:t xml:space="preserve">Страховщик вправе самостоятельно принять решение о достаточности фактически представленных документов для признания последствий несчастного случая страховым случаем и определения размеров страховой выплаты.</w:t>
      </w:r>
      <w:r>
        <w:rPr>
          <w:color w:val="000000"/>
          <w:sz w:val="20"/>
          <w:szCs w:val="20"/>
        </w:rPr>
      </w:r>
    </w:p>
    <w:p>
      <w:pPr>
        <w:pStyle w:val="905"/>
        <w:ind w:left="0" w:firstLine="567"/>
        <w:rPr>
          <w:color w:val="000000"/>
          <w:sz w:val="20"/>
          <w:szCs w:val="20"/>
        </w:rPr>
      </w:pPr>
      <w:r>
        <w:rPr>
          <w:color w:val="000000"/>
          <w:sz w:val="20"/>
          <w:szCs w:val="20"/>
        </w:rPr>
        <w:t xml:space="preserve">Страховой Акт должен быть составлен Страховщиком не позднее 15 рабочих дней со дня получения заявления о страховой выплате и документов, указанных в пп.</w:t>
      </w:r>
      <w:r>
        <w:rPr>
          <w:color w:val="000000"/>
          <w:sz w:val="20"/>
          <w:szCs w:val="20"/>
        </w:rPr>
        <w:t xml:space="preserve"> </w:t>
      </w:r>
      <w:r>
        <w:rPr>
          <w:color w:val="000000"/>
          <w:sz w:val="20"/>
          <w:szCs w:val="20"/>
        </w:rPr>
        <w:t xml:space="preserve">9.6, 9.7 настоящего </w:t>
      </w:r>
      <w:r>
        <w:rPr>
          <w:color w:val="000000"/>
          <w:sz w:val="20"/>
          <w:szCs w:val="20"/>
        </w:rPr>
        <w:t xml:space="preserve">Контракт</w:t>
      </w:r>
      <w:r>
        <w:rPr>
          <w:color w:val="000000"/>
          <w:sz w:val="20"/>
          <w:szCs w:val="20"/>
        </w:rPr>
        <w:t xml:space="preserve">а.</w:t>
      </w:r>
      <w:r>
        <w:rPr>
          <w:color w:val="000000"/>
          <w:sz w:val="20"/>
          <w:szCs w:val="20"/>
        </w:rPr>
      </w:r>
    </w:p>
    <w:p>
      <w:pPr>
        <w:pStyle w:val="905"/>
        <w:numPr>
          <w:ilvl w:val="0"/>
          <w:numId w:val="0"/>
        </w:numPr>
        <w:ind w:firstLine="567"/>
        <w:rPr>
          <w:color w:val="000000"/>
          <w:sz w:val="20"/>
          <w:szCs w:val="20"/>
        </w:rPr>
      </w:pPr>
      <w:r>
        <w:rPr>
          <w:color w:val="000000"/>
          <w:sz w:val="20"/>
          <w:szCs w:val="20"/>
        </w:rPr>
        <w:t xml:space="preserve">При принятии решения об отказе в выплате лицу, претендующему на получение </w:t>
      </w:r>
      <w:r>
        <w:rPr>
          <w:color w:val="000000"/>
          <w:sz w:val="20"/>
          <w:szCs w:val="20"/>
        </w:rPr>
        <w:t xml:space="preserve">страховой выплаты</w:t>
      </w:r>
      <w:r>
        <w:rPr>
          <w:color w:val="000000"/>
          <w:sz w:val="20"/>
          <w:szCs w:val="20"/>
        </w:rPr>
        <w:t xml:space="preserve">, Страховщик в письменной форме и со ссылками на </w:t>
      </w:r>
      <w:r>
        <w:rPr>
          <w:color w:val="000000"/>
          <w:sz w:val="20"/>
          <w:szCs w:val="20"/>
        </w:rPr>
        <w:t xml:space="preserve">нормы законодательства</w:t>
      </w:r>
      <w:r>
        <w:rPr>
          <w:color w:val="000000"/>
          <w:sz w:val="20"/>
          <w:szCs w:val="20"/>
        </w:rPr>
        <w:t xml:space="preserve"> информирует об этом соответствующее лицо в течение 15 рабочих дней со дня получения заявления о </w:t>
      </w:r>
      <w:r>
        <w:rPr>
          <w:color w:val="000000"/>
          <w:sz w:val="20"/>
          <w:szCs w:val="20"/>
        </w:rPr>
        <w:t xml:space="preserve">страховой </w:t>
      </w:r>
      <w:r>
        <w:rPr>
          <w:color w:val="000000"/>
          <w:sz w:val="20"/>
          <w:szCs w:val="20"/>
        </w:rPr>
        <w:t xml:space="preserve">выплате и документов, указанных в п.п. </w:t>
      </w:r>
      <w:r>
        <w:rPr>
          <w:color w:val="000000"/>
          <w:sz w:val="20"/>
          <w:szCs w:val="20"/>
        </w:rPr>
        <w:t xml:space="preserve">9.</w:t>
      </w:r>
      <w:r>
        <w:rPr>
          <w:color w:val="000000"/>
          <w:sz w:val="20"/>
          <w:szCs w:val="20"/>
        </w:rPr>
        <w:t xml:space="preserve">6</w:t>
      </w:r>
      <w:r>
        <w:rPr>
          <w:color w:val="000000"/>
          <w:sz w:val="20"/>
          <w:szCs w:val="20"/>
        </w:rPr>
        <w:t xml:space="preserve">., </w:t>
      </w:r>
      <w:r>
        <w:rPr>
          <w:color w:val="000000"/>
          <w:sz w:val="20"/>
          <w:szCs w:val="20"/>
        </w:rPr>
        <w:t xml:space="preserve">9</w:t>
      </w:r>
      <w:r>
        <w:rPr>
          <w:color w:val="000000"/>
          <w:sz w:val="20"/>
          <w:szCs w:val="20"/>
        </w:rPr>
        <w:t xml:space="preserve">.</w:t>
      </w:r>
      <w:r>
        <w:rPr>
          <w:color w:val="000000"/>
          <w:sz w:val="20"/>
          <w:szCs w:val="20"/>
        </w:rPr>
        <w:t xml:space="preserve">7</w:t>
      </w:r>
      <w:r>
        <w:rPr>
          <w:color w:val="000000"/>
          <w:sz w:val="20"/>
          <w:szCs w:val="20"/>
        </w:rPr>
        <w:t xml:space="preserve">,</w:t>
      </w:r>
      <w:r>
        <w:rPr>
          <w:color w:val="000000"/>
          <w:sz w:val="20"/>
          <w:szCs w:val="20"/>
        </w:rPr>
        <w:t xml:space="preserve"> подтверждающих факт наступления события, имеющего признаки страхового случая.</w:t>
      </w:r>
      <w:r>
        <w:rPr>
          <w:color w:val="000000"/>
          <w:sz w:val="20"/>
          <w:szCs w:val="20"/>
        </w:rPr>
      </w:r>
    </w:p>
    <w:p>
      <w:pPr>
        <w:pStyle w:val="905"/>
        <w:ind w:left="0" w:firstLine="567"/>
        <w:rPr>
          <w:color w:val="000000"/>
          <w:sz w:val="20"/>
          <w:szCs w:val="20"/>
        </w:rPr>
      </w:pPr>
      <w:r>
        <w:rPr>
          <w:color w:val="000000"/>
          <w:sz w:val="20"/>
          <w:szCs w:val="20"/>
        </w:rPr>
        <w:t xml:space="preserve">Страховая выплата осуществляется</w:t>
      </w:r>
      <w:r>
        <w:rPr>
          <w:color w:val="000000"/>
          <w:sz w:val="20"/>
          <w:szCs w:val="20"/>
        </w:rPr>
        <w:t xml:space="preserve"> либо наличными деньгами из кассы Страховщика, либо путем перечисления на банковский счет получателя, или переводом по почте, или иным способом по согласованию сторон. Расходы по перечислению </w:t>
      </w:r>
      <w:r>
        <w:rPr>
          <w:color w:val="000000"/>
          <w:sz w:val="20"/>
          <w:szCs w:val="20"/>
        </w:rPr>
        <w:t xml:space="preserve">страховой выплаты </w:t>
      </w:r>
      <w:r>
        <w:rPr>
          <w:color w:val="000000"/>
          <w:sz w:val="20"/>
          <w:szCs w:val="20"/>
        </w:rPr>
        <w:t xml:space="preserve">на банковский счет получателя и переводу его по почте несет </w:t>
      </w:r>
      <w:r>
        <w:rPr>
          <w:color w:val="000000"/>
          <w:sz w:val="20"/>
          <w:szCs w:val="20"/>
        </w:rPr>
        <w:t xml:space="preserve">Страховщик</w:t>
      </w:r>
      <w:r>
        <w:rPr>
          <w:color w:val="000000"/>
          <w:sz w:val="20"/>
          <w:szCs w:val="20"/>
        </w:rPr>
        <w:t xml:space="preserve">.</w:t>
      </w:r>
      <w:r>
        <w:rPr>
          <w:color w:val="000000"/>
          <w:sz w:val="20"/>
          <w:szCs w:val="20"/>
        </w:rPr>
      </w:r>
    </w:p>
    <w:p>
      <w:pPr>
        <w:pStyle w:val="905"/>
        <w:ind w:left="0" w:firstLine="567"/>
        <w:rPr>
          <w:color w:val="000000"/>
          <w:sz w:val="20"/>
          <w:szCs w:val="20"/>
        </w:rPr>
      </w:pPr>
      <w:r>
        <w:rPr>
          <w:color w:val="000000"/>
          <w:sz w:val="20"/>
          <w:szCs w:val="20"/>
        </w:rPr>
        <w:t xml:space="preserve">В случае смерти Застрахованного соблюдается следующий приоритет по </w:t>
      </w:r>
      <w:r>
        <w:rPr>
          <w:color w:val="000000"/>
          <w:sz w:val="20"/>
          <w:szCs w:val="20"/>
        </w:rPr>
        <w:t xml:space="preserve">страховой </w:t>
      </w:r>
      <w:r>
        <w:rPr>
          <w:color w:val="000000"/>
          <w:sz w:val="20"/>
          <w:szCs w:val="20"/>
        </w:rPr>
        <w:t xml:space="preserve">выплате:</w:t>
      </w:r>
      <w:bookmarkEnd w:id="19"/>
      <w:r>
        <w:rPr>
          <w:color w:val="000000"/>
          <w:sz w:val="20"/>
          <w:szCs w:val="20"/>
        </w:rPr>
      </w:r>
      <w:r>
        <w:rPr>
          <w:color w:val="000000"/>
          <w:sz w:val="20"/>
          <w:szCs w:val="20"/>
        </w:rPr>
      </w:r>
    </w:p>
    <w:p>
      <w:pPr>
        <w:pStyle w:val="907"/>
        <w:ind w:left="0" w:firstLine="567"/>
        <w:tabs>
          <w:tab w:val="clear" w:pos="340" w:leader="none"/>
          <w:tab w:val="left" w:pos="851" w:leader="none"/>
        </w:tabs>
        <w:rPr>
          <w:color w:val="000000"/>
          <w:sz w:val="20"/>
          <w:szCs w:val="20"/>
        </w:rPr>
      </w:pPr>
      <w:r>
        <w:rPr>
          <w:color w:val="000000"/>
          <w:sz w:val="20"/>
          <w:szCs w:val="20"/>
        </w:rPr>
        <w:t xml:space="preserve">в первую очередь — указанному в </w:t>
      </w:r>
      <w:r>
        <w:rPr>
          <w:color w:val="000000"/>
          <w:sz w:val="20"/>
          <w:szCs w:val="20"/>
        </w:rPr>
        <w:t xml:space="preserve">Контракт</w:t>
      </w:r>
      <w:r>
        <w:rPr>
          <w:color w:val="000000"/>
          <w:sz w:val="20"/>
          <w:szCs w:val="20"/>
        </w:rPr>
        <w:t xml:space="preserve">е </w:t>
      </w:r>
      <w:r>
        <w:rPr>
          <w:color w:val="000000"/>
          <w:sz w:val="20"/>
          <w:szCs w:val="20"/>
        </w:rPr>
        <w:t xml:space="preserve">Выгодопр</w:t>
      </w:r>
      <w:r>
        <w:rPr>
          <w:color w:val="000000"/>
          <w:sz w:val="20"/>
          <w:szCs w:val="20"/>
        </w:rPr>
        <w:t xml:space="preserve">и</w:t>
      </w:r>
      <w:r>
        <w:rPr>
          <w:color w:val="000000"/>
          <w:sz w:val="20"/>
          <w:szCs w:val="20"/>
        </w:rPr>
        <w:t xml:space="preserve">обретателю</w:t>
      </w:r>
      <w:r>
        <w:rPr>
          <w:color w:val="000000"/>
          <w:sz w:val="20"/>
          <w:szCs w:val="20"/>
        </w:rPr>
        <w:t xml:space="preserve">. Если в </w:t>
      </w:r>
      <w:r>
        <w:rPr>
          <w:color w:val="000000"/>
          <w:sz w:val="20"/>
          <w:szCs w:val="20"/>
        </w:rPr>
        <w:t xml:space="preserve">Контракт</w:t>
      </w:r>
      <w:r>
        <w:rPr>
          <w:color w:val="000000"/>
          <w:sz w:val="20"/>
          <w:szCs w:val="20"/>
        </w:rPr>
        <w:t xml:space="preserve">е указано несколько Выгодопр</w:t>
      </w:r>
      <w:r>
        <w:rPr>
          <w:color w:val="000000"/>
          <w:sz w:val="20"/>
          <w:szCs w:val="20"/>
        </w:rPr>
        <w:t xml:space="preserve">и</w:t>
      </w:r>
      <w:r>
        <w:rPr>
          <w:color w:val="000000"/>
          <w:sz w:val="20"/>
          <w:szCs w:val="20"/>
        </w:rPr>
        <w:t xml:space="preserve">обретателей, но не указаны их доли, выплата осуществляется всем Выгодопр</w:t>
      </w:r>
      <w:r>
        <w:rPr>
          <w:color w:val="000000"/>
          <w:sz w:val="20"/>
          <w:szCs w:val="20"/>
        </w:rPr>
        <w:t xml:space="preserve">и</w:t>
      </w:r>
      <w:r>
        <w:rPr>
          <w:color w:val="000000"/>
          <w:sz w:val="20"/>
          <w:szCs w:val="20"/>
        </w:rPr>
        <w:t xml:space="preserve">обретателям в равных долях;</w:t>
      </w:r>
      <w:r>
        <w:rPr>
          <w:color w:val="000000"/>
          <w:sz w:val="20"/>
          <w:szCs w:val="20"/>
        </w:rPr>
      </w:r>
    </w:p>
    <w:p>
      <w:pPr>
        <w:pStyle w:val="907"/>
        <w:ind w:left="0" w:firstLine="567"/>
        <w:tabs>
          <w:tab w:val="clear" w:pos="340" w:leader="none"/>
          <w:tab w:val="left" w:pos="851" w:leader="none"/>
        </w:tabs>
        <w:rPr>
          <w:color w:val="000000"/>
          <w:sz w:val="20"/>
          <w:szCs w:val="20"/>
        </w:rPr>
      </w:pPr>
      <w:r>
        <w:rPr>
          <w:color w:val="000000"/>
          <w:sz w:val="20"/>
          <w:szCs w:val="20"/>
        </w:rPr>
        <w:t xml:space="preserve">при отсутствии </w:t>
      </w:r>
      <w:r>
        <w:rPr>
          <w:color w:val="000000"/>
          <w:sz w:val="20"/>
          <w:szCs w:val="20"/>
        </w:rPr>
        <w:t xml:space="preserve">Выгодопр</w:t>
      </w:r>
      <w:r>
        <w:rPr>
          <w:color w:val="000000"/>
          <w:sz w:val="20"/>
          <w:szCs w:val="20"/>
        </w:rPr>
        <w:t xml:space="preserve">и</w:t>
      </w:r>
      <w:r>
        <w:rPr>
          <w:color w:val="000000"/>
          <w:sz w:val="20"/>
          <w:szCs w:val="20"/>
        </w:rPr>
        <w:t xml:space="preserve">обретателя</w:t>
      </w:r>
      <w:r>
        <w:rPr>
          <w:color w:val="000000"/>
          <w:sz w:val="20"/>
          <w:szCs w:val="20"/>
        </w:rPr>
        <w:t xml:space="preserve"> (не был назначен, умер ранее Застрахованного, умер одновременно с Застрахованным) — лицу, признанному наследником Застрахованного по гражданскому законодательству, при предоставлении свидетельства </w:t>
      </w:r>
      <w:r>
        <w:rPr>
          <w:color w:val="000000"/>
          <w:sz w:val="20"/>
          <w:szCs w:val="20"/>
        </w:rPr>
        <w:t xml:space="preserve">о праве на наследство по закону/ по завещанию.</w:t>
      </w:r>
      <w:r>
        <w:rPr>
          <w:color w:val="000000"/>
          <w:sz w:val="20"/>
          <w:szCs w:val="20"/>
        </w:rPr>
      </w:r>
      <w:r>
        <w:rPr>
          <w:color w:val="000000"/>
          <w:sz w:val="20"/>
          <w:szCs w:val="20"/>
        </w:rPr>
      </w:r>
    </w:p>
    <w:p>
      <w:pPr>
        <w:pStyle w:val="715"/>
        <w:ind w:firstLine="567"/>
        <w:rPr>
          <w:color w:val="000000"/>
          <w:sz w:val="20"/>
          <w:szCs w:val="20"/>
        </w:rPr>
      </w:pPr>
      <w:r>
        <w:rPr>
          <w:color w:val="000000"/>
          <w:sz w:val="20"/>
          <w:szCs w:val="20"/>
        </w:rPr>
        <w:t xml:space="preserve">Если получатель </w:t>
      </w:r>
      <w:r>
        <w:rPr>
          <w:color w:val="000000"/>
          <w:sz w:val="20"/>
          <w:szCs w:val="20"/>
        </w:rPr>
        <w:t xml:space="preserve">страховой выплаты </w:t>
      </w:r>
      <w:r>
        <w:rPr>
          <w:color w:val="000000"/>
          <w:sz w:val="20"/>
          <w:szCs w:val="20"/>
        </w:rPr>
        <w:t xml:space="preserve">умирает, не получив причитающееся ему </w:t>
      </w:r>
      <w:r>
        <w:rPr>
          <w:color w:val="000000"/>
          <w:sz w:val="20"/>
          <w:szCs w:val="20"/>
        </w:rPr>
        <w:t xml:space="preserve">страховую выплату</w:t>
      </w:r>
      <w:r>
        <w:rPr>
          <w:color w:val="000000"/>
          <w:sz w:val="20"/>
          <w:szCs w:val="20"/>
        </w:rPr>
        <w:t xml:space="preserve">, право на получение </w:t>
      </w:r>
      <w:r>
        <w:rPr>
          <w:color w:val="000000"/>
          <w:sz w:val="20"/>
          <w:szCs w:val="20"/>
        </w:rPr>
        <w:t xml:space="preserve">страховой выплаты </w:t>
      </w:r>
      <w:r>
        <w:rPr>
          <w:color w:val="000000"/>
          <w:sz w:val="20"/>
          <w:szCs w:val="20"/>
        </w:rPr>
        <w:t xml:space="preserve">переходит к наследникам умершего получателя</w:t>
      </w:r>
      <w:r>
        <w:rPr>
          <w:color w:val="000000"/>
          <w:sz w:val="20"/>
          <w:szCs w:val="20"/>
        </w:rPr>
        <w:t xml:space="preserve">.</w:t>
      </w:r>
      <w:r>
        <w:rPr>
          <w:color w:val="000000"/>
          <w:sz w:val="20"/>
          <w:szCs w:val="20"/>
        </w:rPr>
      </w:r>
      <w:r>
        <w:rPr>
          <w:color w:val="000000"/>
          <w:sz w:val="20"/>
          <w:szCs w:val="20"/>
        </w:rPr>
      </w:r>
    </w:p>
    <w:p>
      <w:pPr>
        <w:pStyle w:val="715"/>
        <w:ind w:firstLine="567"/>
        <w:rPr>
          <w:color w:val="000000"/>
          <w:sz w:val="20"/>
          <w:szCs w:val="20"/>
        </w:rPr>
      </w:pPr>
      <w:r>
        <w:rPr>
          <w:color w:val="000000"/>
          <w:sz w:val="20"/>
          <w:szCs w:val="20"/>
        </w:rPr>
        <w:t xml:space="preserve">Лица, виновные в смерти Застрахованного или умышленном причинении телесных повреждений, повлекших смерть Застрахованного, исключаются из списка получателей </w:t>
      </w:r>
      <w:r>
        <w:rPr>
          <w:color w:val="000000"/>
          <w:sz w:val="20"/>
          <w:szCs w:val="20"/>
        </w:rPr>
        <w:t xml:space="preserve">страховой выплаты</w:t>
      </w:r>
      <w:r>
        <w:rPr>
          <w:color w:val="000000"/>
          <w:sz w:val="20"/>
          <w:szCs w:val="20"/>
        </w:rPr>
        <w:t xml:space="preserve">.</w:t>
      </w:r>
      <w:r>
        <w:rPr>
          <w:color w:val="000000"/>
          <w:sz w:val="20"/>
          <w:szCs w:val="20"/>
        </w:rPr>
      </w:r>
    </w:p>
    <w:p>
      <w:pPr>
        <w:pStyle w:val="905"/>
        <w:ind w:left="0" w:firstLine="567"/>
        <w:rPr>
          <w:color w:val="000000"/>
          <w:sz w:val="20"/>
          <w:szCs w:val="20"/>
        </w:rPr>
      </w:pPr>
      <w:r>
        <w:rPr>
          <w:color w:val="000000"/>
          <w:sz w:val="20"/>
          <w:szCs w:val="20"/>
        </w:rPr>
        <w:t xml:space="preserve">При объявлении судом Застрахованного лица умершим </w:t>
      </w:r>
      <w:r>
        <w:rPr>
          <w:color w:val="000000"/>
          <w:sz w:val="20"/>
          <w:szCs w:val="20"/>
        </w:rPr>
        <w:t xml:space="preserve">страховая выплата </w:t>
      </w:r>
      <w:r>
        <w:rPr>
          <w:color w:val="000000"/>
          <w:sz w:val="20"/>
          <w:szCs w:val="20"/>
        </w:rPr>
        <w:t xml:space="preserve">подлежит выплате при условии, когда в реше</w:t>
      </w:r>
      <w:r>
        <w:rPr>
          <w:color w:val="000000"/>
          <w:sz w:val="20"/>
          <w:szCs w:val="20"/>
        </w:rPr>
        <w:t xml:space="preserve">нии суда указано, что Застрахованный пропал без вести при обстоятельствах, угрожавших смертью или дающих основание предполагать его гибель от определенного несчастного случая, и день его исчезновения или предполагаемой гибели приходится на период действия </w:t>
      </w:r>
      <w:r>
        <w:rPr>
          <w:color w:val="000000"/>
          <w:sz w:val="20"/>
          <w:szCs w:val="20"/>
        </w:rPr>
        <w:t xml:space="preserve">Контракт</w:t>
      </w:r>
      <w:r>
        <w:rPr>
          <w:color w:val="000000"/>
          <w:sz w:val="20"/>
          <w:szCs w:val="20"/>
        </w:rPr>
        <w:t xml:space="preserve">а. </w:t>
      </w:r>
      <w:r>
        <w:rPr>
          <w:color w:val="000000"/>
          <w:sz w:val="20"/>
          <w:szCs w:val="20"/>
        </w:rPr>
      </w:r>
    </w:p>
    <w:p>
      <w:pPr>
        <w:pStyle w:val="905"/>
        <w:ind w:left="0" w:firstLine="567"/>
        <w:rPr>
          <w:color w:val="000000"/>
          <w:sz w:val="20"/>
          <w:szCs w:val="20"/>
        </w:rPr>
      </w:pPr>
      <w:r>
        <w:rPr>
          <w:color w:val="000000"/>
          <w:sz w:val="20"/>
          <w:szCs w:val="20"/>
        </w:rPr>
        <w:t xml:space="preserve">Страховая в</w:t>
      </w:r>
      <w:r>
        <w:rPr>
          <w:color w:val="000000"/>
          <w:sz w:val="20"/>
          <w:szCs w:val="20"/>
        </w:rPr>
        <w:t xml:space="preserve">ыплата может быть произведена представителю Застрахованного лица или представителю </w:t>
      </w:r>
      <w:r>
        <w:rPr>
          <w:color w:val="000000"/>
          <w:sz w:val="20"/>
          <w:szCs w:val="20"/>
        </w:rPr>
        <w:t xml:space="preserve">Выгодопр</w:t>
      </w:r>
      <w:r>
        <w:rPr>
          <w:color w:val="000000"/>
          <w:sz w:val="20"/>
          <w:szCs w:val="20"/>
        </w:rPr>
        <w:t xml:space="preserve">и</w:t>
      </w:r>
      <w:r>
        <w:rPr>
          <w:color w:val="000000"/>
          <w:sz w:val="20"/>
          <w:szCs w:val="20"/>
        </w:rPr>
        <w:t xml:space="preserve">обретателя</w:t>
      </w:r>
      <w:r>
        <w:rPr>
          <w:color w:val="000000"/>
          <w:sz w:val="20"/>
          <w:szCs w:val="20"/>
        </w:rPr>
        <w:t xml:space="preserve"> по доверенности, оформленной в установленном законом порядке.</w:t>
      </w:r>
      <w:r>
        <w:rPr>
          <w:color w:val="000000"/>
          <w:sz w:val="20"/>
          <w:szCs w:val="20"/>
        </w:rPr>
      </w:r>
    </w:p>
    <w:p>
      <w:pPr>
        <w:pStyle w:val="905"/>
        <w:ind w:left="0" w:firstLine="567"/>
        <w:rPr>
          <w:color w:val="000000"/>
          <w:sz w:val="20"/>
          <w:szCs w:val="20"/>
        </w:rPr>
      </w:pPr>
      <w:r>
        <w:rPr>
          <w:color w:val="000000"/>
          <w:sz w:val="20"/>
          <w:szCs w:val="20"/>
        </w:rPr>
        <w:t xml:space="preserve">Страховая выплата </w:t>
      </w:r>
      <w:r>
        <w:rPr>
          <w:color w:val="000000"/>
          <w:sz w:val="20"/>
          <w:szCs w:val="20"/>
        </w:rPr>
        <w:t xml:space="preserve">не </w:t>
      </w:r>
      <w:r>
        <w:rPr>
          <w:color w:val="000000"/>
          <w:sz w:val="20"/>
          <w:szCs w:val="20"/>
        </w:rPr>
        <w:t xml:space="preserve">осуществляется</w:t>
      </w:r>
      <w:r>
        <w:rPr>
          <w:color w:val="000000"/>
          <w:sz w:val="20"/>
          <w:szCs w:val="20"/>
        </w:rPr>
        <w:t xml:space="preserve"> в случаях, предусмотренных в настоящем </w:t>
      </w:r>
      <w:r>
        <w:rPr>
          <w:color w:val="000000"/>
          <w:sz w:val="20"/>
          <w:szCs w:val="20"/>
        </w:rPr>
        <w:t xml:space="preserve">Контракт</w:t>
      </w:r>
      <w:r>
        <w:rPr>
          <w:color w:val="000000"/>
          <w:sz w:val="20"/>
          <w:szCs w:val="20"/>
        </w:rPr>
        <w:t xml:space="preserve">е (раздел 5), а также в других случаях, предусмотренных </w:t>
      </w:r>
      <w:r>
        <w:rPr>
          <w:color w:val="000000"/>
          <w:sz w:val="20"/>
          <w:szCs w:val="20"/>
        </w:rPr>
        <w:t xml:space="preserve">Контракт</w:t>
      </w:r>
      <w:r>
        <w:rPr>
          <w:color w:val="000000"/>
          <w:sz w:val="20"/>
          <w:szCs w:val="20"/>
        </w:rPr>
        <w:t xml:space="preserve">ом и действующим законодательством Российской Федерации.</w:t>
      </w:r>
      <w:r>
        <w:rPr>
          <w:color w:val="000000"/>
          <w:sz w:val="20"/>
          <w:szCs w:val="20"/>
        </w:rPr>
      </w:r>
      <w:r>
        <w:rPr>
          <w:color w:val="000000"/>
          <w:sz w:val="20"/>
          <w:szCs w:val="20"/>
        </w:rPr>
      </w:r>
    </w:p>
    <w:p>
      <w:pPr>
        <w:pStyle w:val="905"/>
        <w:numPr>
          <w:ilvl w:val="0"/>
          <w:numId w:val="0"/>
        </w:numPr>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rPr>
          <w:color w:val="000000"/>
          <w:sz w:val="20"/>
          <w:szCs w:val="20"/>
        </w:rPr>
        <w:t xml:space="preserve">ПОРЯДОК СДАЧИ-ПРИЕМКИ ОКАЗАННЫХ УСЛУГ</w:t>
      </w:r>
      <w:r>
        <w:rPr>
          <w:color w:val="000000"/>
          <w:sz w:val="20"/>
          <w:szCs w:val="20"/>
        </w:rPr>
      </w:r>
      <w:r>
        <w:rPr>
          <w:color w:val="000000"/>
          <w:sz w:val="20"/>
          <w:szCs w:val="20"/>
        </w:rPr>
      </w:r>
    </w:p>
    <w:p>
      <w:pPr>
        <w:pStyle w:val="715"/>
        <w:ind w:right="110" w:firstLine="567"/>
        <w:tabs>
          <w:tab w:val="left" w:pos="4970" w:leader="none"/>
        </w:tabs>
        <w:rPr>
          <w:color w:val="000000"/>
          <w:sz w:val="20"/>
          <w:szCs w:val="20"/>
        </w:rPr>
      </w:pPr>
      <w:r>
        <w:rPr>
          <w:b/>
          <w:color w:val="000000"/>
          <w:sz w:val="20"/>
          <w:szCs w:val="20"/>
        </w:rPr>
        <w:t xml:space="preserve">10.1.</w:t>
      </w:r>
      <w:r>
        <w:rPr>
          <w:color w:val="000000"/>
          <w:sz w:val="20"/>
          <w:szCs w:val="20"/>
        </w:rPr>
        <w:t xml:space="preserve"> </w:t>
      </w:r>
      <w:r>
        <w:rPr>
          <w:color w:val="000000"/>
          <w:sz w:val="20"/>
          <w:szCs w:val="20"/>
        </w:rPr>
        <w:t xml:space="preserve">Страховщик в течение пяти календарных дней со </w:t>
      </w:r>
      <w:r>
        <w:rPr>
          <w:color w:val="000000"/>
          <w:sz w:val="20"/>
          <w:szCs w:val="20"/>
        </w:rPr>
        <w:t xml:space="preserve">дня </w:t>
      </w:r>
      <w:r>
        <w:rPr>
          <w:color w:val="000000"/>
          <w:sz w:val="20"/>
          <w:szCs w:val="20"/>
        </w:rPr>
        <w:t xml:space="preserve">окончания периода страхования, либо наступления иных оснований</w:t>
      </w:r>
      <w:r>
        <w:rPr>
          <w:color w:val="000000"/>
          <w:sz w:val="20"/>
          <w:szCs w:val="20"/>
        </w:rPr>
        <w:t xml:space="preserve">,</w:t>
      </w:r>
      <w:r>
        <w:rPr>
          <w:color w:val="000000"/>
          <w:sz w:val="20"/>
          <w:szCs w:val="20"/>
        </w:rPr>
        <w:t xml:space="preserve"> предусмотренных настоящим </w:t>
      </w:r>
      <w:r>
        <w:rPr>
          <w:color w:val="000000"/>
          <w:sz w:val="20"/>
          <w:szCs w:val="20"/>
        </w:rPr>
        <w:t xml:space="preserve">Контракт</w:t>
      </w:r>
      <w:r>
        <w:rPr>
          <w:color w:val="000000"/>
          <w:sz w:val="20"/>
          <w:szCs w:val="20"/>
        </w:rPr>
        <w:t xml:space="preserve">ом и законодательством РФ, в соответствии с которыми услуги Страховщика считаются оказанными, </w:t>
      </w:r>
      <w:r>
        <w:rPr>
          <w:color w:val="000000"/>
          <w:sz w:val="20"/>
          <w:szCs w:val="20"/>
        </w:rPr>
        <w:t xml:space="preserve">представляет Страхователю </w:t>
      </w:r>
      <w:r>
        <w:rPr>
          <w:color w:val="000000"/>
          <w:sz w:val="20"/>
          <w:szCs w:val="20"/>
        </w:rPr>
        <w:t xml:space="preserve">оригинал </w:t>
      </w:r>
      <w:r>
        <w:rPr>
          <w:color w:val="000000"/>
          <w:sz w:val="20"/>
          <w:szCs w:val="20"/>
        </w:rPr>
        <w:t xml:space="preserve">подписанн</w:t>
      </w:r>
      <w:r>
        <w:rPr>
          <w:color w:val="000000"/>
          <w:sz w:val="20"/>
          <w:szCs w:val="20"/>
        </w:rPr>
        <w:t xml:space="preserve">ого</w:t>
      </w:r>
      <w:r>
        <w:rPr>
          <w:color w:val="000000"/>
          <w:sz w:val="20"/>
          <w:szCs w:val="20"/>
        </w:rPr>
        <w:t xml:space="preserve"> Страховщиком акт</w:t>
      </w:r>
      <w:r>
        <w:rPr>
          <w:color w:val="000000"/>
          <w:sz w:val="20"/>
          <w:szCs w:val="20"/>
        </w:rPr>
        <w:t xml:space="preserve">а</w:t>
      </w:r>
      <w:r>
        <w:rPr>
          <w:color w:val="000000"/>
          <w:sz w:val="20"/>
          <w:szCs w:val="20"/>
        </w:rPr>
        <w:t xml:space="preserve"> сдачи-приемки оказанных услуг, предусмотренных условиями настоящего </w:t>
      </w:r>
      <w:r>
        <w:rPr>
          <w:color w:val="000000"/>
          <w:sz w:val="20"/>
          <w:szCs w:val="20"/>
        </w:rPr>
        <w:t xml:space="preserve">Контракт</w:t>
      </w:r>
      <w:r>
        <w:rPr>
          <w:color w:val="000000"/>
          <w:sz w:val="20"/>
          <w:szCs w:val="20"/>
        </w:rPr>
        <w:t xml:space="preserve">а.</w:t>
      </w:r>
      <w:r>
        <w:rPr>
          <w:color w:val="000000"/>
          <w:sz w:val="20"/>
          <w:szCs w:val="20"/>
        </w:rPr>
      </w:r>
    </w:p>
    <w:p>
      <w:pPr>
        <w:pStyle w:val="715"/>
        <w:ind w:firstLine="567"/>
        <w:tabs>
          <w:tab w:val="left" w:pos="4970" w:leader="none"/>
        </w:tabs>
        <w:rPr>
          <w:color w:val="000000"/>
          <w:sz w:val="20"/>
          <w:szCs w:val="20"/>
        </w:rPr>
      </w:pPr>
      <w:r>
        <w:rPr>
          <w:b/>
          <w:color w:val="000000"/>
          <w:sz w:val="20"/>
          <w:szCs w:val="20"/>
        </w:rPr>
        <w:t xml:space="preserve">10.2.</w:t>
      </w:r>
      <w:r>
        <w:rPr>
          <w:color w:val="000000"/>
          <w:sz w:val="20"/>
          <w:szCs w:val="20"/>
        </w:rPr>
        <w:t xml:space="preserve"> </w:t>
      </w:r>
      <w:r>
        <w:rPr>
          <w:color w:val="000000"/>
          <w:sz w:val="20"/>
          <w:szCs w:val="20"/>
        </w:rPr>
        <w:t xml:space="preserve">Страхователь в течение </w:t>
      </w:r>
      <w:r>
        <w:rPr>
          <w:color w:val="000000"/>
          <w:sz w:val="20"/>
          <w:szCs w:val="20"/>
        </w:rPr>
        <w:t xml:space="preserve">10 (десяти)</w:t>
      </w:r>
      <w:r>
        <w:rPr>
          <w:color w:val="000000"/>
          <w:sz w:val="20"/>
          <w:szCs w:val="20"/>
        </w:rPr>
        <w:t xml:space="preserve"> рабочих дней со дня получения </w:t>
      </w:r>
      <w:r>
        <w:rPr>
          <w:color w:val="000000"/>
          <w:sz w:val="20"/>
          <w:szCs w:val="20"/>
        </w:rPr>
        <w:t xml:space="preserve">А</w:t>
      </w:r>
      <w:r>
        <w:rPr>
          <w:color w:val="000000"/>
          <w:sz w:val="20"/>
          <w:szCs w:val="20"/>
        </w:rPr>
        <w:t xml:space="preserve">кта сдачи-приемки оказанных услуг, обязан направить Страховщику один экземпляр подписанного Страхователем акта сдачи-приемки или мотивированный отказ.</w:t>
      </w:r>
      <w:r>
        <w:rPr>
          <w:color w:val="000000"/>
          <w:sz w:val="20"/>
          <w:szCs w:val="20"/>
        </w:rPr>
      </w:r>
    </w:p>
    <w:p>
      <w:pPr>
        <w:pStyle w:val="715"/>
        <w:ind w:right="110" w:firstLine="567"/>
        <w:tabs>
          <w:tab w:val="left" w:pos="4970" w:leader="none"/>
        </w:tabs>
        <w:rPr>
          <w:color w:val="000000"/>
          <w:sz w:val="20"/>
          <w:szCs w:val="20"/>
        </w:rPr>
      </w:pPr>
      <w:r>
        <w:rPr>
          <w:b/>
          <w:color w:val="000000"/>
          <w:sz w:val="20"/>
          <w:szCs w:val="20"/>
        </w:rPr>
        <w:t xml:space="preserve">10.3.</w:t>
      </w:r>
      <w:r>
        <w:rPr>
          <w:color w:val="000000"/>
          <w:sz w:val="20"/>
          <w:szCs w:val="20"/>
        </w:rPr>
        <w:t xml:space="preserve"> </w:t>
      </w:r>
      <w:r>
        <w:rPr>
          <w:color w:val="000000"/>
          <w:sz w:val="20"/>
          <w:szCs w:val="20"/>
        </w:rPr>
        <w:t xml:space="preserve">В случае несоответствия результатов оказания услуг условиям настоящего </w:t>
      </w:r>
      <w:r>
        <w:rPr>
          <w:color w:val="000000"/>
          <w:sz w:val="20"/>
          <w:szCs w:val="20"/>
        </w:rPr>
        <w:t xml:space="preserve">Контракт</w:t>
      </w:r>
      <w:r>
        <w:rPr>
          <w:color w:val="000000"/>
          <w:sz w:val="20"/>
          <w:szCs w:val="20"/>
        </w:rPr>
        <w:t xml:space="preserve">а Стороны обязаны составить акт с перечнем необходимых действий по их устранению. Указанные претензии должны быть предъявлены Страхователем в течение трех рабочих дней со дня получения им акта сдачи-приемки. </w:t>
      </w:r>
      <w:r>
        <w:rPr>
          <w:color w:val="000000"/>
          <w:sz w:val="20"/>
          <w:szCs w:val="20"/>
        </w:rPr>
        <w:t xml:space="preserve">Страховщик</w:t>
      </w:r>
      <w:r>
        <w:rPr>
          <w:color w:val="000000"/>
          <w:sz w:val="20"/>
          <w:szCs w:val="20"/>
        </w:rPr>
        <w:t xml:space="preserve"> обязан исправить нарушения</w:t>
      </w:r>
      <w:r>
        <w:rPr>
          <w:color w:val="000000"/>
          <w:sz w:val="20"/>
          <w:szCs w:val="20"/>
        </w:rPr>
        <w:t xml:space="preserve"> (несоответстви</w:t>
      </w:r>
      <w:r>
        <w:rPr>
          <w:color w:val="000000"/>
          <w:sz w:val="20"/>
          <w:szCs w:val="20"/>
        </w:rPr>
        <w:t xml:space="preserve">я</w:t>
      </w:r>
      <w:r>
        <w:rPr>
          <w:color w:val="000000"/>
          <w:sz w:val="20"/>
          <w:szCs w:val="20"/>
        </w:rPr>
        <w:t xml:space="preserve">)</w:t>
      </w:r>
      <w:r>
        <w:rPr>
          <w:color w:val="000000"/>
          <w:sz w:val="20"/>
          <w:szCs w:val="20"/>
        </w:rPr>
        <w:t xml:space="preserve"> условий оказания услуг без дополнительной оплаты.</w:t>
      </w:r>
      <w:r>
        <w:rPr>
          <w:color w:val="000000"/>
          <w:sz w:val="20"/>
          <w:szCs w:val="20"/>
        </w:rPr>
      </w:r>
    </w:p>
    <w:p>
      <w:pPr>
        <w:pStyle w:val="715"/>
        <w:ind w:right="110" w:firstLine="0"/>
        <w:tabs>
          <w:tab w:val="left" w:pos="4970" w:leader="none"/>
        </w:tabs>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rPr>
          <w:color w:val="000000"/>
          <w:sz w:val="20"/>
          <w:szCs w:val="20"/>
        </w:rPr>
        <w:t xml:space="preserve">ОТВЕТСТВЕННОСТЬ СТОРОН</w:t>
      </w:r>
      <w:r>
        <w:rPr>
          <w:color w:val="000000"/>
          <w:sz w:val="20"/>
          <w:szCs w:val="20"/>
        </w:rPr>
      </w:r>
      <w:r>
        <w:rPr>
          <w:color w:val="000000"/>
          <w:sz w:val="20"/>
          <w:szCs w:val="20"/>
        </w:rPr>
      </w:r>
    </w:p>
    <w:p>
      <w:pPr>
        <w:pStyle w:val="715"/>
        <w:ind w:firstLine="567"/>
        <w:rPr>
          <w:sz w:val="20"/>
          <w:szCs w:val="20"/>
        </w:rPr>
      </w:pPr>
      <w:r>
        <w:rPr>
          <w:b/>
          <w:sz w:val="20"/>
          <w:szCs w:val="20"/>
        </w:rPr>
        <w:t xml:space="preserve">11.1.</w:t>
      </w:r>
      <w:r>
        <w:rPr>
          <w:sz w:val="20"/>
          <w:szCs w:val="20"/>
        </w:rPr>
        <w:t xml:space="preserve"> За неисполнение или ненадлежащее исполнение условий настоящего </w:t>
      </w:r>
      <w:r>
        <w:rPr>
          <w:sz w:val="20"/>
          <w:szCs w:val="20"/>
        </w:rPr>
        <w:t xml:space="preserve">Контракт</w:t>
      </w:r>
      <w:r>
        <w:rPr>
          <w:sz w:val="20"/>
          <w:szCs w:val="20"/>
        </w:rPr>
        <w:t xml:space="preserve">а Стороны несут ответственность в соответствии с действующим законодательством РФ и условиями настоящего </w:t>
      </w:r>
      <w:r>
        <w:rPr>
          <w:sz w:val="20"/>
          <w:szCs w:val="20"/>
        </w:rPr>
        <w:t xml:space="preserve">Контракт</w:t>
      </w:r>
      <w:r>
        <w:rPr>
          <w:sz w:val="20"/>
          <w:szCs w:val="20"/>
        </w:rPr>
        <w:t xml:space="preserve">а.</w:t>
      </w:r>
      <w:r>
        <w:rPr>
          <w:sz w:val="20"/>
          <w:szCs w:val="20"/>
        </w:rPr>
      </w:r>
    </w:p>
    <w:p>
      <w:pPr>
        <w:pStyle w:val="715"/>
        <w:ind w:firstLine="567"/>
        <w:rPr>
          <w:sz w:val="20"/>
          <w:szCs w:val="20"/>
        </w:rPr>
      </w:pPr>
      <w:r>
        <w:rPr>
          <w:b/>
          <w:sz w:val="20"/>
          <w:szCs w:val="20"/>
        </w:rPr>
        <w:t xml:space="preserve">11.2.</w:t>
      </w:r>
      <w:r>
        <w:rPr>
          <w:sz w:val="20"/>
          <w:szCs w:val="20"/>
        </w:rPr>
        <w:t xml:space="preserve"> </w:t>
      </w:r>
      <w:r>
        <w:rPr>
          <w:sz w:val="20"/>
          <w:szCs w:val="20"/>
        </w:rPr>
        <w:t xml:space="preserve">В случае просрочки исполнения Страхователем обязательств, предусмотренных </w:t>
      </w:r>
      <w:r>
        <w:rPr>
          <w:sz w:val="20"/>
          <w:szCs w:val="20"/>
        </w:rPr>
        <w:t xml:space="preserve">Контракт</w:t>
      </w:r>
      <w:r>
        <w:rPr>
          <w:sz w:val="20"/>
          <w:szCs w:val="20"/>
        </w:rPr>
        <w:t xml:space="preserve">ом, а также в иных случаях неисполнения или ненадлежащего исполнения Страхователем обязательств, предусмотренных </w:t>
      </w:r>
      <w:r>
        <w:rPr>
          <w:sz w:val="20"/>
          <w:szCs w:val="20"/>
        </w:rPr>
        <w:t xml:space="preserve">Контракт</w:t>
      </w:r>
      <w:r>
        <w:rPr>
          <w:sz w:val="20"/>
          <w:szCs w:val="20"/>
        </w:rPr>
        <w:t xml:space="preserve">ом, Страховщик вправе потребовать уплаты неустоек (штрафов, пеней).</w:t>
      </w:r>
      <w:r>
        <w:rPr>
          <w:sz w:val="20"/>
          <w:szCs w:val="20"/>
        </w:rPr>
      </w:r>
    </w:p>
    <w:p>
      <w:pPr>
        <w:pStyle w:val="715"/>
        <w:ind w:firstLine="567"/>
        <w:rPr>
          <w:sz w:val="20"/>
          <w:szCs w:val="20"/>
        </w:rPr>
      </w:pPr>
      <w:r>
        <w:rPr>
          <w:b/>
          <w:sz w:val="20"/>
          <w:szCs w:val="20"/>
        </w:rPr>
        <w:t xml:space="preserve">11.3.</w:t>
      </w:r>
      <w:r>
        <w:rPr>
          <w:sz w:val="20"/>
          <w:szCs w:val="20"/>
        </w:rPr>
        <w:t xml:space="preserve"> </w:t>
      </w:r>
      <w:r>
        <w:rPr>
          <w:sz w:val="20"/>
          <w:szCs w:val="20"/>
        </w:rPr>
        <w:t xml:space="preserve">Пеня начисляется за каждый день просрочки исполнения Страхователем обязательства, предусмотренного </w:t>
      </w:r>
      <w:r>
        <w:rPr>
          <w:sz w:val="20"/>
          <w:szCs w:val="20"/>
        </w:rPr>
        <w:t xml:space="preserve">Контракт</w:t>
      </w:r>
      <w:r>
        <w:rPr>
          <w:sz w:val="20"/>
          <w:szCs w:val="20"/>
        </w:rPr>
        <w:t xml:space="preserve">ом, начиная со дня, следующего после дня истечения установленного </w:t>
      </w:r>
      <w:r>
        <w:rPr>
          <w:sz w:val="20"/>
          <w:szCs w:val="20"/>
        </w:rPr>
        <w:t xml:space="preserve">Контракт</w:t>
      </w:r>
      <w:r>
        <w:rPr>
          <w:sz w:val="20"/>
          <w:szCs w:val="20"/>
        </w:rPr>
        <w:t xml:space="preserve">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Pr>
          <w:sz w:val="20"/>
          <w:szCs w:val="20"/>
        </w:rPr>
      </w:r>
    </w:p>
    <w:p>
      <w:pPr>
        <w:pStyle w:val="715"/>
        <w:ind w:firstLine="567"/>
        <w:rPr>
          <w:sz w:val="20"/>
          <w:szCs w:val="20"/>
        </w:rPr>
      </w:pPr>
      <w:r>
        <w:rPr>
          <w:b/>
          <w:sz w:val="20"/>
          <w:szCs w:val="20"/>
        </w:rPr>
        <w:t xml:space="preserve">11.4.</w:t>
      </w:r>
      <w:r>
        <w:rPr>
          <w:sz w:val="20"/>
          <w:szCs w:val="20"/>
        </w:rPr>
        <w:t xml:space="preserve"> </w:t>
      </w:r>
      <w:r>
        <w:rPr>
          <w:sz w:val="20"/>
          <w:szCs w:val="20"/>
        </w:rPr>
        <w:t xml:space="preserve">В случае просрочки исполнения Страховщиком обязательств, предусмотренных </w:t>
      </w:r>
      <w:r>
        <w:rPr>
          <w:sz w:val="20"/>
          <w:szCs w:val="20"/>
        </w:rPr>
        <w:t xml:space="preserve">Контракт</w:t>
      </w:r>
      <w:r>
        <w:rPr>
          <w:sz w:val="20"/>
          <w:szCs w:val="20"/>
        </w:rPr>
        <w:t xml:space="preserve">ом, а также в иных случаях неисполнения или ненадлежащего исполнения Страховщиком обязательств, предусмотренных </w:t>
      </w:r>
      <w:r>
        <w:rPr>
          <w:sz w:val="20"/>
          <w:szCs w:val="20"/>
        </w:rPr>
        <w:t xml:space="preserve">Контракт</w:t>
      </w:r>
      <w:r>
        <w:rPr>
          <w:sz w:val="20"/>
          <w:szCs w:val="20"/>
        </w:rPr>
        <w:t xml:space="preserve">ом, Страхователь направляет Страховщику требование об уплате неустоек (штрафов, пеней).</w:t>
      </w:r>
      <w:r>
        <w:rPr>
          <w:sz w:val="20"/>
          <w:szCs w:val="20"/>
        </w:rPr>
      </w:r>
    </w:p>
    <w:p>
      <w:pPr>
        <w:pStyle w:val="715"/>
        <w:ind w:firstLine="567"/>
        <w:rPr>
          <w:sz w:val="20"/>
          <w:szCs w:val="20"/>
        </w:rPr>
      </w:pPr>
      <w:r>
        <w:rPr>
          <w:b/>
          <w:sz w:val="20"/>
          <w:szCs w:val="20"/>
        </w:rPr>
        <w:t xml:space="preserve">11.5.</w:t>
      </w:r>
      <w:r>
        <w:rPr>
          <w:sz w:val="20"/>
          <w:szCs w:val="20"/>
        </w:rPr>
        <w:t xml:space="preserve"> </w:t>
      </w:r>
      <w:r>
        <w:rPr>
          <w:sz w:val="20"/>
          <w:szCs w:val="20"/>
        </w:rPr>
        <w:t xml:space="preserve">Пеня начисляется за каждый день просрочки исполнения Страховщиком обязательства, предусмотренного </w:t>
      </w:r>
      <w:r>
        <w:rPr>
          <w:sz w:val="20"/>
          <w:szCs w:val="20"/>
        </w:rPr>
        <w:t xml:space="preserve">Контракт</w:t>
      </w:r>
      <w:r>
        <w:rPr>
          <w:sz w:val="20"/>
          <w:szCs w:val="20"/>
        </w:rPr>
        <w:t xml:space="preserve">ом, в размере одной трехсотой действующей на дату уплаты пени ключевой ставки Центрального банка Российской Федерации от цены </w:t>
      </w:r>
      <w:r>
        <w:rPr>
          <w:sz w:val="20"/>
          <w:szCs w:val="20"/>
        </w:rPr>
        <w:t xml:space="preserve">Контракт</w:t>
      </w:r>
      <w:r>
        <w:rPr>
          <w:sz w:val="20"/>
          <w:szCs w:val="20"/>
        </w:rPr>
        <w:t xml:space="preserve">а, уменьшенной на сумму, пропорциональную объему обязательств, предусмотренных </w:t>
      </w:r>
      <w:r>
        <w:rPr>
          <w:sz w:val="20"/>
          <w:szCs w:val="20"/>
        </w:rPr>
        <w:t xml:space="preserve">Контракт</w:t>
      </w:r>
      <w:r>
        <w:rPr>
          <w:sz w:val="20"/>
          <w:szCs w:val="20"/>
        </w:rPr>
        <w:t xml:space="preserve">ом и фактически исполненных Страховщиком.</w:t>
      </w:r>
      <w:r>
        <w:rPr>
          <w:sz w:val="20"/>
          <w:szCs w:val="20"/>
        </w:rPr>
      </w:r>
    </w:p>
    <w:p>
      <w:pPr>
        <w:pStyle w:val="715"/>
        <w:ind w:firstLine="567"/>
        <w:rPr>
          <w:sz w:val="20"/>
          <w:szCs w:val="20"/>
        </w:rPr>
      </w:pPr>
      <w:r>
        <w:rPr>
          <w:b/>
          <w:sz w:val="20"/>
          <w:szCs w:val="20"/>
        </w:rPr>
        <w:t xml:space="preserve">11.6.</w:t>
      </w:r>
      <w:r>
        <w:rPr>
          <w:sz w:val="20"/>
          <w:szCs w:val="20"/>
        </w:rPr>
        <w:t xml:space="preserve"> </w:t>
      </w:r>
      <w:r>
        <w:rPr>
          <w:sz w:val="20"/>
          <w:szCs w:val="20"/>
        </w:rPr>
        <w:t xml:space="preserve">За каждый факт неисполнения или ненадлежащего исполнения Страховщиком обязательств, предусмотренных </w:t>
      </w:r>
      <w:r>
        <w:rPr>
          <w:sz w:val="20"/>
          <w:szCs w:val="20"/>
        </w:rPr>
        <w:t xml:space="preserve">Контракт</w:t>
      </w:r>
      <w:r>
        <w:rPr>
          <w:sz w:val="20"/>
          <w:szCs w:val="20"/>
        </w:rPr>
        <w:t xml:space="preserve">ом, за исключением просрочки исполнения обязательств, предусмотренных </w:t>
      </w:r>
      <w:r>
        <w:rPr>
          <w:sz w:val="20"/>
          <w:szCs w:val="20"/>
        </w:rPr>
        <w:t xml:space="preserve">Контракт</w:t>
      </w:r>
      <w:r>
        <w:rPr>
          <w:sz w:val="20"/>
          <w:szCs w:val="20"/>
        </w:rPr>
        <w:t xml:space="preserve">ом, Страховщик выплачивает Страхователю штраф, в том числе рассчитываем</w:t>
      </w:r>
      <w:r>
        <w:rPr>
          <w:sz w:val="20"/>
          <w:szCs w:val="20"/>
        </w:rPr>
        <w:t xml:space="preserve">ы</w:t>
      </w:r>
      <w:r>
        <w:rPr>
          <w:sz w:val="20"/>
          <w:szCs w:val="20"/>
        </w:rPr>
        <w:t xml:space="preserve">й как процент цены </w:t>
      </w:r>
      <w:r>
        <w:rPr>
          <w:sz w:val="20"/>
          <w:szCs w:val="20"/>
        </w:rPr>
        <w:t xml:space="preserve">Контракт</w:t>
      </w:r>
      <w:r>
        <w:rPr>
          <w:sz w:val="20"/>
          <w:szCs w:val="20"/>
        </w:rPr>
        <w:t xml:space="preserve">а в размере 10% цены </w:t>
      </w:r>
      <w:r>
        <w:rPr>
          <w:sz w:val="20"/>
          <w:szCs w:val="20"/>
        </w:rPr>
        <w:t xml:space="preserve">Контракт</w:t>
      </w:r>
      <w:r>
        <w:rPr>
          <w:sz w:val="20"/>
          <w:szCs w:val="20"/>
        </w:rPr>
        <w:t xml:space="preserve">а.</w:t>
      </w:r>
      <w:r>
        <w:rPr>
          <w:sz w:val="20"/>
          <w:szCs w:val="20"/>
        </w:rPr>
      </w:r>
    </w:p>
    <w:p>
      <w:pPr>
        <w:pStyle w:val="715"/>
        <w:ind w:firstLine="567"/>
        <w:rPr>
          <w:sz w:val="20"/>
          <w:szCs w:val="20"/>
        </w:rPr>
      </w:pPr>
      <w:r>
        <w:rPr>
          <w:b/>
          <w:sz w:val="20"/>
          <w:szCs w:val="20"/>
        </w:rPr>
        <w:t xml:space="preserve">11.7.</w:t>
      </w:r>
      <w:r>
        <w:rPr>
          <w:sz w:val="20"/>
          <w:szCs w:val="20"/>
        </w:rPr>
        <w:t xml:space="preserve"> За каждый факт неисполнения или ненадлежащего исполнения Страховщиком обязательства, предусмотренного </w:t>
      </w:r>
      <w:r>
        <w:rPr>
          <w:sz w:val="20"/>
          <w:szCs w:val="20"/>
        </w:rPr>
        <w:t xml:space="preserve">Контракт</w:t>
      </w:r>
      <w:r>
        <w:rPr>
          <w:sz w:val="20"/>
          <w:szCs w:val="20"/>
        </w:rPr>
        <w:t xml:space="preserve">ом, не имеющего стоимостного выражения, Страховщик выплачивает Страхователю штраф в размере 1000 </w:t>
      </w:r>
      <w:r>
        <w:rPr>
          <w:sz w:val="20"/>
          <w:szCs w:val="20"/>
        </w:rPr>
        <w:t xml:space="preserve">(одна тысяча) </w:t>
      </w:r>
      <w:r>
        <w:rPr>
          <w:sz w:val="20"/>
          <w:szCs w:val="20"/>
        </w:rPr>
        <w:t xml:space="preserve">рублей.</w:t>
      </w:r>
      <w:r>
        <w:rPr>
          <w:sz w:val="20"/>
          <w:szCs w:val="20"/>
        </w:rPr>
      </w:r>
    </w:p>
    <w:p>
      <w:pPr>
        <w:pStyle w:val="715"/>
        <w:ind w:firstLine="567"/>
        <w:rPr>
          <w:sz w:val="20"/>
          <w:szCs w:val="20"/>
        </w:rPr>
      </w:pPr>
      <w:r>
        <w:rPr>
          <w:b/>
          <w:sz w:val="20"/>
          <w:szCs w:val="20"/>
        </w:rPr>
        <w:t xml:space="preserve">11.8.</w:t>
      </w:r>
      <w:r>
        <w:rPr>
          <w:sz w:val="20"/>
          <w:szCs w:val="20"/>
        </w:rPr>
        <w:t xml:space="preserve"> В случае е</w:t>
      </w:r>
      <w:r>
        <w:rPr>
          <w:sz w:val="20"/>
          <w:szCs w:val="20"/>
        </w:rPr>
        <w:t xml:space="preserve">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в соответствии с законодательством Российской Федерации. </w:t>
      </w:r>
      <w:r>
        <w:rPr>
          <w:sz w:val="20"/>
          <w:szCs w:val="20"/>
        </w:rPr>
      </w:r>
    </w:p>
    <w:p>
      <w:pPr>
        <w:pStyle w:val="715"/>
        <w:ind w:firstLine="567"/>
        <w:rPr>
          <w:sz w:val="20"/>
          <w:szCs w:val="20"/>
        </w:rPr>
      </w:pPr>
      <w:r>
        <w:rPr>
          <w:b/>
          <w:sz w:val="20"/>
          <w:szCs w:val="20"/>
        </w:rPr>
        <w:t xml:space="preserve">11.</w:t>
      </w:r>
      <w:r>
        <w:rPr>
          <w:b/>
          <w:sz w:val="20"/>
          <w:szCs w:val="20"/>
        </w:rPr>
        <w:t xml:space="preserve">9</w:t>
      </w:r>
      <w:r>
        <w:rPr>
          <w:b/>
          <w:sz w:val="20"/>
          <w:szCs w:val="20"/>
        </w:rPr>
        <w:t xml:space="preserve">.</w:t>
      </w:r>
      <w:r>
        <w:rPr>
          <w:sz w:val="20"/>
          <w:szCs w:val="20"/>
        </w:rPr>
        <w:t xml:space="preserve"> Общая сумма начисленных штрафов за неисполнение или ненадлежащее исполнение Исполнителем обязательств, предусмотренных </w:t>
      </w:r>
      <w:r>
        <w:rPr>
          <w:sz w:val="20"/>
          <w:szCs w:val="20"/>
        </w:rPr>
        <w:t xml:space="preserve">Контракт</w:t>
      </w:r>
      <w:r>
        <w:rPr>
          <w:sz w:val="20"/>
          <w:szCs w:val="20"/>
        </w:rPr>
        <w:t xml:space="preserve">ом, не может превышать цену </w:t>
      </w:r>
      <w:r>
        <w:rPr>
          <w:sz w:val="20"/>
          <w:szCs w:val="20"/>
        </w:rPr>
        <w:t xml:space="preserve">Контракт</w:t>
      </w:r>
      <w:r>
        <w:rPr>
          <w:sz w:val="20"/>
          <w:szCs w:val="20"/>
        </w:rPr>
        <w:t xml:space="preserve">а.</w:t>
      </w:r>
      <w:r>
        <w:rPr>
          <w:sz w:val="20"/>
          <w:szCs w:val="20"/>
        </w:rPr>
      </w:r>
    </w:p>
    <w:p>
      <w:pPr>
        <w:pStyle w:val="715"/>
        <w:ind w:firstLine="567"/>
        <w:rPr>
          <w:sz w:val="20"/>
          <w:szCs w:val="20"/>
        </w:rPr>
      </w:pPr>
      <w:r>
        <w:rPr>
          <w:sz w:val="20"/>
          <w:szCs w:val="20"/>
        </w:rPr>
        <w:t xml:space="preserve">Общая сумма начисленных штрафов за ненадлежащее исполнение Заказчиком обязательств, предусмотренных </w:t>
      </w:r>
      <w:r>
        <w:rPr>
          <w:sz w:val="20"/>
          <w:szCs w:val="20"/>
        </w:rPr>
        <w:t xml:space="preserve">Контракт</w:t>
      </w:r>
      <w:r>
        <w:rPr>
          <w:sz w:val="20"/>
          <w:szCs w:val="20"/>
        </w:rPr>
        <w:t xml:space="preserve">ом, не может превышать цену </w:t>
      </w:r>
      <w:r>
        <w:rPr>
          <w:sz w:val="20"/>
          <w:szCs w:val="20"/>
        </w:rPr>
        <w:t xml:space="preserve">Контракт</w:t>
      </w:r>
      <w:r>
        <w:rPr>
          <w:sz w:val="20"/>
          <w:szCs w:val="20"/>
        </w:rPr>
        <w:t xml:space="preserve">а.</w:t>
      </w:r>
      <w:r>
        <w:rPr>
          <w:sz w:val="20"/>
          <w:szCs w:val="20"/>
        </w:rPr>
      </w:r>
    </w:p>
    <w:p>
      <w:pPr>
        <w:pStyle w:val="715"/>
        <w:ind w:firstLine="567"/>
        <w:rPr>
          <w:sz w:val="20"/>
          <w:szCs w:val="20"/>
        </w:rPr>
      </w:pPr>
      <w:r>
        <w:rPr>
          <w:b/>
          <w:sz w:val="20"/>
          <w:szCs w:val="20"/>
        </w:rPr>
        <w:t xml:space="preserve">11.</w:t>
      </w:r>
      <w:r>
        <w:rPr>
          <w:b/>
          <w:sz w:val="20"/>
          <w:szCs w:val="20"/>
        </w:rPr>
        <w:t xml:space="preserve">10</w:t>
      </w:r>
      <w:r>
        <w:rPr>
          <w:b/>
          <w:sz w:val="20"/>
          <w:szCs w:val="20"/>
        </w:rPr>
        <w:t xml:space="preserve">.</w:t>
      </w:r>
      <w:r>
        <w:rPr>
          <w:sz w:val="20"/>
          <w:szCs w:val="20"/>
        </w:rPr>
        <w:t xml:space="preserve"> </w:t>
      </w:r>
      <w:r>
        <w:rPr>
          <w:sz w:val="20"/>
          <w:szCs w:val="20"/>
        </w:rPr>
        <w:t xml:space="preserve">Страхователь наделяется правом удержать часть подлежащей оплате денежной суммы Страховщику, пропорционально сумме, подлежащей уплате Страховщиком в качестве штрафных санкций, указанных в пунктах 11.5-11.</w:t>
      </w:r>
      <w:r>
        <w:rPr>
          <w:sz w:val="20"/>
          <w:szCs w:val="20"/>
        </w:rPr>
        <w:t xml:space="preserve">8</w:t>
      </w:r>
      <w:r>
        <w:rPr>
          <w:sz w:val="20"/>
          <w:szCs w:val="20"/>
        </w:rPr>
        <w:t xml:space="preserve"> настоящего </w:t>
      </w:r>
      <w:r>
        <w:rPr>
          <w:sz w:val="20"/>
          <w:szCs w:val="20"/>
        </w:rPr>
        <w:t xml:space="preserve">Контракт</w:t>
      </w:r>
      <w:r>
        <w:rPr>
          <w:sz w:val="20"/>
          <w:szCs w:val="20"/>
        </w:rPr>
        <w:t xml:space="preserve">а.</w:t>
      </w:r>
      <w:r>
        <w:rPr>
          <w:sz w:val="20"/>
          <w:szCs w:val="20"/>
        </w:rPr>
      </w:r>
    </w:p>
    <w:p>
      <w:pPr>
        <w:pStyle w:val="715"/>
        <w:ind w:firstLine="567"/>
        <w:rPr>
          <w:b/>
          <w:bCs/>
          <w:sz w:val="20"/>
          <w:szCs w:val="20"/>
        </w:rPr>
      </w:pPr>
      <w:r>
        <w:rPr>
          <w:b/>
          <w:bCs/>
          <w:sz w:val="20"/>
          <w:szCs w:val="20"/>
        </w:rPr>
        <w:t xml:space="preserve">11.11. </w:t>
      </w:r>
      <w:r>
        <w:rPr>
          <w:sz w:val="20"/>
          <w:szCs w:val="20"/>
        </w:rPr>
        <w:t xml:space="preserve">Уп</w:t>
      </w:r>
      <w:r>
        <w:rPr>
          <w:sz w:val="20"/>
          <w:szCs w:val="20"/>
        </w:rPr>
        <w:t xml:space="preserve">л</w:t>
      </w:r>
      <w:r>
        <w:rPr>
          <w:sz w:val="20"/>
          <w:szCs w:val="20"/>
        </w:rPr>
        <w:t xml:space="preserve">ата неустойки</w:t>
      </w:r>
      <w:r>
        <w:rPr>
          <w:b/>
          <w:bCs/>
          <w:sz w:val="20"/>
          <w:szCs w:val="20"/>
        </w:rPr>
        <w:t xml:space="preserve"> </w:t>
      </w:r>
      <w:r>
        <w:rPr>
          <w:sz w:val="20"/>
          <w:szCs w:val="20"/>
        </w:rPr>
        <w:t xml:space="preserve">не освобождает Стороны от исполнения обязательств по настоящему Контракту.</w:t>
      </w:r>
      <w:r>
        <w:rPr>
          <w:b/>
          <w:bCs/>
          <w:sz w:val="20"/>
          <w:szCs w:val="20"/>
        </w:rPr>
        <w:t xml:space="preserve"> </w:t>
      </w:r>
      <w:r>
        <w:rPr>
          <w:b/>
          <w:bCs/>
          <w:sz w:val="20"/>
          <w:szCs w:val="20"/>
        </w:rPr>
      </w:r>
      <w:r>
        <w:rPr>
          <w:b/>
          <w:bCs/>
          <w:sz w:val="20"/>
          <w:szCs w:val="20"/>
        </w:rPr>
      </w:r>
    </w:p>
    <w:p>
      <w:pPr>
        <w:pStyle w:val="715"/>
        <w:ind w:firstLine="0"/>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rPr>
          <w:color w:val="000000"/>
          <w:sz w:val="20"/>
          <w:szCs w:val="20"/>
        </w:rPr>
        <w:t xml:space="preserve">ПР</w:t>
      </w:r>
      <w:r>
        <w:rPr>
          <w:color w:val="000000"/>
          <w:sz w:val="20"/>
          <w:szCs w:val="20"/>
        </w:rPr>
        <w:t xml:space="preserve">ЕКРАЩЕНИЕ ДЕЙСТВИЯ </w:t>
      </w:r>
      <w:bookmarkEnd w:id="20"/>
      <w:r/>
      <w:bookmarkEnd w:id="21"/>
      <w:r/>
      <w:bookmarkEnd w:id="22"/>
      <w:r>
        <w:rPr>
          <w:color w:val="000000"/>
          <w:sz w:val="20"/>
          <w:szCs w:val="20"/>
        </w:rPr>
        <w:t xml:space="preserve">КОНТРАКТ</w:t>
      </w:r>
      <w:r>
        <w:rPr>
          <w:color w:val="000000"/>
          <w:sz w:val="20"/>
          <w:szCs w:val="20"/>
        </w:rPr>
        <w:t xml:space="preserve">А</w:t>
      </w:r>
      <w:r>
        <w:rPr>
          <w:color w:val="000000"/>
          <w:sz w:val="20"/>
          <w:szCs w:val="20"/>
        </w:rPr>
      </w:r>
      <w:r>
        <w:rPr>
          <w:color w:val="000000"/>
          <w:sz w:val="20"/>
          <w:szCs w:val="20"/>
        </w:rPr>
      </w:r>
    </w:p>
    <w:p>
      <w:pPr>
        <w:pStyle w:val="905"/>
        <w:numPr>
          <w:ilvl w:val="0"/>
          <w:numId w:val="0"/>
        </w:numPr>
        <w:ind w:firstLine="567"/>
        <w:keepNext/>
        <w:spacing w:line="276" w:lineRule="auto"/>
        <w:rPr>
          <w:color w:val="000000"/>
          <w:sz w:val="20"/>
          <w:szCs w:val="20"/>
        </w:rPr>
      </w:pPr>
      <w:r>
        <w:rPr>
          <w:b/>
          <w:color w:val="000000"/>
          <w:sz w:val="20"/>
          <w:szCs w:val="20"/>
        </w:rPr>
        <w:t xml:space="preserve">12.1.</w:t>
      </w:r>
      <w:r>
        <w:rPr>
          <w:color w:val="000000"/>
          <w:sz w:val="20"/>
          <w:szCs w:val="20"/>
        </w:rPr>
        <w:t xml:space="preserve"> </w:t>
      </w:r>
      <w:r>
        <w:rPr>
          <w:color w:val="000000"/>
          <w:sz w:val="20"/>
          <w:szCs w:val="20"/>
        </w:rPr>
        <w:t xml:space="preserve">Контракт</w:t>
      </w:r>
      <w:r>
        <w:rPr>
          <w:color w:val="000000"/>
          <w:sz w:val="20"/>
          <w:szCs w:val="20"/>
        </w:rPr>
        <w:t xml:space="preserve"> прекращается в случаях:</w:t>
      </w:r>
      <w:r>
        <w:rPr>
          <w:color w:val="000000"/>
          <w:sz w:val="20"/>
          <w:szCs w:val="20"/>
        </w:rPr>
      </w:r>
    </w:p>
    <w:p>
      <w:pPr>
        <w:pStyle w:val="909"/>
        <w:numPr>
          <w:ilvl w:val="0"/>
          <w:numId w:val="0"/>
        </w:numPr>
        <w:ind w:firstLine="567"/>
        <w:spacing w:line="276" w:lineRule="auto"/>
        <w:tabs>
          <w:tab w:val="left" w:pos="0" w:leader="none"/>
        </w:tabs>
        <w:rPr>
          <w:bCs/>
          <w:color w:val="000000"/>
          <w:sz w:val="20"/>
          <w:szCs w:val="20"/>
        </w:rPr>
      </w:pPr>
      <w:r>
        <w:rPr>
          <w:bCs/>
          <w:color w:val="000000"/>
          <w:sz w:val="20"/>
          <w:szCs w:val="20"/>
        </w:rPr>
        <w:t xml:space="preserve">12.1.1. </w:t>
      </w:r>
      <w:r>
        <w:rPr>
          <w:bCs/>
          <w:color w:val="000000"/>
          <w:sz w:val="20"/>
          <w:szCs w:val="20"/>
        </w:rPr>
        <w:t xml:space="preserve">Истечения срока его действия.</w:t>
      </w:r>
      <w:r>
        <w:rPr>
          <w:bCs/>
          <w:color w:val="000000"/>
          <w:sz w:val="20"/>
          <w:szCs w:val="20"/>
        </w:rPr>
      </w:r>
    </w:p>
    <w:p>
      <w:pPr>
        <w:pStyle w:val="909"/>
        <w:numPr>
          <w:ilvl w:val="0"/>
          <w:numId w:val="0"/>
        </w:numPr>
        <w:ind w:firstLine="567"/>
        <w:spacing w:line="276" w:lineRule="auto"/>
        <w:tabs>
          <w:tab w:val="left" w:pos="0" w:leader="none"/>
        </w:tabs>
        <w:rPr>
          <w:bCs/>
          <w:color w:val="000000"/>
          <w:sz w:val="20"/>
          <w:szCs w:val="20"/>
        </w:rPr>
      </w:pPr>
      <w:r>
        <w:rPr>
          <w:bCs/>
          <w:color w:val="000000"/>
          <w:sz w:val="20"/>
          <w:szCs w:val="20"/>
        </w:rPr>
        <w:t xml:space="preserve">12.1.2. </w:t>
      </w:r>
      <w:r>
        <w:rPr>
          <w:bCs/>
          <w:color w:val="000000"/>
          <w:sz w:val="20"/>
          <w:szCs w:val="20"/>
        </w:rPr>
        <w:t xml:space="preserve">Исполнения Страховщиком обязательств по </w:t>
      </w:r>
      <w:r>
        <w:rPr>
          <w:bCs/>
          <w:color w:val="000000"/>
          <w:sz w:val="20"/>
          <w:szCs w:val="20"/>
        </w:rPr>
        <w:t xml:space="preserve">Контракт</w:t>
      </w:r>
      <w:r>
        <w:rPr>
          <w:bCs/>
          <w:color w:val="000000"/>
          <w:sz w:val="20"/>
          <w:szCs w:val="20"/>
        </w:rPr>
        <w:t xml:space="preserve">у в полном объеме.</w:t>
      </w:r>
      <w:r>
        <w:rPr>
          <w:bCs/>
          <w:color w:val="000000"/>
          <w:sz w:val="20"/>
          <w:szCs w:val="20"/>
        </w:rPr>
      </w:r>
    </w:p>
    <w:p>
      <w:pPr>
        <w:pStyle w:val="909"/>
        <w:numPr>
          <w:ilvl w:val="0"/>
          <w:numId w:val="0"/>
        </w:numPr>
        <w:ind w:firstLine="567"/>
        <w:spacing w:line="276" w:lineRule="auto"/>
        <w:tabs>
          <w:tab w:val="left" w:pos="0" w:leader="none"/>
        </w:tabs>
        <w:rPr>
          <w:bCs/>
          <w:color w:val="000000"/>
          <w:sz w:val="20"/>
          <w:szCs w:val="20"/>
        </w:rPr>
      </w:pPr>
      <w:r>
        <w:rPr>
          <w:bCs/>
          <w:color w:val="000000"/>
          <w:sz w:val="20"/>
          <w:szCs w:val="20"/>
        </w:rPr>
        <w:t xml:space="preserve">12.1.3. </w:t>
      </w:r>
      <w:r>
        <w:rPr>
          <w:bCs/>
          <w:color w:val="000000"/>
          <w:sz w:val="20"/>
          <w:szCs w:val="20"/>
        </w:rPr>
        <w:t xml:space="preserve">Принятия судом решения о признании </w:t>
      </w:r>
      <w:r>
        <w:rPr>
          <w:bCs/>
          <w:color w:val="000000"/>
          <w:sz w:val="20"/>
          <w:szCs w:val="20"/>
        </w:rPr>
        <w:t xml:space="preserve">Контракт</w:t>
      </w:r>
      <w:r>
        <w:rPr>
          <w:bCs/>
          <w:color w:val="000000"/>
          <w:sz w:val="20"/>
          <w:szCs w:val="20"/>
        </w:rPr>
        <w:t xml:space="preserve">а недействительным.</w:t>
      </w:r>
      <w:r>
        <w:rPr>
          <w:bCs/>
          <w:color w:val="000000"/>
          <w:sz w:val="20"/>
          <w:szCs w:val="20"/>
        </w:rPr>
      </w:r>
    </w:p>
    <w:p>
      <w:pPr>
        <w:pStyle w:val="909"/>
        <w:numPr>
          <w:ilvl w:val="0"/>
          <w:numId w:val="0"/>
        </w:numPr>
        <w:ind w:firstLine="567"/>
        <w:spacing w:line="276" w:lineRule="auto"/>
        <w:tabs>
          <w:tab w:val="left" w:pos="0" w:leader="none"/>
        </w:tabs>
        <w:rPr>
          <w:bCs/>
          <w:color w:val="000000"/>
          <w:sz w:val="20"/>
          <w:szCs w:val="20"/>
        </w:rPr>
      </w:pPr>
      <w:r>
        <w:rPr>
          <w:bCs/>
          <w:color w:val="000000"/>
          <w:sz w:val="20"/>
          <w:szCs w:val="20"/>
        </w:rPr>
        <w:t xml:space="preserve">12.1.4. </w:t>
      </w:r>
      <w:r>
        <w:rPr>
          <w:bCs/>
          <w:color w:val="000000"/>
          <w:sz w:val="20"/>
          <w:szCs w:val="20"/>
        </w:rPr>
        <w:t xml:space="preserve">В других случаях, предусмотренных законодательством Российской Федерации.</w:t>
      </w:r>
      <w:r>
        <w:rPr>
          <w:bCs/>
          <w:color w:val="000000"/>
          <w:sz w:val="20"/>
          <w:szCs w:val="20"/>
        </w:rPr>
      </w:r>
    </w:p>
    <w:p>
      <w:pPr>
        <w:pStyle w:val="905"/>
        <w:numPr>
          <w:ilvl w:val="0"/>
          <w:numId w:val="0"/>
        </w:numPr>
        <w:ind w:firstLine="567"/>
        <w:spacing w:line="276" w:lineRule="auto"/>
        <w:rPr>
          <w:color w:val="000000"/>
          <w:sz w:val="20"/>
          <w:szCs w:val="20"/>
        </w:rPr>
      </w:pPr>
      <w:r>
        <w:rPr>
          <w:b/>
          <w:color w:val="000000"/>
          <w:sz w:val="20"/>
          <w:szCs w:val="20"/>
        </w:rPr>
        <w:t xml:space="preserve">12.2.</w:t>
      </w:r>
      <w:r>
        <w:rPr>
          <w:color w:val="000000"/>
          <w:sz w:val="20"/>
          <w:szCs w:val="20"/>
        </w:rPr>
        <w:t xml:space="preserve"> </w:t>
      </w:r>
      <w:r>
        <w:rPr>
          <w:color w:val="000000"/>
          <w:sz w:val="20"/>
          <w:szCs w:val="20"/>
        </w:rPr>
        <w:t xml:space="preserve">Расторжение настоящего </w:t>
      </w:r>
      <w:r>
        <w:rPr>
          <w:color w:val="000000"/>
          <w:sz w:val="20"/>
          <w:szCs w:val="20"/>
        </w:rPr>
        <w:t xml:space="preserve">Контракт</w:t>
      </w:r>
      <w:r>
        <w:rPr>
          <w:color w:val="000000"/>
          <w:sz w:val="20"/>
          <w:szCs w:val="20"/>
        </w:rPr>
        <w:t xml:space="preserve">а допускается по соглашению сторон, по решению суда или в связи с односторонним отказом стороны </w:t>
      </w:r>
      <w:r>
        <w:rPr>
          <w:color w:val="000000"/>
          <w:sz w:val="20"/>
          <w:szCs w:val="20"/>
        </w:rPr>
        <w:t xml:space="preserve">Контракт</w:t>
      </w:r>
      <w:r>
        <w:rPr>
          <w:color w:val="000000"/>
          <w:sz w:val="20"/>
          <w:szCs w:val="20"/>
        </w:rPr>
        <w:t xml:space="preserve">а от исполнения </w:t>
      </w:r>
      <w:r>
        <w:rPr>
          <w:color w:val="000000"/>
          <w:sz w:val="20"/>
          <w:szCs w:val="20"/>
        </w:rPr>
        <w:t xml:space="preserve">Контракт</w:t>
      </w:r>
      <w:r>
        <w:rPr>
          <w:color w:val="000000"/>
          <w:sz w:val="20"/>
          <w:szCs w:val="20"/>
        </w:rPr>
        <w:t xml:space="preserve">а в соответствии с гражданским законодательством.</w:t>
      </w:r>
      <w:r>
        <w:rPr>
          <w:color w:val="000000"/>
          <w:sz w:val="20"/>
          <w:szCs w:val="20"/>
        </w:rPr>
      </w:r>
      <w:r>
        <w:rPr>
          <w:color w:val="000000"/>
          <w:sz w:val="20"/>
          <w:szCs w:val="20"/>
        </w:rPr>
      </w:r>
    </w:p>
    <w:p>
      <w:pPr>
        <w:pStyle w:val="905"/>
        <w:numPr>
          <w:ilvl w:val="0"/>
          <w:numId w:val="0"/>
        </w:numPr>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rPr>
          <w:color w:val="000000"/>
          <w:sz w:val="20"/>
          <w:szCs w:val="20"/>
        </w:rPr>
        <w:t xml:space="preserve">ФОРС-МАЖОР</w:t>
      </w:r>
      <w:bookmarkEnd w:id="23"/>
      <w:r>
        <w:rPr>
          <w:color w:val="000000"/>
          <w:sz w:val="20"/>
          <w:szCs w:val="20"/>
        </w:rPr>
      </w:r>
      <w:r>
        <w:rPr>
          <w:color w:val="000000"/>
          <w:sz w:val="20"/>
          <w:szCs w:val="20"/>
        </w:rPr>
      </w:r>
    </w:p>
    <w:p>
      <w:pPr>
        <w:pStyle w:val="905"/>
        <w:numPr>
          <w:ilvl w:val="0"/>
          <w:numId w:val="0"/>
        </w:numPr>
        <w:ind w:firstLine="567"/>
        <w:tabs>
          <w:tab w:val="left" w:pos="-3261" w:leader="none"/>
        </w:tabs>
        <w:rPr>
          <w:color w:val="000000"/>
          <w:sz w:val="20"/>
          <w:szCs w:val="20"/>
        </w:rPr>
      </w:pPr>
      <w:r>
        <w:rPr>
          <w:b/>
          <w:color w:val="000000"/>
          <w:sz w:val="20"/>
          <w:szCs w:val="20"/>
        </w:rPr>
        <w:t xml:space="preserve">1</w:t>
      </w:r>
      <w:r>
        <w:rPr>
          <w:b/>
          <w:color w:val="000000"/>
          <w:sz w:val="20"/>
          <w:szCs w:val="20"/>
        </w:rPr>
        <w:t xml:space="preserve">3</w:t>
      </w:r>
      <w:r>
        <w:rPr>
          <w:b/>
          <w:color w:val="000000"/>
          <w:sz w:val="20"/>
          <w:szCs w:val="20"/>
        </w:rPr>
        <w:t xml:space="preserve">.1.</w:t>
      </w:r>
      <w:r>
        <w:rPr>
          <w:color w:val="000000"/>
          <w:sz w:val="20"/>
          <w:szCs w:val="20"/>
        </w:rPr>
        <w:t xml:space="preserve"> </w:t>
      </w:r>
      <w:r>
        <w:rPr>
          <w:color w:val="000000"/>
          <w:sz w:val="20"/>
          <w:szCs w:val="20"/>
        </w:rPr>
        <w:t xml:space="preserve">При наступлении обстоятельств непреодолимой силы (форс-мажор), препятствующих частичному или полному исполнению одной из сторон обязательств по </w:t>
      </w:r>
      <w:r>
        <w:rPr>
          <w:color w:val="000000"/>
          <w:sz w:val="20"/>
          <w:szCs w:val="20"/>
        </w:rPr>
        <w:t xml:space="preserve">Контракт</w:t>
      </w:r>
      <w:r>
        <w:rPr>
          <w:color w:val="000000"/>
          <w:sz w:val="20"/>
          <w:szCs w:val="20"/>
        </w:rPr>
        <w:t xml:space="preserve">у, не зависящих от сторон и которые стороны не могут предотвратить, дальнейшее исполнение Страховщиком и Страхователем обязательств по </w:t>
      </w:r>
      <w:r>
        <w:rPr>
          <w:color w:val="000000"/>
          <w:sz w:val="20"/>
          <w:szCs w:val="20"/>
        </w:rPr>
        <w:t xml:space="preserve">Контракт</w:t>
      </w:r>
      <w:r>
        <w:rPr>
          <w:color w:val="000000"/>
          <w:sz w:val="20"/>
          <w:szCs w:val="20"/>
        </w:rPr>
        <w:t xml:space="preserve">у осуществляется только по взаимному согласию сторон.</w:t>
      </w:r>
      <w:r>
        <w:rPr>
          <w:color w:val="000000"/>
          <w:sz w:val="20"/>
          <w:szCs w:val="20"/>
        </w:rPr>
      </w:r>
    </w:p>
    <w:p>
      <w:pPr>
        <w:pStyle w:val="905"/>
        <w:numPr>
          <w:ilvl w:val="0"/>
          <w:numId w:val="0"/>
        </w:numPr>
        <w:ind w:firstLine="567"/>
        <w:tabs>
          <w:tab w:val="left" w:pos="-3261" w:leader="none"/>
        </w:tabs>
        <w:rPr>
          <w:color w:val="000000"/>
          <w:sz w:val="20"/>
          <w:szCs w:val="20"/>
        </w:rPr>
      </w:pPr>
      <w:r>
        <w:rPr>
          <w:b/>
          <w:color w:val="000000"/>
          <w:sz w:val="20"/>
          <w:szCs w:val="20"/>
        </w:rPr>
        <w:t xml:space="preserve">1</w:t>
      </w:r>
      <w:r>
        <w:rPr>
          <w:b/>
          <w:color w:val="000000"/>
          <w:sz w:val="20"/>
          <w:szCs w:val="20"/>
        </w:rPr>
        <w:t xml:space="preserve">3</w:t>
      </w:r>
      <w:r>
        <w:rPr>
          <w:b/>
          <w:color w:val="000000"/>
          <w:sz w:val="20"/>
          <w:szCs w:val="20"/>
        </w:rPr>
        <w:t xml:space="preserve">.2.</w:t>
      </w:r>
      <w:r>
        <w:rPr>
          <w:color w:val="000000"/>
          <w:sz w:val="20"/>
          <w:szCs w:val="20"/>
        </w:rPr>
        <w:t xml:space="preserve"> </w:t>
      </w:r>
      <w:r>
        <w:rPr>
          <w:color w:val="000000"/>
          <w:sz w:val="20"/>
          <w:szCs w:val="20"/>
        </w:rPr>
        <w:t xml:space="preserve">Под обстоятельствами непреодолимой силы стороны пон</w:t>
      </w:r>
      <w:r>
        <w:rPr>
          <w:color w:val="000000"/>
          <w:sz w:val="20"/>
          <w:szCs w:val="20"/>
        </w:rPr>
        <w:t xml:space="preserve">имают: военные действия и их последствия, гражданские волнения, мятежи, введение чрезвычайного или особого положения, бунты, путчи, государственные перевороты, заговоры, восстания, революции, применение ядерного, химического или бактериологического оружия.</w:t>
      </w:r>
      <w:r>
        <w:rPr>
          <w:color w:val="000000"/>
          <w:sz w:val="20"/>
          <w:szCs w:val="20"/>
        </w:rPr>
      </w:r>
    </w:p>
    <w:p>
      <w:pPr>
        <w:pStyle w:val="905"/>
        <w:numPr>
          <w:ilvl w:val="0"/>
          <w:numId w:val="0"/>
        </w:numPr>
        <w:ind w:firstLine="567"/>
        <w:tabs>
          <w:tab w:val="left" w:pos="-3261" w:leader="none"/>
        </w:tabs>
        <w:rPr>
          <w:color w:val="000000"/>
          <w:sz w:val="20"/>
          <w:szCs w:val="20"/>
        </w:rPr>
      </w:pPr>
      <w:r>
        <w:rPr>
          <w:b/>
          <w:color w:val="000000"/>
          <w:sz w:val="20"/>
          <w:szCs w:val="20"/>
        </w:rPr>
        <w:t xml:space="preserve">1</w:t>
      </w:r>
      <w:r>
        <w:rPr>
          <w:b/>
          <w:color w:val="000000"/>
          <w:sz w:val="20"/>
          <w:szCs w:val="20"/>
        </w:rPr>
        <w:t xml:space="preserve">3</w:t>
      </w:r>
      <w:r>
        <w:rPr>
          <w:b/>
          <w:color w:val="000000"/>
          <w:sz w:val="20"/>
          <w:szCs w:val="20"/>
        </w:rPr>
        <w:t xml:space="preserve">.3.</w:t>
      </w:r>
      <w:r>
        <w:rPr>
          <w:color w:val="000000"/>
          <w:sz w:val="20"/>
          <w:szCs w:val="20"/>
        </w:rPr>
        <w:t xml:space="preserve"> </w:t>
      </w:r>
      <w:r>
        <w:rPr>
          <w:color w:val="000000"/>
          <w:sz w:val="20"/>
          <w:szCs w:val="20"/>
        </w:rPr>
        <w:t xml:space="preserve">Обязанность доказательства возникновения обстоятельств непреодолимой силы, препятствующих частичному или полному исполнению одной из сторон обязательств по </w:t>
      </w:r>
      <w:r>
        <w:rPr>
          <w:color w:val="000000"/>
          <w:sz w:val="20"/>
          <w:szCs w:val="20"/>
        </w:rPr>
        <w:t xml:space="preserve">Контракт</w:t>
      </w:r>
      <w:r>
        <w:rPr>
          <w:color w:val="000000"/>
          <w:sz w:val="20"/>
          <w:szCs w:val="20"/>
        </w:rPr>
        <w:t xml:space="preserve">у, лежит на той стороне, выполнению обязательств которой препятствует возникновение таковых обстоятельств.</w:t>
      </w:r>
      <w:r>
        <w:rPr>
          <w:color w:val="000000"/>
          <w:sz w:val="20"/>
          <w:szCs w:val="20"/>
        </w:rPr>
      </w:r>
    </w:p>
    <w:p>
      <w:pPr>
        <w:pStyle w:val="905"/>
        <w:numPr>
          <w:ilvl w:val="0"/>
          <w:numId w:val="0"/>
        </w:numPr>
        <w:tabs>
          <w:tab w:val="left" w:pos="0" w:leader="none"/>
        </w:tabs>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rPr>
          <w:color w:val="000000"/>
          <w:sz w:val="20"/>
          <w:szCs w:val="20"/>
        </w:rPr>
        <w:t xml:space="preserve">ПОРЯДОК РАЗРЕШЕНИЯ СПОРОВ</w:t>
      </w:r>
      <w:bookmarkEnd w:id="24"/>
      <w:r>
        <w:rPr>
          <w:color w:val="000000"/>
          <w:sz w:val="20"/>
          <w:szCs w:val="20"/>
        </w:rPr>
      </w:r>
      <w:r>
        <w:rPr>
          <w:color w:val="000000"/>
          <w:sz w:val="20"/>
          <w:szCs w:val="20"/>
        </w:rPr>
      </w:r>
    </w:p>
    <w:p>
      <w:pPr>
        <w:pStyle w:val="715"/>
        <w:ind w:firstLine="567"/>
        <w:spacing w:line="226" w:lineRule="exact"/>
        <w:shd w:val="clear" w:color="auto" w:fill="ffffff"/>
        <w:widowControl w:val="off"/>
        <w:rPr>
          <w:color w:val="000000"/>
          <w:sz w:val="20"/>
          <w:szCs w:val="20"/>
        </w:rPr>
      </w:pPr>
      <w:r>
        <w:rPr>
          <w:b/>
          <w:color w:val="000000"/>
          <w:sz w:val="20"/>
          <w:szCs w:val="20"/>
        </w:rPr>
        <w:t xml:space="preserve">1</w:t>
      </w:r>
      <w:r>
        <w:rPr>
          <w:b/>
          <w:color w:val="000000"/>
          <w:sz w:val="20"/>
          <w:szCs w:val="20"/>
        </w:rPr>
        <w:t xml:space="preserve">4</w:t>
      </w:r>
      <w:r>
        <w:rPr>
          <w:b/>
          <w:color w:val="000000"/>
          <w:sz w:val="20"/>
          <w:szCs w:val="20"/>
        </w:rPr>
        <w:t xml:space="preserve">.1</w:t>
      </w:r>
      <w:r>
        <w:rPr>
          <w:color w:val="000000"/>
          <w:sz w:val="20"/>
          <w:szCs w:val="20"/>
        </w:rPr>
        <w:t xml:space="preserve">. </w:t>
      </w:r>
      <w:r>
        <w:rPr>
          <w:color w:val="000000"/>
          <w:sz w:val="20"/>
          <w:szCs w:val="20"/>
        </w:rPr>
        <w:t xml:space="preserve">Споры, возникающие по </w:t>
      </w:r>
      <w:r>
        <w:rPr>
          <w:color w:val="000000"/>
          <w:sz w:val="20"/>
          <w:szCs w:val="20"/>
        </w:rPr>
        <w:t xml:space="preserve">Контракт</w:t>
      </w:r>
      <w:r>
        <w:rPr>
          <w:color w:val="000000"/>
          <w:sz w:val="20"/>
          <w:szCs w:val="20"/>
        </w:rPr>
        <w:t xml:space="preserve">у, разрешаются путем переговоров</w:t>
      </w:r>
      <w:r>
        <w:rPr>
          <w:color w:val="000000"/>
          <w:sz w:val="20"/>
          <w:szCs w:val="20"/>
        </w:rPr>
        <w:t xml:space="preserve"> и в претензионном порядке. Срок рассмотрения претензий – 5 рабочих дней.</w:t>
      </w:r>
      <w:r>
        <w:rPr>
          <w:color w:val="000000"/>
          <w:sz w:val="20"/>
          <w:szCs w:val="20"/>
        </w:rPr>
      </w:r>
    </w:p>
    <w:p>
      <w:pPr>
        <w:pStyle w:val="905"/>
        <w:numPr>
          <w:ilvl w:val="0"/>
          <w:numId w:val="0"/>
        </w:numPr>
        <w:ind w:firstLine="567"/>
        <w:rPr>
          <w:color w:val="000000"/>
          <w:sz w:val="20"/>
          <w:szCs w:val="20"/>
        </w:rPr>
      </w:pPr>
      <w:r>
        <w:rPr>
          <w:b/>
          <w:color w:val="000000"/>
          <w:sz w:val="20"/>
          <w:szCs w:val="20"/>
        </w:rPr>
        <w:t xml:space="preserve">1</w:t>
      </w:r>
      <w:r>
        <w:rPr>
          <w:b/>
          <w:color w:val="000000"/>
          <w:sz w:val="20"/>
          <w:szCs w:val="20"/>
        </w:rPr>
        <w:t xml:space="preserve">4</w:t>
      </w:r>
      <w:r>
        <w:rPr>
          <w:b/>
          <w:color w:val="000000"/>
          <w:sz w:val="20"/>
          <w:szCs w:val="20"/>
        </w:rPr>
        <w:t xml:space="preserve">.2</w:t>
      </w:r>
      <w:r>
        <w:rPr>
          <w:b/>
          <w:color w:val="000000"/>
          <w:sz w:val="20"/>
          <w:szCs w:val="20"/>
        </w:rPr>
        <w:t xml:space="preserve">.</w:t>
      </w:r>
      <w:r>
        <w:rPr>
          <w:color w:val="000000"/>
          <w:sz w:val="20"/>
          <w:szCs w:val="20"/>
        </w:rPr>
        <w:t xml:space="preserve"> </w:t>
      </w:r>
      <w:r>
        <w:rPr>
          <w:color w:val="000000"/>
          <w:sz w:val="20"/>
          <w:szCs w:val="20"/>
        </w:rPr>
        <w:t xml:space="preserve">При не</w:t>
      </w:r>
      <w:r>
        <w:rPr>
          <w:color w:val="000000"/>
          <w:sz w:val="20"/>
          <w:szCs w:val="20"/>
        </w:rPr>
        <w:t xml:space="preserve"> </w:t>
      </w:r>
      <w:r>
        <w:rPr>
          <w:color w:val="000000"/>
          <w:sz w:val="20"/>
          <w:szCs w:val="20"/>
        </w:rPr>
        <w:t xml:space="preserve">достижении согласия в споре он подлежит рассмотрению в </w:t>
      </w:r>
      <w:r>
        <w:rPr>
          <w:color w:val="000000"/>
          <w:sz w:val="20"/>
          <w:szCs w:val="20"/>
        </w:rPr>
        <w:t xml:space="preserve">А</w:t>
      </w:r>
      <w:r>
        <w:rPr>
          <w:color w:val="000000"/>
          <w:sz w:val="20"/>
          <w:szCs w:val="20"/>
        </w:rPr>
        <w:t xml:space="preserve">рбитражном суде Санкт-Петербурга и Лен</w:t>
      </w:r>
      <w:r>
        <w:rPr>
          <w:color w:val="000000"/>
          <w:sz w:val="20"/>
          <w:szCs w:val="20"/>
        </w:rPr>
        <w:t xml:space="preserve">инградской</w:t>
      </w:r>
      <w:r>
        <w:rPr>
          <w:color w:val="000000"/>
          <w:sz w:val="20"/>
          <w:szCs w:val="20"/>
        </w:rPr>
        <w:t xml:space="preserve"> области</w:t>
      </w:r>
      <w:r>
        <w:rPr>
          <w:color w:val="000000"/>
          <w:sz w:val="20"/>
          <w:szCs w:val="20"/>
        </w:rPr>
        <w:t xml:space="preserve"> в соответствии с действующим законодательством Российской Федерации.</w:t>
      </w:r>
      <w:bookmarkEnd w:id="25"/>
      <w:r>
        <w:rPr>
          <w:color w:val="000000"/>
          <w:sz w:val="20"/>
          <w:szCs w:val="20"/>
        </w:rPr>
      </w:r>
      <w:r>
        <w:rPr>
          <w:color w:val="000000"/>
          <w:sz w:val="20"/>
          <w:szCs w:val="20"/>
        </w:rPr>
      </w:r>
    </w:p>
    <w:p>
      <w:pPr>
        <w:pStyle w:val="905"/>
        <w:numPr>
          <w:ilvl w:val="0"/>
          <w:numId w:val="0"/>
        </w:numPr>
        <w:ind w:firstLine="567"/>
        <w:rPr>
          <w:color w:val="000000"/>
          <w:sz w:val="20"/>
          <w:szCs w:val="20"/>
        </w:rPr>
      </w:pPr>
      <w:r>
        <w:rPr>
          <w:b/>
          <w:color w:val="000000"/>
          <w:sz w:val="20"/>
          <w:szCs w:val="20"/>
        </w:rPr>
        <w:t xml:space="preserve">1</w:t>
      </w:r>
      <w:r>
        <w:rPr>
          <w:b/>
          <w:color w:val="000000"/>
          <w:sz w:val="20"/>
          <w:szCs w:val="20"/>
        </w:rPr>
        <w:t xml:space="preserve">4</w:t>
      </w:r>
      <w:r>
        <w:rPr>
          <w:b/>
          <w:color w:val="000000"/>
          <w:sz w:val="20"/>
          <w:szCs w:val="20"/>
        </w:rPr>
        <w:t xml:space="preserve">.3</w:t>
      </w:r>
      <w:r>
        <w:rPr>
          <w:b/>
          <w:color w:val="000000"/>
          <w:sz w:val="20"/>
          <w:szCs w:val="20"/>
        </w:rPr>
        <w:t xml:space="preserve">.</w:t>
      </w:r>
      <w:r>
        <w:rPr>
          <w:color w:val="000000"/>
          <w:sz w:val="20"/>
          <w:szCs w:val="20"/>
        </w:rPr>
        <w:t xml:space="preserve"> </w:t>
      </w:r>
      <w:r>
        <w:rPr>
          <w:color w:val="000000"/>
          <w:sz w:val="20"/>
          <w:szCs w:val="20"/>
        </w:rPr>
        <w:t xml:space="preserve">Право на предъявление претензий к Страховщику о </w:t>
      </w:r>
      <w:r>
        <w:rPr>
          <w:color w:val="000000"/>
          <w:sz w:val="20"/>
          <w:szCs w:val="20"/>
        </w:rPr>
        <w:t xml:space="preserve">страховой </w:t>
      </w:r>
      <w:r>
        <w:rPr>
          <w:color w:val="000000"/>
          <w:sz w:val="20"/>
          <w:szCs w:val="20"/>
        </w:rPr>
        <w:t xml:space="preserve">выплате по </w:t>
      </w:r>
      <w:r>
        <w:rPr>
          <w:color w:val="000000"/>
          <w:sz w:val="20"/>
          <w:szCs w:val="20"/>
        </w:rPr>
        <w:t xml:space="preserve">Контракт</w:t>
      </w:r>
      <w:r>
        <w:rPr>
          <w:color w:val="000000"/>
          <w:sz w:val="20"/>
          <w:szCs w:val="20"/>
        </w:rPr>
        <w:t xml:space="preserve">у сохраняется в течение срока исковой давности, установленного законодательством Российской Федерации.</w:t>
      </w:r>
      <w:bookmarkEnd w:id="26"/>
      <w:r/>
      <w:bookmarkEnd w:id="27"/>
      <w:r/>
      <w:bookmarkEnd w:id="28"/>
      <w:r/>
      <w:bookmarkEnd w:id="29"/>
      <w:r/>
      <w:bookmarkEnd w:id="30"/>
      <w:r/>
      <w:bookmarkEnd w:id="31"/>
      <w:r/>
      <w:bookmarkEnd w:id="32"/>
      <w:r/>
      <w:bookmarkEnd w:id="33"/>
      <w:r/>
      <w:bookmarkEnd w:id="34"/>
      <w:r/>
      <w:bookmarkEnd w:id="35"/>
      <w:r/>
      <w:bookmarkEnd w:id="36"/>
      <w:r/>
      <w:bookmarkEnd w:id="37"/>
      <w:r/>
      <w:bookmarkEnd w:id="38"/>
      <w:r>
        <w:rPr>
          <w:color w:val="000000"/>
          <w:sz w:val="20"/>
          <w:szCs w:val="20"/>
        </w:rPr>
      </w:r>
      <w:r>
        <w:rPr>
          <w:color w:val="000000"/>
          <w:sz w:val="20"/>
          <w:szCs w:val="20"/>
        </w:rPr>
      </w:r>
    </w:p>
    <w:p>
      <w:pPr>
        <w:pStyle w:val="905"/>
        <w:numPr>
          <w:ilvl w:val="0"/>
          <w:numId w:val="0"/>
        </w:numPr>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rPr>
          <w:color w:val="000000"/>
          <w:sz w:val="20"/>
          <w:szCs w:val="20"/>
        </w:rPr>
        <w:t xml:space="preserve">ПРИЛОЖЕНИЯ</w:t>
      </w:r>
      <w:r>
        <w:rPr>
          <w:color w:val="000000"/>
          <w:sz w:val="20"/>
          <w:szCs w:val="20"/>
        </w:rPr>
      </w:r>
    </w:p>
    <w:p>
      <w:pPr>
        <w:pStyle w:val="715"/>
        <w:ind w:firstLine="0"/>
        <w:jc w:val="left"/>
        <w:rPr>
          <w:i/>
          <w:color w:val="000000"/>
          <w:sz w:val="20"/>
          <w:szCs w:val="20"/>
        </w:rPr>
      </w:pPr>
      <w:r>
        <w:rPr>
          <w:i/>
          <w:color w:val="000000"/>
          <w:sz w:val="20"/>
          <w:szCs w:val="20"/>
        </w:rPr>
        <w:t xml:space="preserve">Приложение 1. </w:t>
      </w:r>
      <w:r>
        <w:rPr>
          <w:i/>
          <w:color w:val="000000"/>
          <w:sz w:val="20"/>
          <w:szCs w:val="20"/>
        </w:rPr>
        <w:t xml:space="preserve">Список застрахованных</w:t>
      </w:r>
      <w:r>
        <w:rPr>
          <w:i/>
          <w:color w:val="000000"/>
          <w:sz w:val="20"/>
          <w:szCs w:val="20"/>
        </w:rPr>
        <w:t xml:space="preserve"> лиц</w:t>
      </w:r>
      <w:r>
        <w:rPr>
          <w:i/>
          <w:color w:val="000000"/>
          <w:sz w:val="20"/>
          <w:szCs w:val="20"/>
        </w:rPr>
      </w:r>
      <w:r>
        <w:rPr>
          <w:i/>
          <w:color w:val="000000"/>
          <w:sz w:val="20"/>
          <w:szCs w:val="20"/>
        </w:rPr>
      </w:r>
    </w:p>
    <w:p>
      <w:pPr>
        <w:pStyle w:val="715"/>
        <w:ind w:firstLine="0"/>
        <w:jc w:val="left"/>
        <w:rPr>
          <w:i/>
          <w:color w:val="000000"/>
          <w:sz w:val="20"/>
          <w:szCs w:val="20"/>
        </w:rPr>
      </w:pPr>
      <w:r>
        <w:rPr>
          <w:i/>
          <w:color w:val="000000"/>
          <w:sz w:val="20"/>
          <w:szCs w:val="20"/>
        </w:rPr>
        <w:t xml:space="preserve">Приложение 2. </w:t>
      </w:r>
      <w:r>
        <w:rPr>
          <w:i/>
          <w:color w:val="000000"/>
          <w:sz w:val="20"/>
          <w:szCs w:val="20"/>
        </w:rPr>
        <w:t xml:space="preserve">Таблица </w:t>
      </w:r>
      <w:r>
        <w:rPr>
          <w:i/>
          <w:color w:val="000000"/>
          <w:sz w:val="20"/>
          <w:szCs w:val="20"/>
        </w:rPr>
        <w:t xml:space="preserve">страховых выплат</w:t>
      </w:r>
      <w:r>
        <w:rPr>
          <w:i/>
          <w:color w:val="000000"/>
          <w:sz w:val="20"/>
          <w:szCs w:val="20"/>
        </w:rPr>
        <w:t xml:space="preserve"> </w:t>
      </w:r>
      <w:r>
        <w:rPr>
          <w:i/>
          <w:color w:val="000000"/>
          <w:sz w:val="20"/>
          <w:szCs w:val="20"/>
        </w:rPr>
      </w:r>
      <w:r>
        <w:rPr>
          <w:i/>
          <w:color w:val="000000"/>
          <w:sz w:val="20"/>
          <w:szCs w:val="20"/>
        </w:rPr>
      </w:r>
    </w:p>
    <w:p>
      <w:pPr>
        <w:pStyle w:val="715"/>
        <w:ind w:firstLine="0"/>
        <w:jc w:val="left"/>
        <w:rPr>
          <w:color w:val="000000"/>
          <w:sz w:val="20"/>
          <w:szCs w:val="20"/>
        </w:rPr>
      </w:pPr>
      <w:r>
        <w:rPr>
          <w:color w:val="000000"/>
          <w:sz w:val="20"/>
          <w:szCs w:val="20"/>
        </w:rPr>
      </w:r>
      <w:r>
        <w:rPr>
          <w:color w:val="000000"/>
          <w:sz w:val="20"/>
          <w:szCs w:val="20"/>
        </w:rPr>
      </w:r>
    </w:p>
    <w:p>
      <w:pPr>
        <w:pStyle w:val="906"/>
        <w:ind w:left="0" w:firstLine="0"/>
        <w:spacing w:before="0"/>
        <w:rPr>
          <w:color w:val="000000"/>
          <w:sz w:val="20"/>
          <w:szCs w:val="20"/>
        </w:rPr>
      </w:pPr>
      <w:r>
        <w:rPr>
          <w:color w:val="000000"/>
          <w:sz w:val="20"/>
          <w:szCs w:val="20"/>
        </w:rPr>
        <w:t xml:space="preserve">Подписи, </w:t>
      </w:r>
      <w:r>
        <w:rPr>
          <w:color w:val="000000"/>
          <w:sz w:val="20"/>
          <w:szCs w:val="20"/>
        </w:rPr>
        <w:t xml:space="preserve">ДРЕСА И БАНКОВСКИЕ РЕКВИЗИТЫ СТОРОН</w:t>
      </w:r>
      <w:r>
        <w:rPr>
          <w:color w:val="000000"/>
          <w:sz w:val="20"/>
          <w:szCs w:val="20"/>
        </w:rPr>
      </w:r>
    </w:p>
    <w:tbl>
      <w:tblPr>
        <w:tblW w:w="10216" w:type="dxa"/>
        <w:jc w:val="center"/>
        <w:tblInd w:w="-365" w:type="dxa"/>
        <w:tblLayout w:type="autofit"/>
        <w:tblCellMar>
          <w:left w:w="108" w:type="dxa"/>
          <w:top w:w="0" w:type="dxa"/>
          <w:right w:w="108" w:type="dxa"/>
          <w:bottom w:w="0" w:type="dxa"/>
        </w:tblCellMar>
        <w:tblLook w:val="04A0" w:firstRow="1" w:lastRow="0" w:firstColumn="1" w:lastColumn="0" w:noHBand="0" w:noVBand="1"/>
      </w:tblPr>
      <w:tblGrid>
        <w:gridCol w:w="5102"/>
        <w:gridCol w:w="6"/>
        <w:gridCol w:w="5096"/>
        <w:gridCol w:w="12"/>
      </w:tblGrid>
      <w:tr>
        <w:tblPrEx/>
        <w:trPr>
          <w:trHeight w:val="4456"/>
        </w:trPr>
        <w:tc>
          <w:tcPr>
            <w:gridSpan w:val="2"/>
            <w:tcBorders>
              <w:top w:val="none" w:color="000000" w:sz="0" w:space="0"/>
              <w:left w:val="none" w:color="000000" w:sz="0" w:space="0"/>
              <w:bottom w:val="none" w:color="000000" w:sz="0" w:space="0"/>
              <w:right w:val="none" w:color="000000" w:sz="0" w:space="0"/>
            </w:tcBorders>
            <w:tcW w:w="5108" w:type="dxa"/>
            <w:vAlign w:val="top"/>
            <w:textDirection w:val="lrTb"/>
            <w:noWrap w:val="false"/>
          </w:tcPr>
          <w:p>
            <w:pPr>
              <w:pStyle w:val="715"/>
              <w:ind w:firstLine="0"/>
              <w:jc w:val="left"/>
              <w:rPr>
                <w:color w:val="000000"/>
                <w:sz w:val="20"/>
                <w:szCs w:val="20"/>
                <w:u w:val="single"/>
              </w:rPr>
            </w:pPr>
            <w:r>
              <w:rPr>
                <w:color w:val="000000"/>
                <w:sz w:val="20"/>
                <w:szCs w:val="20"/>
                <w:u w:val="single"/>
              </w:rPr>
              <w:t xml:space="preserve">СТРАХОВАТЕЛЬ:</w:t>
            </w:r>
            <w:r>
              <w:rPr>
                <w:color w:val="000000"/>
                <w:sz w:val="20"/>
                <w:szCs w:val="20"/>
                <w:u w:val="single"/>
              </w:rPr>
            </w:r>
          </w:p>
          <w:p>
            <w:pPr>
              <w:pStyle w:val="715"/>
              <w:ind w:firstLine="0"/>
              <w:shd w:val="clear" w:color="auto" w:fill="ffffff"/>
              <w:rPr>
                <w:b/>
                <w:sz w:val="20"/>
                <w:szCs w:val="20"/>
                <w:lang w:eastAsia="ru-RU"/>
              </w:rPr>
            </w:pPr>
            <w:r>
              <w:rPr>
                <w:b/>
                <w:sz w:val="20"/>
                <w:szCs w:val="20"/>
                <w:lang w:eastAsia="ru-RU"/>
              </w:rPr>
              <w:t xml:space="preserve">Федеральное государственное бюджетное учреждение «Арктический и антарктический научно-исследовательский институт» </w:t>
            </w:r>
            <w:r>
              <w:rPr>
                <w:b/>
                <w:sz w:val="20"/>
                <w:szCs w:val="20"/>
                <w:lang w:eastAsia="ru-RU"/>
              </w:rPr>
            </w:r>
          </w:p>
          <w:p>
            <w:pPr>
              <w:pStyle w:val="715"/>
              <w:ind w:firstLine="0"/>
              <w:shd w:val="clear" w:color="auto" w:fill="ffffff"/>
              <w:rPr>
                <w:b/>
                <w:sz w:val="20"/>
                <w:szCs w:val="20"/>
              </w:rPr>
            </w:pPr>
            <w:r>
              <w:rPr>
                <w:b/>
                <w:sz w:val="20"/>
                <w:szCs w:val="20"/>
                <w:lang w:eastAsia="ru-RU"/>
              </w:rPr>
              <w:t xml:space="preserve">(ФГБУ «ААНИИ»)</w:t>
            </w:r>
            <w:r>
              <w:rPr>
                <w:b/>
                <w:sz w:val="20"/>
                <w:szCs w:val="20"/>
              </w:rPr>
            </w:r>
            <w:r>
              <w:rPr>
                <w:b/>
                <w:sz w:val="20"/>
                <w:szCs w:val="20"/>
              </w:rPr>
            </w:r>
          </w:p>
          <w:p>
            <w:pPr>
              <w:pStyle w:val="715"/>
              <w:ind w:firstLine="0"/>
              <w:shd w:val="clear" w:color="auto" w:fill="ffffff"/>
              <w:rPr>
                <w:sz w:val="20"/>
                <w:szCs w:val="20"/>
                <w:lang w:eastAsia="ru-RU"/>
              </w:rPr>
            </w:pPr>
            <w:r>
              <w:rPr>
                <w:sz w:val="20"/>
                <w:szCs w:val="20"/>
                <w:lang w:eastAsia="ru-RU"/>
              </w:rPr>
              <w:t xml:space="preserve">Юридический адрес: 199397, г. Санкт-Петербург, </w:t>
            </w:r>
            <w:r>
              <w:rPr>
                <w:sz w:val="20"/>
                <w:szCs w:val="20"/>
                <w:lang w:eastAsia="ru-RU"/>
              </w:rPr>
            </w:r>
          </w:p>
          <w:p>
            <w:pPr>
              <w:pStyle w:val="715"/>
              <w:ind w:firstLine="0"/>
              <w:shd w:val="clear" w:color="auto" w:fill="ffffff"/>
              <w:rPr>
                <w:sz w:val="20"/>
                <w:szCs w:val="20"/>
              </w:rPr>
            </w:pPr>
            <w:r>
              <w:rPr>
                <w:sz w:val="20"/>
                <w:szCs w:val="20"/>
                <w:lang w:eastAsia="ru-RU"/>
              </w:rPr>
              <w:t xml:space="preserve">ул. Беринга, д.38, литера А</w:t>
            </w:r>
            <w:r>
              <w:rPr>
                <w:sz w:val="20"/>
                <w:szCs w:val="20"/>
              </w:rPr>
            </w:r>
            <w:r>
              <w:rPr>
                <w:sz w:val="20"/>
                <w:szCs w:val="20"/>
              </w:rPr>
            </w:r>
          </w:p>
          <w:p>
            <w:pPr>
              <w:pStyle w:val="715"/>
              <w:ind w:firstLine="0"/>
              <w:shd w:val="clear" w:color="auto" w:fill="ffffff"/>
              <w:rPr>
                <w:sz w:val="20"/>
                <w:szCs w:val="20"/>
                <w:lang w:eastAsia="ru-RU"/>
              </w:rPr>
            </w:pPr>
            <w:r>
              <w:rPr>
                <w:sz w:val="20"/>
                <w:szCs w:val="20"/>
                <w:lang w:eastAsia="ru-RU"/>
              </w:rPr>
              <w:t xml:space="preserve">Фактический адрес: 199397 г. Санкт-Петербург, </w:t>
            </w:r>
            <w:r>
              <w:rPr>
                <w:sz w:val="20"/>
                <w:szCs w:val="20"/>
                <w:lang w:eastAsia="ru-RU"/>
              </w:rPr>
            </w:r>
          </w:p>
          <w:p>
            <w:pPr>
              <w:pStyle w:val="715"/>
              <w:ind w:firstLine="0"/>
              <w:shd w:val="clear" w:color="auto" w:fill="ffffff"/>
              <w:rPr>
                <w:sz w:val="20"/>
                <w:szCs w:val="20"/>
              </w:rPr>
            </w:pPr>
            <w:r>
              <w:rPr>
                <w:sz w:val="20"/>
                <w:szCs w:val="20"/>
                <w:lang w:eastAsia="ru-RU"/>
              </w:rPr>
              <w:t xml:space="preserve">ул. Беринга, д.38, литера А</w:t>
            </w:r>
            <w:r>
              <w:rPr>
                <w:sz w:val="20"/>
                <w:szCs w:val="20"/>
              </w:rPr>
            </w:r>
            <w:r>
              <w:rPr>
                <w:sz w:val="20"/>
                <w:szCs w:val="20"/>
              </w:rPr>
            </w:r>
          </w:p>
          <w:p>
            <w:pPr>
              <w:pStyle w:val="715"/>
              <w:ind w:firstLine="0"/>
              <w:shd w:val="clear" w:color="auto" w:fill="ffffff"/>
              <w:rPr>
                <w:sz w:val="20"/>
                <w:szCs w:val="20"/>
              </w:rPr>
            </w:pPr>
            <w:r>
              <w:rPr>
                <w:sz w:val="20"/>
                <w:szCs w:val="20"/>
                <w:lang w:eastAsia="ru-RU"/>
              </w:rPr>
              <w:t xml:space="preserve">ИНН/КПП 7801028057 / 780101001</w:t>
            </w:r>
            <w:r>
              <w:rPr>
                <w:sz w:val="20"/>
                <w:szCs w:val="20"/>
              </w:rPr>
            </w:r>
            <w:r>
              <w:rPr>
                <w:sz w:val="20"/>
                <w:szCs w:val="20"/>
              </w:rPr>
            </w:r>
          </w:p>
          <w:p>
            <w:pPr>
              <w:pStyle w:val="715"/>
              <w:ind w:firstLine="0"/>
              <w:shd w:val="clear" w:color="auto" w:fill="ffffff"/>
              <w:rPr>
                <w:sz w:val="20"/>
                <w:szCs w:val="20"/>
              </w:rPr>
            </w:pPr>
            <w:r>
              <w:rPr>
                <w:sz w:val="20"/>
                <w:szCs w:val="20"/>
                <w:lang w:eastAsia="ru-RU"/>
              </w:rPr>
              <w:t xml:space="preserve">Лицевой счет 20726X28200 </w:t>
            </w:r>
            <w:r>
              <w:rPr>
                <w:sz w:val="20"/>
                <w:szCs w:val="20"/>
              </w:rPr>
            </w:r>
            <w:r>
              <w:rPr>
                <w:sz w:val="20"/>
                <w:szCs w:val="20"/>
              </w:rPr>
            </w:r>
          </w:p>
          <w:p>
            <w:pPr>
              <w:pStyle w:val="715"/>
              <w:ind w:firstLine="0"/>
              <w:shd w:val="clear" w:color="auto" w:fill="ffffff"/>
              <w:rPr>
                <w:sz w:val="20"/>
                <w:szCs w:val="20"/>
                <w:lang w:eastAsia="ru-RU"/>
              </w:rPr>
            </w:pPr>
            <w:r>
              <w:rPr>
                <w:sz w:val="20"/>
                <w:szCs w:val="20"/>
                <w:lang w:eastAsia="ru-RU"/>
              </w:rPr>
              <w:t xml:space="preserve">Казначейский счет   03214643000000013225</w:t>
            </w:r>
            <w:r>
              <w:rPr>
                <w:sz w:val="20"/>
                <w:szCs w:val="20"/>
                <w:lang w:eastAsia="ru-RU"/>
              </w:rPr>
            </w:r>
          </w:p>
          <w:p>
            <w:pPr>
              <w:pStyle w:val="715"/>
              <w:ind w:firstLine="0"/>
              <w:shd w:val="clear" w:color="auto" w:fill="ffffff"/>
              <w:rPr>
                <w:sz w:val="20"/>
                <w:szCs w:val="20"/>
                <w:lang w:eastAsia="ru-RU"/>
              </w:rPr>
            </w:pPr>
            <w:r>
              <w:rPr>
                <w:sz w:val="20"/>
                <w:szCs w:val="20"/>
                <w:lang w:eastAsia="ru-RU"/>
              </w:rPr>
              <w:t xml:space="preserve">ОКЦ №1 ВВГУ Банка России// УФК по Нижегородской области, г. Нижний Новгород</w:t>
            </w:r>
            <w:r>
              <w:rPr>
                <w:sz w:val="20"/>
                <w:szCs w:val="20"/>
                <w:lang w:eastAsia="ru-RU"/>
              </w:rPr>
            </w:r>
          </w:p>
          <w:p>
            <w:pPr>
              <w:pStyle w:val="715"/>
              <w:ind w:firstLine="0"/>
              <w:shd w:val="clear" w:color="auto" w:fill="ffffff"/>
              <w:rPr>
                <w:sz w:val="20"/>
                <w:szCs w:val="20"/>
                <w:lang w:eastAsia="ru-RU"/>
              </w:rPr>
            </w:pPr>
            <w:r>
              <w:rPr>
                <w:sz w:val="20"/>
                <w:szCs w:val="20"/>
                <w:lang w:eastAsia="ru-RU"/>
              </w:rPr>
              <w:t xml:space="preserve">Банк. счет    40102810745370000024</w:t>
            </w:r>
            <w:r>
              <w:rPr>
                <w:sz w:val="20"/>
                <w:szCs w:val="20"/>
                <w:lang w:eastAsia="ru-RU"/>
              </w:rPr>
            </w:r>
          </w:p>
          <w:p>
            <w:pPr>
              <w:pStyle w:val="715"/>
              <w:ind w:firstLine="0"/>
              <w:shd w:val="clear" w:color="auto" w:fill="ffffff"/>
              <w:rPr>
                <w:sz w:val="20"/>
                <w:szCs w:val="20"/>
                <w:lang w:eastAsia="ru-RU"/>
              </w:rPr>
            </w:pPr>
            <w:r>
              <w:rPr>
                <w:sz w:val="20"/>
                <w:szCs w:val="20"/>
                <w:lang w:eastAsia="ru-RU"/>
              </w:rPr>
              <w:t xml:space="preserve">БИК</w:t>
              <w:tab/>
            </w:r>
            <w:r>
              <w:rPr>
                <w:sz w:val="20"/>
                <w:szCs w:val="20"/>
                <w:lang w:eastAsia="ru-RU"/>
              </w:rPr>
              <w:t xml:space="preserve">012202102</w:t>
            </w:r>
            <w:r>
              <w:rPr>
                <w:sz w:val="20"/>
                <w:szCs w:val="20"/>
                <w:lang w:eastAsia="ru-RU"/>
              </w:rPr>
            </w:r>
          </w:p>
          <w:p>
            <w:pPr>
              <w:pStyle w:val="715"/>
              <w:ind w:firstLine="0"/>
              <w:shd w:val="clear" w:color="auto" w:fill="ffffff"/>
              <w:rPr>
                <w:sz w:val="20"/>
                <w:szCs w:val="20"/>
                <w:lang w:eastAsia="ru-RU"/>
              </w:rPr>
            </w:pPr>
            <w:r>
              <w:rPr>
                <w:sz w:val="20"/>
                <w:szCs w:val="20"/>
                <w:lang w:eastAsia="ru-RU"/>
              </w:rPr>
              <w:t xml:space="preserve">ОКВЭД</w:t>
              <w:tab/>
              <w:t xml:space="preserve"> </w:t>
            </w:r>
            <w:r>
              <w:rPr>
                <w:sz w:val="20"/>
                <w:szCs w:val="20"/>
                <w:lang w:eastAsia="ru-RU"/>
              </w:rPr>
              <w:t xml:space="preserve">72.19 </w:t>
            </w:r>
            <w:r>
              <w:rPr>
                <w:sz w:val="20"/>
                <w:szCs w:val="20"/>
                <w:lang w:eastAsia="ru-RU"/>
              </w:rPr>
            </w:r>
          </w:p>
          <w:p>
            <w:pPr>
              <w:pStyle w:val="715"/>
              <w:ind w:firstLine="0"/>
              <w:shd w:val="clear" w:color="auto" w:fill="ffffff"/>
              <w:rPr>
                <w:sz w:val="20"/>
                <w:szCs w:val="20"/>
                <w:lang w:eastAsia="ru-RU"/>
              </w:rPr>
            </w:pPr>
            <w:r>
              <w:rPr>
                <w:sz w:val="20"/>
                <w:szCs w:val="20"/>
                <w:lang w:eastAsia="ru-RU"/>
              </w:rPr>
              <w:t xml:space="preserve">ОГРН</w:t>
              <w:tab/>
            </w:r>
            <w:r>
              <w:rPr>
                <w:sz w:val="20"/>
                <w:szCs w:val="20"/>
                <w:lang w:eastAsia="ru-RU"/>
              </w:rPr>
              <w:t xml:space="preserve">1027800556266</w:t>
            </w:r>
            <w:r>
              <w:rPr>
                <w:sz w:val="20"/>
                <w:szCs w:val="20"/>
                <w:lang w:eastAsia="ru-RU"/>
              </w:rPr>
            </w:r>
          </w:p>
          <w:p>
            <w:pPr>
              <w:pStyle w:val="715"/>
              <w:ind w:firstLine="0"/>
              <w:shd w:val="clear" w:color="auto" w:fill="ffffff"/>
              <w:rPr>
                <w:sz w:val="20"/>
                <w:szCs w:val="20"/>
                <w:lang w:eastAsia="ru-RU"/>
              </w:rPr>
            </w:pPr>
            <w:r>
              <w:rPr>
                <w:sz w:val="20"/>
                <w:szCs w:val="20"/>
                <w:lang w:eastAsia="ru-RU"/>
              </w:rPr>
              <w:t xml:space="preserve">ОКПО</w:t>
              <w:tab/>
            </w:r>
            <w:r>
              <w:rPr>
                <w:sz w:val="20"/>
                <w:szCs w:val="20"/>
                <w:lang w:eastAsia="ru-RU"/>
              </w:rPr>
              <w:t xml:space="preserve">02572350</w:t>
            </w:r>
            <w:r>
              <w:rPr>
                <w:sz w:val="20"/>
                <w:szCs w:val="20"/>
                <w:lang w:eastAsia="ru-RU"/>
              </w:rPr>
            </w:r>
          </w:p>
          <w:p>
            <w:pPr>
              <w:pStyle w:val="715"/>
              <w:ind w:firstLine="0"/>
              <w:shd w:val="clear" w:color="auto" w:fill="ffffff"/>
              <w:rPr>
                <w:sz w:val="20"/>
                <w:szCs w:val="20"/>
                <w:lang w:eastAsia="ru-RU"/>
              </w:rPr>
            </w:pPr>
            <w:r>
              <w:rPr>
                <w:sz w:val="20"/>
                <w:szCs w:val="20"/>
                <w:lang w:eastAsia="ru-RU"/>
              </w:rPr>
              <w:t xml:space="preserve">ОКТМО </w:t>
            </w:r>
            <w:r>
              <w:rPr>
                <w:sz w:val="20"/>
                <w:szCs w:val="20"/>
                <w:lang w:eastAsia="ru-RU"/>
              </w:rPr>
              <w:t xml:space="preserve">40310000</w:t>
            </w:r>
            <w:r>
              <w:rPr>
                <w:sz w:val="20"/>
                <w:szCs w:val="20"/>
                <w:lang w:eastAsia="ru-RU"/>
              </w:rPr>
            </w:r>
          </w:p>
          <w:p>
            <w:pPr>
              <w:pStyle w:val="715"/>
              <w:ind w:firstLine="0"/>
              <w:shd w:val="clear" w:color="auto" w:fill="ffffff"/>
              <w:rPr>
                <w:sz w:val="20"/>
                <w:szCs w:val="20"/>
                <w:lang w:eastAsia="ru-RU"/>
              </w:rPr>
            </w:pPr>
            <w:r>
              <w:rPr>
                <w:sz w:val="20"/>
                <w:szCs w:val="20"/>
                <w:lang w:val="en-US" w:eastAsia="ru-RU"/>
              </w:rPr>
              <w:t xml:space="preserve">e</w:t>
            </w:r>
            <w:r>
              <w:rPr>
                <w:sz w:val="20"/>
                <w:szCs w:val="20"/>
                <w:lang w:eastAsia="ru-RU"/>
              </w:rPr>
              <w:t xml:space="preserve">-</w:t>
            </w:r>
            <w:r>
              <w:rPr>
                <w:sz w:val="20"/>
                <w:szCs w:val="20"/>
                <w:lang w:val="en-US" w:eastAsia="ru-RU"/>
              </w:rPr>
              <w:t xml:space="preserve">mail</w:t>
            </w:r>
            <w:r>
              <w:rPr>
                <w:sz w:val="20"/>
                <w:szCs w:val="20"/>
                <w:lang w:eastAsia="ru-RU"/>
              </w:rPr>
              <w:t xml:space="preserve">: </w:t>
            </w:r>
            <w:r>
              <w:fldChar w:fldCharType="begin"/>
            </w:r>
            <w:r>
              <w:instrText xml:space="preserve"> HYPERLINK "mailto:aaricoop@aari.ru" \o "mailto:aaricoop@aari.ru" </w:instrText>
            </w:r>
            <w:r>
              <w:fldChar w:fldCharType="separate"/>
            </w:r>
            <w:r>
              <w:rPr>
                <w:sz w:val="20"/>
                <w:szCs w:val="20"/>
                <w:lang w:val="en-US" w:eastAsia="ru-RU"/>
              </w:rPr>
              <w:t xml:space="preserve">aaricoop</w:t>
            </w:r>
            <w:r>
              <w:rPr>
                <w:sz w:val="20"/>
                <w:szCs w:val="20"/>
                <w:lang w:eastAsia="ru-RU"/>
              </w:rPr>
              <w:t xml:space="preserve">@</w:t>
            </w:r>
            <w:r>
              <w:rPr>
                <w:sz w:val="20"/>
                <w:szCs w:val="20"/>
                <w:lang w:val="en-US" w:eastAsia="ru-RU"/>
              </w:rPr>
              <w:t xml:space="preserve">aari</w:t>
            </w:r>
            <w:r>
              <w:rPr>
                <w:sz w:val="20"/>
                <w:szCs w:val="20"/>
                <w:lang w:eastAsia="ru-RU"/>
              </w:rPr>
              <w:t xml:space="preserve">.</w:t>
            </w:r>
            <w:r>
              <w:rPr>
                <w:sz w:val="20"/>
                <w:szCs w:val="20"/>
                <w:lang w:val="en-US" w:eastAsia="ru-RU"/>
              </w:rPr>
              <w:t xml:space="preserve">ru</w:t>
            </w:r>
            <w:r>
              <w:rPr>
                <w:sz w:val="20"/>
                <w:szCs w:val="20"/>
                <w:lang w:val="en-US" w:eastAsia="ru-RU"/>
              </w:rPr>
              <w:fldChar w:fldCharType="end"/>
            </w:r>
            <w:r>
              <w:rPr>
                <w:sz w:val="20"/>
                <w:szCs w:val="20"/>
                <w:lang w:eastAsia="ru-RU"/>
              </w:rPr>
            </w:r>
            <w:r>
              <w:rPr>
                <w:sz w:val="20"/>
                <w:szCs w:val="20"/>
                <w:lang w:eastAsia="ru-RU"/>
              </w:rPr>
            </w:r>
          </w:p>
          <w:p>
            <w:pPr>
              <w:pStyle w:val="715"/>
              <w:ind w:firstLine="0"/>
              <w:jc w:val="left"/>
              <w:rPr>
                <w:sz w:val="20"/>
                <w:szCs w:val="20"/>
                <w:lang w:eastAsia="ru-RU"/>
              </w:rPr>
            </w:pPr>
            <w:r>
              <w:rPr>
                <w:sz w:val="20"/>
                <w:szCs w:val="20"/>
                <w:lang w:eastAsia="ru-RU"/>
              </w:rPr>
              <w:t xml:space="preserve">Тел.: 8 (812) 337-31-23</w:t>
            </w:r>
            <w:r>
              <w:rPr>
                <w:sz w:val="20"/>
                <w:szCs w:val="20"/>
                <w:lang w:eastAsia="ru-RU"/>
              </w:rPr>
            </w:r>
            <w:r>
              <w:rPr>
                <w:sz w:val="20"/>
                <w:szCs w:val="20"/>
                <w:lang w:eastAsia="ru-RU"/>
              </w:rPr>
            </w:r>
          </w:p>
          <w:p>
            <w:pPr>
              <w:pStyle w:val="715"/>
              <w:ind w:firstLine="0"/>
              <w:jc w:val="left"/>
              <w:rPr>
                <w:color w:val="000000"/>
                <w:sz w:val="20"/>
                <w:szCs w:val="20"/>
              </w:rPr>
            </w:pPr>
            <w:r>
              <w:rPr>
                <w:color w:val="000000"/>
                <w:sz w:val="20"/>
                <w:szCs w:val="20"/>
              </w:rPr>
            </w:r>
            <w:r>
              <w:rPr>
                <w:color w:val="000000"/>
                <w:sz w:val="20"/>
                <w:szCs w:val="20"/>
              </w:rPr>
            </w:r>
          </w:p>
          <w:p>
            <w:pPr>
              <w:pStyle w:val="715"/>
              <w:ind w:firstLine="0"/>
              <w:jc w:val="left"/>
              <w:rPr>
                <w:color w:val="000000"/>
                <w:sz w:val="20"/>
                <w:szCs w:val="20"/>
              </w:rPr>
            </w:pPr>
            <w:r>
              <w:rPr>
                <w:color w:val="000000"/>
                <w:sz w:val="20"/>
                <w:szCs w:val="20"/>
              </w:rPr>
            </w:r>
            <w:r>
              <w:rPr>
                <w:color w:val="000000"/>
                <w:sz w:val="20"/>
                <w:szCs w:val="20"/>
              </w:rPr>
            </w:r>
          </w:p>
        </w:tc>
        <w:tc>
          <w:tcPr>
            <w:gridSpan w:val="2"/>
            <w:tcBorders>
              <w:top w:val="none" w:color="000000" w:sz="0" w:space="0"/>
              <w:left w:val="none" w:color="000000" w:sz="0" w:space="0"/>
              <w:bottom w:val="none" w:color="000000" w:sz="0" w:space="0"/>
              <w:right w:val="none" w:color="000000" w:sz="0" w:space="0"/>
            </w:tcBorders>
            <w:tcW w:w="5108" w:type="dxa"/>
            <w:vAlign w:val="top"/>
            <w:textDirection w:val="lrTb"/>
            <w:noWrap w:val="false"/>
          </w:tcPr>
          <w:p>
            <w:pPr>
              <w:pStyle w:val="715"/>
              <w:ind w:left="262" w:firstLine="0"/>
              <w:rPr>
                <w:sz w:val="20"/>
                <w:szCs w:val="20"/>
                <w:u w:val="single"/>
              </w:rPr>
            </w:pPr>
            <w:r>
              <w:rPr>
                <w:sz w:val="20"/>
                <w:szCs w:val="20"/>
                <w:u w:val="single"/>
              </w:rPr>
              <w:t xml:space="preserve">СТРАХОВЩИК:</w:t>
            </w:r>
            <w:r>
              <w:rPr>
                <w:sz w:val="20"/>
                <w:szCs w:val="20"/>
                <w:u w:val="single"/>
              </w:rPr>
            </w:r>
          </w:p>
          <w:p>
            <w:pPr>
              <w:pStyle w:val="715"/>
              <w:ind w:left="262" w:firstLine="0"/>
              <w:jc w:val="left"/>
              <w:rPr>
                <w:sz w:val="20"/>
                <w:szCs w:val="20"/>
              </w:rPr>
            </w:pPr>
            <w:r>
              <w:rPr>
                <w:sz w:val="20"/>
                <w:szCs w:val="20"/>
              </w:rPr>
            </w:r>
            <w:r>
              <w:rPr>
                <w:sz w:val="20"/>
                <w:szCs w:val="20"/>
              </w:rPr>
            </w:r>
          </w:p>
          <w:p>
            <w:pPr>
              <w:pStyle w:val="715"/>
              <w:ind w:left="262" w:firstLine="0"/>
              <w:jc w:val="left"/>
              <w:rPr>
                <w:sz w:val="20"/>
                <w:szCs w:val="20"/>
              </w:rPr>
            </w:pPr>
            <w:r>
              <w:rPr>
                <w:sz w:val="20"/>
                <w:szCs w:val="20"/>
              </w:rPr>
            </w:r>
            <w:r>
              <w:rPr>
                <w:sz w:val="20"/>
                <w:szCs w:val="20"/>
              </w:rPr>
            </w:r>
          </w:p>
        </w:tc>
      </w:tr>
      <w:tr>
        <w:tblPrEx/>
        <w:trPr>
          <w:gridAfter w:val="1"/>
          <w:trHeight w:val="1703"/>
        </w:trPr>
        <w:tc>
          <w:tcPr>
            <w:tcBorders>
              <w:top w:val="none" w:color="000000" w:sz="0" w:space="0"/>
              <w:left w:val="none" w:color="000000" w:sz="0" w:space="0"/>
              <w:bottom w:val="none" w:color="000000" w:sz="0" w:space="0"/>
              <w:right w:val="none" w:color="000000" w:sz="0" w:space="0"/>
            </w:tcBorders>
            <w:tcW w:w="5102" w:type="dxa"/>
            <w:vAlign w:val="top"/>
            <w:textDirection w:val="lrTb"/>
            <w:noWrap w:val="false"/>
          </w:tcPr>
          <w:p>
            <w:pPr>
              <w:pStyle w:val="715"/>
              <w:ind w:firstLine="0"/>
              <w:jc w:val="left"/>
              <w:rPr>
                <w:sz w:val="20"/>
                <w:szCs w:val="20"/>
              </w:rPr>
            </w:pPr>
            <w:r>
              <w:rPr>
                <w:sz w:val="20"/>
                <w:szCs w:val="20"/>
              </w:rPr>
              <w:t xml:space="preserve">_________________ /</w:t>
            </w:r>
            <w:r>
              <w:rPr>
                <w:sz w:val="20"/>
                <w:szCs w:val="20"/>
              </w:rPr>
              <w:t xml:space="preserve">__________________</w:t>
            </w:r>
            <w:r>
              <w:rPr>
                <w:sz w:val="20"/>
                <w:szCs w:val="20"/>
              </w:rPr>
              <w:t xml:space="preserve">/</w:t>
            </w:r>
            <w:r>
              <w:rPr>
                <w:sz w:val="20"/>
                <w:szCs w:val="20"/>
              </w:rPr>
            </w:r>
          </w:p>
          <w:p>
            <w:pPr>
              <w:pStyle w:val="715"/>
              <w:ind w:firstLine="0"/>
              <w:jc w:val="left"/>
              <w:rPr>
                <w:color w:val="000000"/>
                <w:sz w:val="20"/>
                <w:szCs w:val="20"/>
                <w:u w:val="single"/>
              </w:rPr>
            </w:pPr>
            <w:r>
              <w:rPr>
                <w:sz w:val="20"/>
                <w:szCs w:val="20"/>
              </w:rPr>
              <w:t xml:space="preserve">М.П.</w:t>
            </w:r>
            <w:r>
              <w:rPr>
                <w:color w:val="000000"/>
                <w:sz w:val="20"/>
                <w:szCs w:val="20"/>
                <w:u w:val="single"/>
              </w:rPr>
            </w:r>
            <w:r>
              <w:rPr>
                <w:color w:val="000000"/>
                <w:sz w:val="20"/>
                <w:szCs w:val="20"/>
                <w:u w:val="single"/>
              </w:rPr>
            </w:r>
          </w:p>
        </w:tc>
        <w:tc>
          <w:tcPr>
            <w:gridSpan w:val="2"/>
            <w:tcBorders>
              <w:top w:val="none" w:color="000000" w:sz="0" w:space="0"/>
              <w:left w:val="none" w:color="000000" w:sz="0" w:space="0"/>
              <w:bottom w:val="none" w:color="000000" w:sz="0" w:space="0"/>
              <w:right w:val="none" w:color="000000" w:sz="0" w:space="0"/>
            </w:tcBorders>
            <w:tcW w:w="5102" w:type="dxa"/>
            <w:vAlign w:val="top"/>
            <w:textDirection w:val="lrTb"/>
            <w:noWrap w:val="false"/>
          </w:tcPr>
          <w:p>
            <w:pPr>
              <w:pStyle w:val="715"/>
              <w:ind w:left="410" w:firstLine="0"/>
              <w:jc w:val="left"/>
              <w:rPr>
                <w:sz w:val="20"/>
                <w:szCs w:val="20"/>
              </w:rPr>
            </w:pPr>
            <w:r>
              <w:rPr>
                <w:sz w:val="20"/>
                <w:szCs w:val="20"/>
              </w:rPr>
              <w:t xml:space="preserve">_________________ </w:t>
            </w:r>
            <w:r>
              <w:rPr>
                <w:sz w:val="20"/>
                <w:szCs w:val="20"/>
              </w:rPr>
              <w:t xml:space="preserve">/</w:t>
            </w:r>
            <w:r>
              <w:rPr>
                <w:sz w:val="20"/>
                <w:szCs w:val="20"/>
              </w:rPr>
              <w:t xml:space="preserve">__________________</w:t>
            </w:r>
            <w:r>
              <w:rPr>
                <w:sz w:val="20"/>
                <w:szCs w:val="20"/>
              </w:rPr>
              <w:t xml:space="preserve">/</w:t>
            </w:r>
            <w:r>
              <w:rPr>
                <w:sz w:val="20"/>
                <w:szCs w:val="20"/>
              </w:rPr>
            </w:r>
            <w:r>
              <w:rPr>
                <w:sz w:val="20"/>
                <w:szCs w:val="20"/>
              </w:rPr>
            </w:r>
          </w:p>
          <w:p>
            <w:pPr>
              <w:pStyle w:val="715"/>
              <w:ind w:left="410" w:firstLine="0"/>
              <w:rPr>
                <w:sz w:val="20"/>
                <w:szCs w:val="20"/>
              </w:rPr>
            </w:pPr>
            <w:r>
              <w:rPr>
                <w:sz w:val="20"/>
                <w:szCs w:val="20"/>
              </w:rPr>
              <w:t xml:space="preserve">М.П.</w:t>
            </w:r>
            <w:r>
              <w:rPr>
                <w:sz w:val="20"/>
                <w:szCs w:val="20"/>
              </w:rPr>
            </w:r>
            <w:r>
              <w:rPr>
                <w:sz w:val="20"/>
                <w:szCs w:val="20"/>
              </w:rPr>
            </w:r>
          </w:p>
        </w:tc>
      </w:tr>
    </w:tbl>
    <w:p>
      <w:pPr>
        <w:pStyle w:val="715"/>
        <w:ind w:firstLine="0"/>
        <w:jc w:val="right"/>
        <w:rPr>
          <w:b/>
          <w:sz w:val="20"/>
          <w:szCs w:val="20"/>
        </w:rPr>
        <w:sectPr>
          <w:footnotePr/>
          <w:endnotePr/>
          <w:type w:val="nextPage"/>
          <w:pgSz w:w="11906" w:h="16838" w:orient="portrait"/>
          <w:pgMar w:top="851" w:right="737" w:bottom="851" w:left="1134" w:header="720" w:footer="709" w:gutter="0"/>
          <w:cols w:num="1" w:sep="0" w:space="720" w:equalWidth="1"/>
          <w:docGrid w:linePitch="360"/>
        </w:sectPr>
      </w:pPr>
      <w:r>
        <w:rPr>
          <w:b/>
          <w:sz w:val="20"/>
          <w:szCs w:val="20"/>
        </w:rPr>
      </w:r>
      <w:r>
        <w:rPr>
          <w:b/>
          <w:sz w:val="20"/>
          <w:szCs w:val="20"/>
        </w:rPr>
      </w:r>
    </w:p>
    <w:p>
      <w:pPr>
        <w:pStyle w:val="715"/>
        <w:ind w:firstLine="0"/>
        <w:jc w:val="right"/>
        <w:rPr>
          <w:sz w:val="20"/>
          <w:szCs w:val="20"/>
        </w:rPr>
      </w:pPr>
      <w:r>
        <w:rPr>
          <w:sz w:val="20"/>
          <w:szCs w:val="20"/>
        </w:rPr>
        <w:t xml:space="preserve">Приложение № 1</w:t>
      </w:r>
      <w:r>
        <w:rPr>
          <w:sz w:val="20"/>
          <w:szCs w:val="20"/>
        </w:rPr>
      </w:r>
    </w:p>
    <w:p>
      <w:pPr>
        <w:pStyle w:val="715"/>
        <w:ind w:firstLine="0"/>
        <w:jc w:val="right"/>
        <w:rPr>
          <w:sz w:val="20"/>
          <w:szCs w:val="20"/>
        </w:rPr>
      </w:pPr>
      <w:r>
        <w:rPr>
          <w:sz w:val="20"/>
          <w:szCs w:val="20"/>
        </w:rPr>
        <w:t xml:space="preserve"> к Контракту </w:t>
      </w:r>
      <w:r>
        <w:rPr>
          <w:sz w:val="20"/>
          <w:szCs w:val="20"/>
        </w:rPr>
        <w:t xml:space="preserve"> </w:t>
      </w:r>
      <w:r>
        <w:rPr>
          <w:sz w:val="20"/>
          <w:szCs w:val="20"/>
        </w:rPr>
        <w:t xml:space="preserve">№ </w:t>
      </w:r>
      <w:r>
        <w:rPr>
          <w:sz w:val="20"/>
          <w:szCs w:val="20"/>
        </w:rPr>
        <w:t xml:space="preserve">ОФ-</w:t>
      </w:r>
      <w:r>
        <w:rPr>
          <w:sz w:val="20"/>
          <w:szCs w:val="20"/>
        </w:rPr>
        <w:t xml:space="preserve">15</w:t>
      </w:r>
      <w:r>
        <w:rPr>
          <w:sz w:val="20"/>
          <w:szCs w:val="20"/>
        </w:rPr>
        <w:t xml:space="preserve">-26-___________</w:t>
      </w:r>
      <w:r>
        <w:rPr>
          <w:rFonts w:eastAsia="MS Mincho"/>
          <w:bCs/>
          <w:color w:val="000000"/>
          <w:sz w:val="20"/>
          <w:szCs w:val="20"/>
        </w:rPr>
        <w:t xml:space="preserve">  </w:t>
      </w:r>
      <w:r>
        <w:rPr>
          <w:sz w:val="20"/>
          <w:szCs w:val="20"/>
        </w:rPr>
        <w:t xml:space="preserve">от «</w:t>
      </w:r>
      <w:r>
        <w:rPr>
          <w:sz w:val="20"/>
          <w:szCs w:val="20"/>
        </w:rPr>
        <w:t xml:space="preserve">      </w:t>
      </w:r>
      <w:r>
        <w:rPr>
          <w:sz w:val="20"/>
          <w:szCs w:val="20"/>
        </w:rPr>
        <w:t xml:space="preserve">»</w:t>
      </w:r>
      <w:r>
        <w:rPr>
          <w:sz w:val="20"/>
          <w:szCs w:val="20"/>
        </w:rPr>
        <w:t xml:space="preserve"> </w:t>
      </w:r>
      <w:r>
        <w:rPr>
          <w:sz w:val="20"/>
          <w:szCs w:val="20"/>
        </w:rPr>
        <w:t xml:space="preserve">                   </w:t>
      </w:r>
      <w:r>
        <w:rPr>
          <w:sz w:val="20"/>
          <w:szCs w:val="20"/>
        </w:rPr>
        <w:t xml:space="preserve"> </w:t>
      </w:r>
      <w:r>
        <w:rPr>
          <w:sz w:val="20"/>
          <w:szCs w:val="20"/>
        </w:rPr>
        <w:t xml:space="preserve">202</w:t>
      </w:r>
      <w:r>
        <w:rPr>
          <w:sz w:val="20"/>
          <w:szCs w:val="20"/>
        </w:rPr>
        <w:t xml:space="preserve">6</w:t>
      </w:r>
      <w:r>
        <w:rPr>
          <w:sz w:val="20"/>
          <w:szCs w:val="20"/>
        </w:rPr>
        <w:t xml:space="preserve"> г.</w:t>
      </w:r>
      <w:r>
        <w:rPr>
          <w:sz w:val="20"/>
          <w:szCs w:val="20"/>
        </w:rPr>
      </w:r>
    </w:p>
    <w:p>
      <w:pPr>
        <w:pStyle w:val="715"/>
        <w:ind w:right="23" w:firstLine="0"/>
        <w:jc w:val="center"/>
        <w:spacing w:line="259" w:lineRule="auto"/>
        <w:rPr>
          <w:b/>
          <w:szCs w:val="32"/>
        </w:rPr>
      </w:pPr>
      <w:r>
        <w:rPr>
          <w:b/>
          <w:szCs w:val="32"/>
        </w:rPr>
        <w:t xml:space="preserve">Список застрахованных лиц</w:t>
      </w:r>
      <w:r>
        <w:rPr>
          <w:b/>
          <w:szCs w:val="32"/>
        </w:rPr>
      </w:r>
    </w:p>
    <w:p>
      <w:pPr>
        <w:pStyle w:val="715"/>
        <w:ind w:right="23" w:firstLine="0"/>
        <w:jc w:val="left"/>
        <w:spacing w:line="259" w:lineRule="auto"/>
        <w:rPr>
          <w:b/>
          <w:color w:val="000000"/>
          <w:sz w:val="20"/>
          <w:szCs w:val="20"/>
        </w:rPr>
      </w:pPr>
      <w:r>
        <w:rPr>
          <w:b/>
          <w:sz w:val="22"/>
          <w:szCs w:val="28"/>
        </w:rPr>
        <w:t xml:space="preserve">Страхователь: </w:t>
      </w:r>
      <w:r>
        <w:rPr>
          <w:b/>
          <w:color w:val="000000"/>
          <w:sz w:val="20"/>
          <w:szCs w:val="20"/>
        </w:rPr>
        <w:t xml:space="preserve">ФГБУ «ААНИИ»</w:t>
      </w:r>
      <w:r>
        <w:rPr>
          <w:b/>
          <w:color w:val="000000"/>
          <w:sz w:val="20"/>
          <w:szCs w:val="20"/>
        </w:rPr>
      </w:r>
      <w:r>
        <w:rPr>
          <w:b/>
          <w:color w:val="000000"/>
          <w:sz w:val="20"/>
          <w:szCs w:val="20"/>
        </w:rPr>
      </w:r>
    </w:p>
    <w:tbl>
      <w:tblPr>
        <w:tblW w:w="10679" w:type="dxa"/>
        <w:tblInd w:w="-3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458"/>
        <w:gridCol w:w="441"/>
        <w:gridCol w:w="1842"/>
        <w:gridCol w:w="1134"/>
        <w:gridCol w:w="1134"/>
        <w:gridCol w:w="93"/>
        <w:gridCol w:w="2742"/>
        <w:gridCol w:w="1418"/>
        <w:gridCol w:w="942"/>
        <w:gridCol w:w="4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34"/>
        </w:trPr>
        <w:tc>
          <w:tcPr>
            <w:tcW w:w="441" w:type="dxa"/>
            <w:vAlign w:val="center"/>
            <w:textDirection w:val="lrTb"/>
            <w:noWrap w:val="false"/>
          </w:tcPr>
          <w:p>
            <w:pPr>
              <w:pStyle w:val="715"/>
              <w:ind w:left="-93" w:right="-104" w:firstLine="0"/>
              <w:jc w:val="center"/>
              <w:rPr>
                <w:rFonts w:ascii="Arial" w:hAnsi="Arial" w:cs="Arial"/>
                <w:b/>
                <w:bCs/>
                <w:color w:val="000000"/>
                <w:sz w:val="16"/>
                <w:szCs w:val="16"/>
                <w:lang w:eastAsia="ru-RU"/>
              </w:rPr>
            </w:pPr>
            <w:r>
              <w:rPr>
                <w:rFonts w:ascii="Arial" w:hAnsi="Arial" w:cs="Arial"/>
                <w:b/>
                <w:bCs/>
                <w:color w:val="000000"/>
                <w:sz w:val="16"/>
                <w:szCs w:val="16"/>
                <w:lang w:eastAsia="ru-RU"/>
              </w:rPr>
              <w:t xml:space="preserve">№ п.п.</w:t>
            </w:r>
            <w:r>
              <w:rPr>
                <w:rFonts w:ascii="Arial" w:hAnsi="Arial" w:cs="Arial"/>
                <w:b/>
                <w:bCs/>
                <w:color w:val="000000"/>
                <w:sz w:val="16"/>
                <w:szCs w:val="16"/>
                <w:lang w:eastAsia="ru-RU"/>
              </w:rPr>
            </w:r>
          </w:p>
        </w:tc>
        <w:tc>
          <w:tcPr>
            <w:gridSpan w:val="2"/>
            <w:tcW w:w="1842" w:type="dxa"/>
            <w:vAlign w:val="center"/>
            <w:textDirection w:val="lrTb"/>
            <w:noWrap w:val="false"/>
          </w:tcPr>
          <w:p>
            <w:pPr>
              <w:pStyle w:val="715"/>
              <w:ind w:left="-93" w:right="-104" w:firstLine="0"/>
              <w:jc w:val="center"/>
              <w:rPr>
                <w:rFonts w:ascii="Arial" w:hAnsi="Arial" w:cs="Arial"/>
                <w:b/>
                <w:bCs/>
                <w:color w:val="000000"/>
                <w:sz w:val="16"/>
                <w:szCs w:val="16"/>
                <w:lang w:eastAsia="ru-RU"/>
              </w:rPr>
            </w:pPr>
            <w:r>
              <w:rPr>
                <w:rFonts w:ascii="Arial" w:hAnsi="Arial" w:cs="Arial"/>
                <w:b/>
                <w:bCs/>
                <w:color w:val="000000"/>
                <w:sz w:val="16"/>
                <w:szCs w:val="16"/>
                <w:lang w:eastAsia="ru-RU"/>
              </w:rPr>
              <w:t xml:space="preserve">ФИО</w:t>
            </w:r>
            <w:r>
              <w:rPr>
                <w:rFonts w:ascii="Arial" w:hAnsi="Arial" w:cs="Arial"/>
                <w:b/>
                <w:bCs/>
                <w:color w:val="000000"/>
                <w:sz w:val="16"/>
                <w:szCs w:val="16"/>
                <w:lang w:eastAsia="ru-RU"/>
              </w:rPr>
            </w:r>
          </w:p>
        </w:tc>
        <w:tc>
          <w:tcPr>
            <w:tcW w:w="1134" w:type="dxa"/>
            <w:vAlign w:val="center"/>
            <w:textDirection w:val="lrTb"/>
            <w:noWrap w:val="false"/>
          </w:tcPr>
          <w:p>
            <w:pPr>
              <w:pStyle w:val="715"/>
              <w:ind w:left="-93" w:right="-104" w:firstLine="0"/>
              <w:jc w:val="center"/>
              <w:rPr>
                <w:rFonts w:ascii="Arial" w:hAnsi="Arial" w:cs="Arial"/>
                <w:b/>
                <w:bCs/>
                <w:color w:val="000000"/>
                <w:sz w:val="16"/>
                <w:szCs w:val="16"/>
                <w:lang w:eastAsia="ru-RU"/>
              </w:rPr>
            </w:pPr>
            <w:r>
              <w:rPr>
                <w:rFonts w:ascii="Arial" w:hAnsi="Arial" w:cs="Arial"/>
                <w:b/>
                <w:bCs/>
                <w:color w:val="000000"/>
                <w:sz w:val="16"/>
                <w:szCs w:val="16"/>
                <w:lang w:eastAsia="ru-RU"/>
              </w:rPr>
              <w:t xml:space="preserve">Дата рождения</w:t>
            </w:r>
            <w:r>
              <w:rPr>
                <w:rFonts w:ascii="Arial" w:hAnsi="Arial" w:cs="Arial"/>
                <w:b/>
                <w:bCs/>
                <w:color w:val="000000"/>
                <w:sz w:val="16"/>
                <w:szCs w:val="16"/>
                <w:lang w:eastAsia="ru-RU"/>
              </w:rPr>
            </w:r>
          </w:p>
        </w:tc>
        <w:tc>
          <w:tcPr>
            <w:tcW w:w="1134" w:type="dxa"/>
            <w:vAlign w:val="center"/>
            <w:textDirection w:val="lrTb"/>
            <w:noWrap w:val="false"/>
          </w:tcPr>
          <w:p>
            <w:pPr>
              <w:pStyle w:val="715"/>
              <w:ind w:left="-93" w:right="-104" w:firstLine="0"/>
              <w:jc w:val="center"/>
              <w:rPr>
                <w:rFonts w:ascii="Arial" w:hAnsi="Arial" w:cs="Arial"/>
                <w:b/>
                <w:bCs/>
                <w:color w:val="000000"/>
                <w:sz w:val="16"/>
                <w:szCs w:val="16"/>
                <w:lang w:eastAsia="ru-RU"/>
              </w:rPr>
            </w:pPr>
            <w:r>
              <w:rPr>
                <w:rFonts w:ascii="Arial" w:hAnsi="Arial" w:cs="Arial"/>
                <w:b/>
                <w:bCs/>
                <w:color w:val="000000"/>
                <w:sz w:val="16"/>
                <w:szCs w:val="16"/>
                <w:lang w:eastAsia="ru-RU"/>
              </w:rPr>
              <w:t xml:space="preserve">Территория страхования</w:t>
            </w:r>
            <w:r>
              <w:rPr>
                <w:rFonts w:ascii="Arial" w:hAnsi="Arial" w:cs="Arial"/>
                <w:b/>
                <w:bCs/>
                <w:color w:val="000000"/>
                <w:sz w:val="16"/>
                <w:szCs w:val="16"/>
                <w:lang w:eastAsia="ru-RU"/>
              </w:rPr>
            </w:r>
          </w:p>
        </w:tc>
        <w:tc>
          <w:tcPr>
            <w:gridSpan w:val="2"/>
            <w:tcW w:w="2835" w:type="dxa"/>
            <w:vAlign w:val="center"/>
            <w:textDirection w:val="lrTb"/>
            <w:noWrap w:val="false"/>
          </w:tcPr>
          <w:p>
            <w:pPr>
              <w:pStyle w:val="715"/>
              <w:ind w:left="-93" w:right="-104" w:firstLine="0"/>
              <w:jc w:val="center"/>
              <w:rPr>
                <w:rFonts w:ascii="Arial" w:hAnsi="Arial" w:cs="Arial"/>
                <w:b/>
                <w:bCs/>
                <w:color w:val="000000"/>
                <w:sz w:val="16"/>
                <w:szCs w:val="16"/>
                <w:lang w:eastAsia="ru-RU"/>
              </w:rPr>
            </w:pPr>
            <w:r>
              <w:rPr>
                <w:rFonts w:ascii="Arial" w:hAnsi="Arial" w:cs="Arial"/>
                <w:b/>
                <w:bCs/>
                <w:color w:val="000000"/>
                <w:sz w:val="16"/>
                <w:szCs w:val="16"/>
                <w:lang w:eastAsia="ru-RU"/>
              </w:rPr>
            </w:r>
            <w:r>
              <w:rPr>
                <w:rFonts w:ascii="Arial" w:hAnsi="Arial" w:cs="Arial"/>
                <w:b/>
                <w:bCs/>
                <w:color w:val="000000"/>
                <w:sz w:val="16"/>
                <w:szCs w:val="16"/>
                <w:lang w:eastAsia="ru-RU"/>
              </w:rPr>
            </w:r>
          </w:p>
          <w:p>
            <w:pPr>
              <w:pStyle w:val="715"/>
              <w:ind w:left="-93" w:right="-104" w:firstLine="0"/>
              <w:jc w:val="center"/>
              <w:rPr>
                <w:rFonts w:ascii="Arial" w:hAnsi="Arial" w:cs="Arial"/>
                <w:b/>
                <w:bCs/>
                <w:color w:val="000000"/>
                <w:sz w:val="16"/>
                <w:szCs w:val="16"/>
                <w:lang w:eastAsia="ru-RU"/>
              </w:rPr>
            </w:pPr>
            <w:r>
              <w:rPr>
                <w:rFonts w:ascii="Arial" w:hAnsi="Arial" w:cs="Arial"/>
                <w:b/>
                <w:bCs/>
                <w:color w:val="000000"/>
                <w:sz w:val="16"/>
                <w:szCs w:val="16"/>
                <w:lang w:eastAsia="ru-RU"/>
              </w:rPr>
              <w:t xml:space="preserve">Срок страхования</w:t>
            </w:r>
            <w:r>
              <w:rPr>
                <w:rFonts w:ascii="Arial" w:hAnsi="Arial" w:cs="Arial"/>
                <w:b/>
                <w:bCs/>
                <w:color w:val="000000"/>
                <w:sz w:val="16"/>
                <w:szCs w:val="16"/>
                <w:lang w:eastAsia="ru-RU"/>
              </w:rPr>
            </w:r>
          </w:p>
        </w:tc>
        <w:tc>
          <w:tcPr>
            <w:tcW w:w="1418" w:type="dxa"/>
            <w:vAlign w:val="top"/>
            <w:textDirection w:val="lrTb"/>
            <w:noWrap w:val="false"/>
          </w:tcPr>
          <w:p>
            <w:pPr>
              <w:pStyle w:val="715"/>
              <w:ind w:left="-93" w:right="-104" w:firstLine="0"/>
              <w:jc w:val="center"/>
              <w:rPr>
                <w:rFonts w:ascii="Arial" w:hAnsi="Arial" w:cs="Arial"/>
                <w:b/>
                <w:bCs/>
                <w:color w:val="000000"/>
                <w:sz w:val="16"/>
                <w:szCs w:val="16"/>
                <w:lang w:eastAsia="ru-RU"/>
              </w:rPr>
            </w:pPr>
            <w:r>
              <w:rPr>
                <w:rFonts w:ascii="Arial" w:hAnsi="Arial" w:cs="Arial"/>
                <w:b/>
                <w:bCs/>
                <w:color w:val="000000"/>
                <w:sz w:val="16"/>
                <w:szCs w:val="16"/>
                <w:lang w:eastAsia="ru-RU"/>
              </w:rPr>
              <w:t xml:space="preserve">Страховая сумма на одно (каждое) Застрахованное лицо, руб.</w:t>
            </w:r>
            <w:r>
              <w:rPr>
                <w:rFonts w:ascii="Arial" w:hAnsi="Arial" w:cs="Arial"/>
                <w:b/>
                <w:bCs/>
                <w:color w:val="000000"/>
                <w:sz w:val="16"/>
                <w:szCs w:val="16"/>
                <w:lang w:eastAsia="ru-RU"/>
              </w:rPr>
            </w:r>
          </w:p>
        </w:tc>
        <w:tc>
          <w:tcPr>
            <w:gridSpan w:val="2"/>
            <w:tcW w:w="1417" w:type="dxa"/>
            <w:vAlign w:val="center"/>
            <w:textDirection w:val="lrTb"/>
            <w:noWrap w:val="false"/>
          </w:tcPr>
          <w:p>
            <w:pPr>
              <w:pStyle w:val="715"/>
              <w:ind w:left="-93" w:right="-104" w:firstLine="0"/>
              <w:jc w:val="center"/>
              <w:rPr>
                <w:rFonts w:ascii="Arial" w:hAnsi="Arial" w:cs="Arial"/>
                <w:b/>
                <w:bCs/>
                <w:color w:val="000000"/>
                <w:sz w:val="16"/>
                <w:szCs w:val="16"/>
                <w:lang w:eastAsia="ru-RU"/>
              </w:rPr>
            </w:pPr>
            <w:r>
              <w:rPr>
                <w:rFonts w:ascii="Arial" w:hAnsi="Arial" w:cs="Arial"/>
                <w:b/>
                <w:bCs/>
                <w:color w:val="000000"/>
                <w:sz w:val="16"/>
                <w:szCs w:val="16"/>
                <w:lang w:eastAsia="ru-RU"/>
              </w:rPr>
              <w:t xml:space="preserve">Страховая премия на одно (каждое) Застрахованное лицо, руб.</w:t>
            </w:r>
            <w:r>
              <w:rPr>
                <w:rFonts w:ascii="Arial" w:hAnsi="Arial" w:cs="Arial"/>
                <w:b/>
                <w:bCs/>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top"/>
            <w:textDirection w:val="lrTb"/>
            <w:noWrap w:val="false"/>
          </w:tcPr>
          <w:p>
            <w:pPr>
              <w:pStyle w:val="715"/>
              <w:ind w:firstLine="0"/>
              <w:jc w:val="left"/>
            </w:pPr>
            <w:r>
              <w:rPr>
                <w:rFonts w:cs="Arial"/>
                <w:sz w:val="20"/>
                <w:szCs w:val="20"/>
                <w:lang w:eastAsia="ru-RU"/>
              </w:rPr>
              <w:t xml:space="preserve">Заполняется после подписания контракта</w:t>
            </w:r>
            <w:r/>
          </w:p>
        </w:tc>
        <w:tc>
          <w:tcPr>
            <w:tcW w:w="1134" w:type="dxa"/>
            <w:vAlign w:val="center"/>
            <w:textDirection w:val="lrTb"/>
            <w:noWrap w:val="false"/>
          </w:tcPr>
          <w:p>
            <w:pPr>
              <w:pStyle w:val="715"/>
              <w:ind w:firstLine="0"/>
              <w:jc w:val="left"/>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restart"/>
            <w:textDirection w:val="lrTb"/>
            <w:noWrap w:val="false"/>
          </w:tcPr>
          <w:p>
            <w:pPr>
              <w:pStyle w:val="715"/>
              <w:ind w:left="34" w:hanging="15"/>
              <w:jc w:val="center"/>
              <w:rPr>
                <w:color w:val="000000"/>
                <w:sz w:val="16"/>
                <w:szCs w:val="16"/>
                <w:lang w:eastAsia="ru-RU"/>
              </w:rPr>
            </w:pPr>
            <w:r>
              <w:rPr>
                <w:color w:val="000000"/>
                <w:sz w:val="16"/>
                <w:szCs w:val="16"/>
                <w:lang w:eastAsia="ru-RU"/>
              </w:rPr>
              <w:t xml:space="preserve">с 00 час. 00 мин. </w:t>
            </w:r>
            <w:r>
              <w:rPr>
                <w:color w:val="000000"/>
                <w:sz w:val="16"/>
                <w:szCs w:val="16"/>
                <w:lang w:eastAsia="ru-RU"/>
              </w:rPr>
              <w:t xml:space="preserve">01</w:t>
            </w:r>
            <w:r>
              <w:rPr>
                <w:color w:val="000000"/>
                <w:sz w:val="16"/>
                <w:szCs w:val="16"/>
                <w:lang w:eastAsia="ru-RU"/>
              </w:rPr>
              <w:t xml:space="preserve"> </w:t>
            </w:r>
            <w:r>
              <w:rPr>
                <w:color w:val="000000"/>
                <w:sz w:val="16"/>
                <w:szCs w:val="16"/>
                <w:lang w:eastAsia="ru-RU"/>
              </w:rPr>
              <w:t xml:space="preserve">ноября</w:t>
            </w:r>
            <w:r>
              <w:rPr>
                <w:color w:val="000000"/>
                <w:sz w:val="16"/>
                <w:szCs w:val="16"/>
                <w:lang w:eastAsia="ru-RU"/>
              </w:rPr>
              <w:t xml:space="preserve"> 2026 г. до 24 час. 00 мин. </w:t>
            </w:r>
            <w:r>
              <w:rPr>
                <w:color w:val="000000"/>
                <w:sz w:val="16"/>
                <w:szCs w:val="16"/>
                <w:lang w:eastAsia="ru-RU"/>
              </w:rPr>
              <w:t xml:space="preserve">31</w:t>
            </w:r>
            <w:r>
              <w:rPr>
                <w:color w:val="000000"/>
                <w:sz w:val="16"/>
                <w:szCs w:val="16"/>
                <w:lang w:eastAsia="ru-RU"/>
              </w:rPr>
              <w:t xml:space="preserve"> </w:t>
            </w:r>
            <w:r>
              <w:rPr>
                <w:color w:val="000000"/>
                <w:sz w:val="16"/>
                <w:szCs w:val="16"/>
                <w:lang w:eastAsia="ru-RU"/>
              </w:rPr>
              <w:t xml:space="preserve">мая</w:t>
            </w:r>
            <w:r>
              <w:rPr>
                <w:color w:val="000000"/>
                <w:sz w:val="16"/>
                <w:szCs w:val="16"/>
                <w:lang w:eastAsia="ru-RU"/>
              </w:rPr>
              <w:t xml:space="preserve"> 202</w:t>
            </w:r>
            <w:r>
              <w:rPr>
                <w:color w:val="000000"/>
                <w:sz w:val="16"/>
                <w:szCs w:val="16"/>
                <w:lang w:eastAsia="ru-RU"/>
              </w:rPr>
              <w:t xml:space="preserve">7</w:t>
            </w:r>
            <w:r>
              <w:rPr>
                <w:color w:val="000000"/>
                <w:sz w:val="16"/>
                <w:szCs w:val="16"/>
                <w:lang w:eastAsia="ru-RU"/>
              </w:rPr>
              <w:t xml:space="preserve"> г.</w:t>
            </w:r>
            <w:r>
              <w:rPr>
                <w:color w:val="000000"/>
                <w:sz w:val="16"/>
                <w:szCs w:val="16"/>
                <w:lang w:eastAsia="ru-RU"/>
              </w:rPr>
            </w:r>
          </w:p>
          <w:p>
            <w:pPr>
              <w:pStyle w:val="715"/>
              <w:ind w:left="-93" w:right="-104"/>
              <w:jc w:val="center"/>
              <w:rPr>
                <w:color w:val="000000"/>
                <w:sz w:val="16"/>
                <w:szCs w:val="16"/>
                <w:lang w:eastAsia="ru-RU"/>
              </w:rPr>
            </w:pPr>
            <w:r>
              <w:rPr>
                <w:color w:val="000000"/>
                <w:sz w:val="16"/>
                <w:szCs w:val="16"/>
                <w:lang w:eastAsia="ru-RU"/>
              </w:rPr>
            </w:r>
            <w:r>
              <w:rPr>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75"/>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jc w:val="left"/>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7"/>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jc w:val="left"/>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jc w:val="left"/>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jc w:val="left"/>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Borders>
              <w:top w:val="none" w:color="000000" w:sz="4" w:space="0"/>
            </w:tcBorders>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Borders>
              <w:top w:val="none" w:color="000000" w:sz="4" w:space="0"/>
            </w:tcBorders>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Borders>
              <w:top w:val="none" w:color="000000" w:sz="4" w:space="0"/>
            </w:tcBorders>
            <w:tcW w:w="1134" w:type="dxa"/>
            <w:vAlign w:val="center"/>
            <w:textDirection w:val="lrTb"/>
            <w:noWrap w:val="false"/>
          </w:tcPr>
          <w:p>
            <w:pPr>
              <w:pStyle w:val="715"/>
              <w:ind w:firstLine="0"/>
              <w:rPr>
                <w:sz w:val="18"/>
                <w:szCs w:val="18"/>
              </w:rPr>
            </w:pPr>
            <w:r>
              <w:rPr>
                <w:sz w:val="18"/>
                <w:szCs w:val="18"/>
              </w:rPr>
            </w:r>
            <w:r>
              <w:rPr>
                <w:sz w:val="18"/>
                <w:szCs w:val="18"/>
              </w:rPr>
            </w:r>
          </w:p>
        </w:tc>
        <w:tc>
          <w:tcPr>
            <w:tcBorders>
              <w:top w:val="none" w:color="000000" w:sz="4" w:space="0"/>
            </w:tcBorders>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Borders>
              <w:top w:val="none" w:color="000000" w:sz="4" w:space="0"/>
            </w:tcBorders>
            <w:tcW w:w="2835" w:type="dxa"/>
            <w:vAlign w:val="center"/>
            <w:vMerge w:val="restart"/>
            <w:textDirection w:val="lrTb"/>
            <w:noWrap w:val="false"/>
          </w:tcPr>
          <w:p>
            <w:pPr>
              <w:pStyle w:val="715"/>
              <w:ind w:left="34" w:hanging="15"/>
              <w:jc w:val="center"/>
              <w:rPr>
                <w:color w:val="000000"/>
                <w:sz w:val="16"/>
                <w:szCs w:val="16"/>
                <w:lang w:eastAsia="ru-RU"/>
              </w:rPr>
            </w:pPr>
            <w:r>
              <w:rPr>
                <w:color w:val="000000"/>
                <w:sz w:val="16"/>
                <w:szCs w:val="16"/>
                <w:lang w:eastAsia="ru-RU"/>
              </w:rPr>
              <w:t xml:space="preserve">с 00 час. 00 мин. </w:t>
            </w:r>
            <w:r>
              <w:rPr>
                <w:color w:val="000000"/>
                <w:sz w:val="16"/>
                <w:szCs w:val="16"/>
                <w:lang w:eastAsia="ru-RU"/>
              </w:rPr>
              <w:t xml:space="preserve">01</w:t>
            </w:r>
            <w:r>
              <w:rPr>
                <w:color w:val="000000"/>
                <w:sz w:val="16"/>
                <w:szCs w:val="16"/>
                <w:lang w:eastAsia="ru-RU"/>
              </w:rPr>
              <w:t xml:space="preserve"> </w:t>
            </w:r>
            <w:r>
              <w:rPr>
                <w:color w:val="000000"/>
                <w:sz w:val="16"/>
                <w:szCs w:val="16"/>
                <w:lang w:eastAsia="ru-RU"/>
              </w:rPr>
              <w:t xml:space="preserve">ноября</w:t>
            </w:r>
            <w:r>
              <w:rPr>
                <w:color w:val="000000"/>
                <w:sz w:val="16"/>
                <w:szCs w:val="16"/>
                <w:lang w:eastAsia="ru-RU"/>
              </w:rPr>
              <w:t xml:space="preserve"> 2026 г. до 24 час. 00 мин. </w:t>
            </w:r>
            <w:r>
              <w:rPr>
                <w:color w:val="000000"/>
                <w:sz w:val="16"/>
                <w:szCs w:val="16"/>
                <w:lang w:eastAsia="ru-RU"/>
              </w:rPr>
              <w:t xml:space="preserve">31</w:t>
            </w:r>
            <w:r>
              <w:rPr>
                <w:color w:val="000000"/>
                <w:sz w:val="16"/>
                <w:szCs w:val="16"/>
                <w:lang w:eastAsia="ru-RU"/>
              </w:rPr>
              <w:t xml:space="preserve"> </w:t>
            </w:r>
            <w:r>
              <w:rPr>
                <w:color w:val="000000"/>
                <w:sz w:val="16"/>
                <w:szCs w:val="16"/>
                <w:lang w:eastAsia="ru-RU"/>
              </w:rPr>
              <w:t xml:space="preserve">мая</w:t>
            </w:r>
            <w:r>
              <w:rPr>
                <w:color w:val="000000"/>
                <w:sz w:val="16"/>
                <w:szCs w:val="16"/>
                <w:lang w:eastAsia="ru-RU"/>
              </w:rPr>
              <w:t xml:space="preserve"> 202</w:t>
            </w:r>
            <w:r>
              <w:rPr>
                <w:color w:val="000000"/>
                <w:sz w:val="16"/>
                <w:szCs w:val="16"/>
                <w:lang w:eastAsia="ru-RU"/>
              </w:rPr>
              <w:t xml:space="preserve">7</w:t>
            </w:r>
            <w:r>
              <w:rPr>
                <w:color w:val="000000"/>
                <w:sz w:val="16"/>
                <w:szCs w:val="16"/>
                <w:lang w:eastAsia="ru-RU"/>
              </w:rPr>
              <w:t xml:space="preserve"> г.</w:t>
            </w:r>
            <w:r>
              <w:rPr>
                <w:color w:val="000000"/>
                <w:sz w:val="16"/>
                <w:szCs w:val="16"/>
                <w:lang w:eastAsia="ru-RU"/>
              </w:rPr>
            </w:r>
          </w:p>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441" w:type="dxa"/>
            <w:vAlign w:val="center"/>
            <w:textDirection w:val="lrTb"/>
            <w:noWrap w:val="false"/>
          </w:tcPr>
          <w:p>
            <w:pPr>
              <w:pStyle w:val="715"/>
              <w:numPr>
                <w:ilvl w:val="0"/>
                <w:numId w:val="7"/>
              </w:numPr>
              <w:ind w:right="-104"/>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gridSpan w:val="2"/>
            <w:tcW w:w="1842" w:type="dxa"/>
            <w:vAlign w:val="center"/>
            <w:textDirection w:val="lrTb"/>
            <w:noWrap w:val="false"/>
          </w:tcPr>
          <w:p>
            <w:pPr>
              <w:pStyle w:val="715"/>
              <w:ind w:right="-108" w:firstLine="0"/>
              <w:jc w:val="left"/>
              <w:rPr>
                <w:sz w:val="18"/>
                <w:szCs w:val="18"/>
              </w:rPr>
            </w:pPr>
            <w:r>
              <w:rPr>
                <w:rFonts w:cs="Arial"/>
                <w:sz w:val="20"/>
                <w:szCs w:val="20"/>
                <w:lang w:eastAsia="ru-RU"/>
              </w:rPr>
              <w:t xml:space="preserve">Заполняется после подписания контракта</w:t>
            </w:r>
            <w:r>
              <w:rPr>
                <w:sz w:val="18"/>
                <w:szCs w:val="18"/>
              </w:rPr>
            </w:r>
            <w:r>
              <w:rPr>
                <w:sz w:val="18"/>
                <w:szCs w:val="18"/>
              </w:rPr>
            </w:r>
          </w:p>
        </w:tc>
        <w:tc>
          <w:tcPr>
            <w:tcW w:w="1134" w:type="dxa"/>
            <w:vAlign w:val="center"/>
            <w:textDirection w:val="lrTb"/>
            <w:noWrap w:val="false"/>
          </w:tcPr>
          <w:p>
            <w:pPr>
              <w:pStyle w:val="715"/>
              <w:ind w:firstLine="0"/>
              <w:rPr>
                <w:sz w:val="18"/>
                <w:szCs w:val="18"/>
              </w:rPr>
            </w:pPr>
            <w:r>
              <w:rPr>
                <w:sz w:val="18"/>
                <w:szCs w:val="18"/>
              </w:rPr>
            </w:r>
            <w:r>
              <w:rPr>
                <w:sz w:val="18"/>
                <w:szCs w:val="18"/>
              </w:rPr>
            </w:r>
          </w:p>
        </w:tc>
        <w:tc>
          <w:tcPr>
            <w:tcW w:w="1134"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t xml:space="preserve">Весь мир</w:t>
            </w:r>
            <w:r>
              <w:rPr>
                <w:rFonts w:ascii="Arial" w:hAnsi="Arial" w:cs="Arial"/>
                <w:color w:val="000000"/>
                <w:sz w:val="16"/>
                <w:szCs w:val="16"/>
                <w:lang w:eastAsia="ru-RU"/>
              </w:rPr>
            </w:r>
          </w:p>
        </w:tc>
        <w:tc>
          <w:tcPr>
            <w:gridSpan w:val="2"/>
            <w:tcW w:w="2835" w:type="dxa"/>
            <w:vAlign w:val="center"/>
            <w:vMerge w:val="continue"/>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c>
          <w:tcPr>
            <w:tcW w:w="1418" w:type="dxa"/>
            <w:vAlign w:val="center"/>
            <w:textDirection w:val="lrTb"/>
            <w:noWrap w:val="false"/>
          </w:tcPr>
          <w:p>
            <w:r/>
            <w:r/>
          </w:p>
        </w:tc>
        <w:tc>
          <w:tcPr>
            <w:gridSpan w:val="2"/>
            <w:tcW w:w="1417" w:type="dxa"/>
            <w:vAlign w:val="center"/>
            <w:textDirection w:val="lrTb"/>
            <w:noWrap w:val="false"/>
          </w:tcPr>
          <w:p>
            <w:pPr>
              <w:pStyle w:val="715"/>
              <w:ind w:left="-93" w:right="-104" w:firstLine="0"/>
              <w:jc w:val="center"/>
              <w:rPr>
                <w:rFonts w:ascii="Arial" w:hAnsi="Arial" w:cs="Arial"/>
                <w:color w:val="000000"/>
                <w:sz w:val="16"/>
                <w:szCs w:val="16"/>
                <w:lang w:eastAsia="ru-RU"/>
              </w:rPr>
            </w:pPr>
            <w:r>
              <w:rPr>
                <w:rFonts w:ascii="Arial" w:hAnsi="Arial" w:cs="Arial"/>
                <w:color w:val="000000"/>
                <w:sz w:val="16"/>
                <w:szCs w:val="16"/>
                <w:lang w:eastAsia="ru-RU"/>
              </w:rPr>
            </w:r>
            <w:r>
              <w:rPr>
                <w:rFonts w:ascii="Arial" w:hAnsi="Arial" w:cs="Arial"/>
                <w:color w:val="000000"/>
                <w:sz w:val="16"/>
                <w:szCs w:val="16"/>
                <w:lang w:eastAsia="ru-RU"/>
              </w:rPr>
            </w:r>
          </w:p>
        </w:tc>
      </w:tr>
      <w:tr>
        <w:tblPrEx/>
        <w:trPr>
          <w:gridAfter w:val="1"/>
          <w:trHeight w:val="1703"/>
        </w:trPr>
        <w:tc>
          <w:tcPr>
            <w:gridSpan w:val="6"/>
            <w:tcBorders>
              <w:top w:val="none" w:color="000000" w:sz="0" w:space="0"/>
              <w:left w:val="none" w:color="000000" w:sz="0" w:space="0"/>
              <w:bottom w:val="none" w:color="000000" w:sz="0" w:space="0"/>
              <w:right w:val="none" w:color="000000" w:sz="0" w:space="0"/>
            </w:tcBorders>
            <w:tcW w:w="5102" w:type="dxa"/>
            <w:vAlign w:val="top"/>
            <w:textDirection w:val="lrTb"/>
            <w:noWrap w:val="false"/>
          </w:tcPr>
          <w:p>
            <w:pPr>
              <w:pStyle w:val="715"/>
              <w:ind w:firstLine="0"/>
              <w:jc w:val="left"/>
              <w:rPr>
                <w:color w:val="000000"/>
                <w:sz w:val="22"/>
                <w:szCs w:val="22"/>
                <w:u w:val="single"/>
              </w:rPr>
            </w:pPr>
            <w:r>
              <w:rPr>
                <w:color w:val="000000"/>
                <w:sz w:val="22"/>
                <w:szCs w:val="22"/>
                <w:u w:val="single"/>
              </w:rPr>
            </w:r>
            <w:r>
              <w:rPr>
                <w:color w:val="000000"/>
                <w:sz w:val="22"/>
                <w:szCs w:val="22"/>
                <w:u w:val="single"/>
              </w:rPr>
            </w:r>
          </w:p>
          <w:p>
            <w:pPr>
              <w:pStyle w:val="715"/>
              <w:ind w:firstLine="0"/>
              <w:jc w:val="left"/>
              <w:rPr>
                <w:color w:val="000000"/>
                <w:sz w:val="22"/>
                <w:szCs w:val="22"/>
                <w:u w:val="single"/>
              </w:rPr>
            </w:pPr>
            <w:r>
              <w:rPr>
                <w:color w:val="000000"/>
                <w:sz w:val="22"/>
                <w:szCs w:val="22"/>
                <w:u w:val="single"/>
              </w:rPr>
              <w:t xml:space="preserve">От имени Страхователя:</w:t>
            </w:r>
            <w:r>
              <w:rPr>
                <w:color w:val="000000"/>
                <w:sz w:val="22"/>
                <w:szCs w:val="22"/>
                <w:u w:val="single"/>
              </w:rPr>
            </w:r>
          </w:p>
          <w:p>
            <w:pPr>
              <w:pStyle w:val="715"/>
              <w:ind w:firstLine="284"/>
              <w:rPr>
                <w:color w:val="000000"/>
                <w:spacing w:val="-4"/>
                <w:sz w:val="20"/>
                <w:szCs w:val="20"/>
              </w:rPr>
            </w:pPr>
            <w:r>
              <w:rPr>
                <w:color w:val="000000"/>
                <w:spacing w:val="-4"/>
                <w:sz w:val="20"/>
                <w:szCs w:val="20"/>
              </w:rPr>
            </w:r>
            <w:r>
              <w:rPr>
                <w:color w:val="000000"/>
                <w:spacing w:val="-4"/>
                <w:sz w:val="20"/>
                <w:szCs w:val="20"/>
              </w:rPr>
            </w:r>
          </w:p>
          <w:p>
            <w:pPr>
              <w:pStyle w:val="715"/>
              <w:ind w:firstLine="0"/>
              <w:rPr>
                <w:color w:val="000000"/>
                <w:spacing w:val="-4"/>
                <w:sz w:val="20"/>
                <w:szCs w:val="20"/>
              </w:rPr>
            </w:pPr>
            <w:r>
              <w:rPr>
                <w:color w:val="000000"/>
                <w:spacing w:val="-4"/>
                <w:sz w:val="20"/>
                <w:szCs w:val="20"/>
              </w:rPr>
            </w:r>
            <w:r>
              <w:rPr>
                <w:color w:val="000000"/>
                <w:spacing w:val="-4"/>
                <w:sz w:val="20"/>
                <w:szCs w:val="20"/>
              </w:rPr>
            </w:r>
          </w:p>
          <w:p>
            <w:pPr>
              <w:pStyle w:val="715"/>
              <w:ind w:firstLine="0"/>
              <w:jc w:val="left"/>
              <w:rPr>
                <w:color w:val="000000"/>
                <w:sz w:val="20"/>
                <w:szCs w:val="20"/>
              </w:rPr>
            </w:pPr>
            <w:r>
              <w:rPr>
                <w:color w:val="000000"/>
                <w:spacing w:val="-4"/>
                <w:sz w:val="20"/>
                <w:szCs w:val="20"/>
              </w:rPr>
              <w:t xml:space="preserve">_________________ /</w:t>
            </w:r>
            <w:r>
              <w:rPr>
                <w:color w:val="000000"/>
                <w:spacing w:val="-4"/>
                <w:sz w:val="20"/>
                <w:szCs w:val="20"/>
              </w:rPr>
              <w:t xml:space="preserve">_______________</w:t>
            </w:r>
            <w:r>
              <w:rPr>
                <w:color w:val="000000"/>
                <w:spacing w:val="-4"/>
                <w:sz w:val="20"/>
                <w:szCs w:val="20"/>
              </w:rPr>
              <w:t xml:space="preserve">/</w:t>
            </w:r>
            <w:r>
              <w:rPr>
                <w:color w:val="000000"/>
                <w:sz w:val="20"/>
                <w:szCs w:val="20"/>
              </w:rPr>
            </w:r>
            <w:r>
              <w:rPr>
                <w:color w:val="000000"/>
                <w:sz w:val="20"/>
                <w:szCs w:val="20"/>
              </w:rPr>
            </w:r>
          </w:p>
          <w:p>
            <w:pPr>
              <w:pStyle w:val="715"/>
              <w:ind w:firstLine="0"/>
              <w:jc w:val="left"/>
              <w:rPr>
                <w:color w:val="000000"/>
                <w:sz w:val="22"/>
                <w:szCs w:val="22"/>
                <w:u w:val="single"/>
              </w:rPr>
            </w:pPr>
            <w:r>
              <w:rPr>
                <w:color w:val="000000"/>
                <w:sz w:val="22"/>
                <w:szCs w:val="22"/>
              </w:rPr>
              <w:t xml:space="preserve">М.П.</w:t>
            </w:r>
            <w:r>
              <w:rPr>
                <w:color w:val="000000"/>
                <w:sz w:val="22"/>
                <w:szCs w:val="22"/>
                <w:u w:val="single"/>
              </w:rPr>
            </w:r>
            <w:r>
              <w:rPr>
                <w:color w:val="000000"/>
                <w:sz w:val="22"/>
                <w:szCs w:val="22"/>
                <w:u w:val="single"/>
              </w:rPr>
            </w:r>
          </w:p>
        </w:tc>
        <w:tc>
          <w:tcPr>
            <w:gridSpan w:val="3"/>
            <w:tcBorders>
              <w:top w:val="none" w:color="000000" w:sz="0" w:space="0"/>
              <w:left w:val="none" w:color="000000" w:sz="0" w:space="0"/>
              <w:bottom w:val="none" w:color="000000" w:sz="0" w:space="0"/>
              <w:right w:val="none" w:color="000000" w:sz="0" w:space="0"/>
            </w:tcBorders>
            <w:tcW w:w="5102" w:type="dxa"/>
            <w:vAlign w:val="top"/>
            <w:textDirection w:val="lrTb"/>
            <w:noWrap w:val="false"/>
          </w:tcPr>
          <w:p>
            <w:pPr>
              <w:pStyle w:val="715"/>
              <w:ind w:firstLine="0"/>
              <w:rPr>
                <w:color w:val="000000"/>
                <w:sz w:val="22"/>
                <w:szCs w:val="22"/>
                <w:u w:val="single"/>
              </w:rPr>
            </w:pPr>
            <w:r>
              <w:rPr>
                <w:color w:val="000000"/>
                <w:sz w:val="22"/>
                <w:szCs w:val="22"/>
                <w:u w:val="single"/>
              </w:rPr>
            </w:r>
            <w:r>
              <w:rPr>
                <w:color w:val="000000"/>
                <w:sz w:val="22"/>
                <w:szCs w:val="22"/>
                <w:u w:val="single"/>
              </w:rPr>
            </w:r>
          </w:p>
          <w:p>
            <w:pPr>
              <w:pStyle w:val="715"/>
              <w:ind w:firstLine="0"/>
              <w:rPr>
                <w:sz w:val="22"/>
                <w:szCs w:val="22"/>
                <w:u w:val="single"/>
              </w:rPr>
            </w:pPr>
            <w:r>
              <w:rPr>
                <w:color w:val="000000"/>
                <w:sz w:val="22"/>
                <w:szCs w:val="22"/>
                <w:u w:val="single"/>
              </w:rPr>
              <w:t xml:space="preserve">От имени Страховщика:</w:t>
            </w:r>
            <w:r>
              <w:rPr>
                <w:sz w:val="22"/>
                <w:szCs w:val="22"/>
                <w:u w:val="single"/>
              </w:rPr>
            </w:r>
            <w:r>
              <w:rPr>
                <w:sz w:val="22"/>
                <w:szCs w:val="22"/>
                <w:u w:val="single"/>
              </w:rPr>
            </w:r>
          </w:p>
          <w:p>
            <w:pPr>
              <w:pStyle w:val="715"/>
              <w:ind w:firstLine="0"/>
              <w:rPr>
                <w:sz w:val="22"/>
                <w:szCs w:val="22"/>
              </w:rPr>
            </w:pPr>
            <w:r>
              <w:rPr>
                <w:sz w:val="22"/>
                <w:szCs w:val="22"/>
              </w:rPr>
            </w:r>
            <w:r>
              <w:rPr>
                <w:sz w:val="22"/>
                <w:szCs w:val="22"/>
              </w:rPr>
            </w:r>
          </w:p>
          <w:p>
            <w:pPr>
              <w:pStyle w:val="715"/>
              <w:ind w:firstLine="0"/>
              <w:rPr>
                <w:color w:val="000000"/>
                <w:spacing w:val="-4"/>
                <w:sz w:val="20"/>
                <w:szCs w:val="20"/>
              </w:rPr>
            </w:pPr>
            <w:r>
              <w:rPr>
                <w:color w:val="000000"/>
                <w:spacing w:val="-4"/>
                <w:sz w:val="20"/>
                <w:szCs w:val="20"/>
              </w:rPr>
            </w:r>
            <w:r>
              <w:rPr>
                <w:color w:val="000000"/>
                <w:spacing w:val="-4"/>
                <w:sz w:val="20"/>
                <w:szCs w:val="20"/>
              </w:rPr>
            </w:r>
          </w:p>
          <w:p>
            <w:pPr>
              <w:pStyle w:val="715"/>
              <w:ind w:firstLine="0"/>
              <w:rPr>
                <w:color w:val="000000"/>
                <w:spacing w:val="-4"/>
                <w:sz w:val="20"/>
                <w:szCs w:val="20"/>
              </w:rPr>
            </w:pPr>
            <w:r>
              <w:rPr>
                <w:color w:val="000000"/>
                <w:spacing w:val="-4"/>
                <w:sz w:val="20"/>
                <w:szCs w:val="20"/>
              </w:rPr>
              <w:t xml:space="preserve">_________________ /</w:t>
            </w:r>
            <w:r>
              <w:rPr>
                <w:color w:val="000000"/>
                <w:spacing w:val="-4"/>
                <w:sz w:val="20"/>
                <w:szCs w:val="20"/>
              </w:rPr>
              <w:t xml:space="preserve">___________________</w:t>
            </w:r>
            <w:r>
              <w:rPr>
                <w:color w:val="000000"/>
                <w:spacing w:val="-4"/>
                <w:sz w:val="20"/>
                <w:szCs w:val="20"/>
              </w:rPr>
              <w:t xml:space="preserve">/</w:t>
            </w:r>
            <w:r>
              <w:rPr>
                <w:color w:val="000000"/>
                <w:spacing w:val="-4"/>
                <w:sz w:val="20"/>
                <w:szCs w:val="20"/>
              </w:rPr>
            </w:r>
          </w:p>
          <w:p>
            <w:pPr>
              <w:pStyle w:val="715"/>
              <w:ind w:firstLine="6"/>
              <w:jc w:val="left"/>
              <w:rPr>
                <w:color w:val="000000"/>
                <w:sz w:val="22"/>
                <w:szCs w:val="22"/>
                <w:u w:val="single"/>
              </w:rPr>
            </w:pPr>
            <w:r>
              <w:rPr>
                <w:sz w:val="22"/>
                <w:szCs w:val="22"/>
              </w:rPr>
              <w:t xml:space="preserve">М.П.</w:t>
            </w:r>
            <w:r>
              <w:rPr>
                <w:color w:val="000000"/>
                <w:sz w:val="22"/>
                <w:szCs w:val="22"/>
                <w:u w:val="single"/>
              </w:rPr>
            </w:r>
            <w:r>
              <w:rPr>
                <w:color w:val="000000"/>
                <w:sz w:val="22"/>
                <w:szCs w:val="22"/>
                <w:u w:val="single"/>
              </w:rPr>
            </w:r>
          </w:p>
        </w:tc>
      </w:tr>
    </w:tbl>
    <w:p>
      <w:pPr>
        <w:pStyle w:val="715"/>
        <w:ind w:firstLine="0"/>
        <w:jc w:val="right"/>
        <w:rPr>
          <w:sz w:val="20"/>
          <w:szCs w:val="20"/>
        </w:rPr>
      </w:pPr>
      <w:r>
        <w:rPr>
          <w:sz w:val="20"/>
          <w:szCs w:val="20"/>
        </w:rPr>
        <w:br w:type="page" w:clear="all"/>
      </w:r>
      <w:r>
        <w:rPr>
          <w:sz w:val="20"/>
          <w:szCs w:val="20"/>
        </w:rPr>
        <w:t xml:space="preserve">Приложение № 2</w:t>
      </w:r>
      <w:r>
        <w:rPr>
          <w:sz w:val="20"/>
          <w:szCs w:val="20"/>
        </w:rPr>
      </w:r>
    </w:p>
    <w:p>
      <w:pPr>
        <w:pStyle w:val="715"/>
        <w:ind w:firstLine="0"/>
        <w:jc w:val="right"/>
        <w:rPr>
          <w:bCs/>
          <w:sz w:val="22"/>
          <w:szCs w:val="22"/>
        </w:rPr>
      </w:pPr>
      <w:r>
        <w:rPr>
          <w:sz w:val="20"/>
          <w:szCs w:val="20"/>
        </w:rPr>
        <w:t xml:space="preserve"> к Контракту  </w:t>
      </w:r>
      <w:r>
        <w:rPr>
          <w:sz w:val="20"/>
          <w:szCs w:val="20"/>
        </w:rPr>
        <w:t xml:space="preserve">№ </w:t>
      </w:r>
      <w:r>
        <w:rPr>
          <w:sz w:val="20"/>
          <w:szCs w:val="20"/>
        </w:rPr>
        <w:t xml:space="preserve">ОФ-</w:t>
      </w:r>
      <w:r>
        <w:rPr>
          <w:sz w:val="20"/>
          <w:szCs w:val="20"/>
        </w:rPr>
        <w:t xml:space="preserve">15</w:t>
      </w:r>
      <w:r>
        <w:rPr>
          <w:sz w:val="20"/>
          <w:szCs w:val="20"/>
        </w:rPr>
        <w:t xml:space="preserve">-26-___________</w:t>
      </w:r>
      <w:r>
        <w:rPr>
          <w:rFonts w:eastAsia="MS Mincho"/>
          <w:bCs/>
          <w:color w:val="000000"/>
          <w:sz w:val="20"/>
          <w:szCs w:val="20"/>
        </w:rPr>
        <w:t xml:space="preserve">  </w:t>
      </w:r>
      <w:r>
        <w:rPr>
          <w:sz w:val="20"/>
          <w:szCs w:val="20"/>
        </w:rPr>
        <w:t xml:space="preserve">от «</w:t>
      </w:r>
      <w:r>
        <w:rPr>
          <w:sz w:val="20"/>
          <w:szCs w:val="20"/>
        </w:rPr>
        <w:t xml:space="preserve">       </w:t>
      </w:r>
      <w:r>
        <w:rPr>
          <w:sz w:val="20"/>
          <w:szCs w:val="20"/>
        </w:rPr>
        <w:t xml:space="preserve">» </w:t>
      </w:r>
      <w:r>
        <w:rPr>
          <w:sz w:val="20"/>
          <w:szCs w:val="20"/>
        </w:rPr>
        <w:t xml:space="preserve">                 </w:t>
      </w:r>
      <w:r>
        <w:rPr>
          <w:sz w:val="20"/>
          <w:szCs w:val="20"/>
        </w:rPr>
        <w:t xml:space="preserve">202</w:t>
      </w:r>
      <w:r>
        <w:rPr>
          <w:sz w:val="20"/>
          <w:szCs w:val="20"/>
        </w:rPr>
        <w:t xml:space="preserve">6</w:t>
      </w:r>
      <w:r>
        <w:rPr>
          <w:sz w:val="20"/>
          <w:szCs w:val="20"/>
        </w:rPr>
        <w:t xml:space="preserve"> г.</w:t>
      </w:r>
      <w:r>
        <w:rPr>
          <w:bCs/>
          <w:sz w:val="22"/>
          <w:szCs w:val="22"/>
        </w:rPr>
      </w:r>
      <w:r>
        <w:rPr>
          <w:bCs/>
          <w:sz w:val="22"/>
          <w:szCs w:val="22"/>
        </w:rPr>
      </w:r>
    </w:p>
    <w:p>
      <w:pPr>
        <w:pStyle w:val="715"/>
        <w:jc w:val="center"/>
        <w:rPr>
          <w:b/>
          <w:bCs/>
        </w:rPr>
      </w:pPr>
      <w:r>
        <w:rPr>
          <w:b/>
          <w:bCs/>
        </w:rPr>
        <w:t xml:space="preserve">Таблица страховых выплат</w:t>
      </w:r>
      <w:r>
        <w:rPr>
          <w:b/>
          <w:bCs/>
        </w:rPr>
      </w:r>
    </w:p>
    <w:p>
      <w:pPr>
        <w:pStyle w:val="715"/>
        <w:jc w:val="center"/>
        <w:rPr>
          <w:b/>
          <w:bCs/>
        </w:rPr>
      </w:pPr>
      <w:r>
        <w:rPr>
          <w:b/>
          <w:bCs/>
        </w:rPr>
        <w:t xml:space="preserve">(в процентах от страховой суммы)</w:t>
      </w:r>
      <w:r>
        <w:rPr>
          <w:b/>
          <w:bCs/>
        </w:rPr>
      </w:r>
    </w:p>
    <w:tbl>
      <w:tblPr>
        <w:tblW w:w="10158" w:type="dxa"/>
        <w:tblInd w:w="40" w:type="dxa"/>
        <w:tblLayout w:type="fixed"/>
        <w:tblCellMar>
          <w:left w:w="40" w:type="dxa"/>
          <w:top w:w="0" w:type="dxa"/>
          <w:right w:w="40" w:type="dxa"/>
          <w:bottom w:w="0" w:type="dxa"/>
        </w:tblCellMar>
        <w:tblLook w:val="04A0" w:firstRow="1" w:lastRow="0" w:firstColumn="1" w:lastColumn="0" w:noHBand="0" w:noVBand="1"/>
      </w:tblPr>
      <w:tblGrid>
        <w:gridCol w:w="715"/>
        <w:gridCol w:w="8783"/>
        <w:gridCol w:w="660"/>
      </w:tblGrid>
      <w:tr>
        <w:tblPrEx/>
        <w:trPr>
          <w:trHeight w:val="250"/>
        </w:trPr>
        <w:tc>
          <w:tcPr>
            <w:tcBorders>
              <w:top w:val="single" w:color="000000" w:sz="6" w:space="0"/>
              <w:left w:val="single" w:color="000000" w:sz="6" w:space="0"/>
              <w:bottom w:val="single" w:color="000000" w:sz="6" w:space="0"/>
              <w:right w:val="single" w:color="000000" w:sz="6" w:space="0"/>
            </w:tcBorders>
            <w:tcW w:w="715" w:type="dxa"/>
            <w:vAlign w:val="top"/>
            <w:textDirection w:val="lrTb"/>
            <w:noWrap w:val="false"/>
          </w:tcPr>
          <w:p>
            <w:pPr>
              <w:pStyle w:val="715"/>
              <w:jc w:val="center"/>
              <w:rPr>
                <w:b/>
              </w:rPr>
            </w:pPr>
            <w:r>
              <w:rPr>
                <w:b/>
              </w:rPr>
            </w:r>
            <w:r>
              <w:rPr>
                <w:b/>
              </w:rPr>
            </w:r>
          </w:p>
        </w:tc>
        <w:tc>
          <w:tcPr>
            <w:tcBorders>
              <w:top w:val="single" w:color="000000" w:sz="6" w:space="0"/>
              <w:left w:val="single" w:color="000000" w:sz="6" w:space="0"/>
              <w:bottom w:val="single" w:color="000000" w:sz="6" w:space="0"/>
              <w:right w:val="single" w:color="000000" w:sz="6" w:space="0"/>
            </w:tcBorders>
            <w:tcW w:w="8783" w:type="dxa"/>
            <w:vAlign w:val="top"/>
            <w:textDirection w:val="lrTb"/>
            <w:noWrap w:val="false"/>
          </w:tcPr>
          <w:p>
            <w:pPr>
              <w:pStyle w:val="715"/>
              <w:jc w:val="center"/>
              <w:rPr>
                <w:b/>
                <w:i/>
              </w:rPr>
            </w:pPr>
            <w:r>
              <w:rPr>
                <w:b/>
                <w:i/>
              </w:rPr>
              <w:t xml:space="preserve">Характер повреждения</w:t>
            </w:r>
            <w:r>
              <w:rPr>
                <w:b/>
                <w:i/>
              </w:rPr>
            </w:r>
          </w:p>
        </w:tc>
        <w:tc>
          <w:tcPr>
            <w:tcBorders>
              <w:top w:val="single" w:color="000000" w:sz="6" w:space="0"/>
              <w:left w:val="single" w:color="000000" w:sz="6" w:space="0"/>
              <w:bottom w:val="single" w:color="000000" w:sz="6" w:space="0"/>
              <w:right w:val="single" w:color="000000" w:sz="6" w:space="0"/>
            </w:tcBorders>
            <w:tcW w:w="660" w:type="dxa"/>
            <w:vAlign w:val="top"/>
            <w:textDirection w:val="lrTb"/>
            <w:noWrap w:val="false"/>
          </w:tcPr>
          <w:p>
            <w:pPr>
              <w:pStyle w:val="715"/>
              <w:ind w:left="-6" w:firstLine="0"/>
              <w:jc w:val="center"/>
              <w:rPr>
                <w:b/>
              </w:rPr>
            </w:pPr>
            <w:r>
              <w:rPr>
                <w:b/>
              </w:rPr>
              <w:t xml:space="preserve">%</w:t>
            </w:r>
            <w:r>
              <w:rPr>
                <w:b/>
              </w:rPr>
            </w:r>
          </w:p>
        </w:tc>
      </w:tr>
      <w:tr>
        <w:tblPrEx/>
        <w:trPr>
          <w:trHeight w:val="235"/>
        </w:trPr>
        <w:tc>
          <w:tcPr>
            <w:gridSpan w:val="3"/>
            <w:tcBorders>
              <w:top w:val="single" w:color="000000" w:sz="6" w:space="0"/>
              <w:left w:val="single" w:color="000000" w:sz="6" w:space="0"/>
              <w:bottom w:val="single" w:color="000000" w:sz="6" w:space="0"/>
              <w:right w:val="single" w:color="000000" w:sz="6" w:space="0"/>
            </w:tcBorders>
            <w:tcW w:w="10158" w:type="dxa"/>
            <w:vAlign w:val="top"/>
            <w:textDirection w:val="lrTb"/>
            <w:noWrap w:val="false"/>
          </w:tcPr>
          <w:p>
            <w:pPr>
              <w:pStyle w:val="715"/>
              <w:ind w:left="-6" w:firstLine="0"/>
              <w:jc w:val="center"/>
              <w:rPr>
                <w:b/>
                <w:i/>
              </w:rPr>
            </w:pPr>
            <w:r>
              <w:rPr>
                <w:b/>
                <w:i/>
              </w:rPr>
              <w:t xml:space="preserve">Кости черепа, нервная система</w:t>
            </w:r>
            <w:r>
              <w:rPr>
                <w:b/>
                <w:i/>
              </w:rPr>
            </w:r>
          </w:p>
        </w:tc>
      </w:tr>
      <w:tr>
        <w:tblPrEx/>
        <w:trPr>
          <w:trHeight w:val="259"/>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w:t>
            </w:r>
            <w:r/>
          </w:p>
        </w:tc>
        <w:tc>
          <w:tcPr>
            <w:tcBorders>
              <w:top w:val="single" w:color="000000" w:sz="6"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Перелом костей черепа:</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2"/>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наружной пластинки костей свода,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30"/>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свода,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2"/>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основания,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свода и основания.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случае открытой ЧМТ (черепно-мозговой травмы) выплачивается дополнительно 5%, в случае проникающей дополнительно выплачивается 5%.</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192"/>
        </w:trPr>
        <w:tc>
          <w:tcPr>
            <w:tcBorders>
              <w:top w:val="none" w:color="000000" w:sz="4" w:space="0"/>
              <w:left w:val="single" w:color="000000" w:sz="6" w:space="0"/>
              <w:bottom w:val="single" w:color="000000" w:sz="6"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6" w:space="0"/>
              <w:right w:val="single" w:color="000000" w:sz="6" w:space="0"/>
            </w:tcBorders>
            <w:tcW w:w="660" w:type="dxa"/>
            <w:vAlign w:val="top"/>
            <w:textDirection w:val="lrTb"/>
            <w:noWrap w:val="false"/>
          </w:tcPr>
          <w:p>
            <w:pPr>
              <w:pStyle w:val="715"/>
              <w:ind w:left="-6" w:firstLine="0"/>
            </w:pPr>
            <w:r/>
            <w:r/>
          </w:p>
        </w:tc>
      </w:tr>
      <w:tr>
        <w:tblPrEx/>
        <w:trPr>
          <w:trHeight w:val="254"/>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2</w:t>
            </w:r>
            <w:r/>
          </w:p>
        </w:tc>
        <w:tc>
          <w:tcPr>
            <w:tcBorders>
              <w:top w:val="single" w:color="000000" w:sz="6"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Внутричерепные травматические гематомы:</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субарахноидальное кровоизлияние.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эпидуральная гематома,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субдуральная, внутримозговая,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192"/>
        </w:trPr>
        <w:tc>
          <w:tcPr>
            <w:tcBorders>
              <w:top w:val="none" w:color="000000" w:sz="4" w:space="0"/>
              <w:left w:val="single" w:color="000000" w:sz="6" w:space="0"/>
              <w:bottom w:val="single" w:color="000000" w:sz="6"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single" w:color="000000" w:sz="6" w:space="0"/>
              <w:right w:val="single" w:color="000000" w:sz="6" w:space="0"/>
            </w:tcBorders>
            <w:tcW w:w="8783" w:type="dxa"/>
            <w:vAlign w:val="top"/>
            <w:textDirection w:val="lrTb"/>
            <w:noWrap w:val="false"/>
          </w:tcPr>
          <w:p>
            <w:pPr>
              <w:pStyle w:val="715"/>
              <w:ind w:firstLine="238"/>
            </w:pPr>
            <w:r>
              <w:t xml:space="preserve">г) эпидуральная и субдуральная (внутримозговая).</w:t>
            </w:r>
            <w:r/>
          </w:p>
        </w:tc>
        <w:tc>
          <w:tcPr>
            <w:tcBorders>
              <w:top w:val="none" w:color="000000" w:sz="4" w:space="0"/>
              <w:left w:val="single" w:color="000000" w:sz="6" w:space="0"/>
              <w:bottom w:val="single" w:color="000000" w:sz="6"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64"/>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3</w:t>
            </w:r>
            <w:r/>
          </w:p>
        </w:tc>
        <w:tc>
          <w:tcPr>
            <w:tcBorders>
              <w:top w:val="single" w:color="000000" w:sz="6"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головного мозга:</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сотрясение головного мозга при сроке лечения от 3 до 13 дней включительно,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сотрясение головного мозга при сроке лечения 14 и более дней,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ушиб головного мозга,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г) неудаленные инородные тела полости черепа (за исключением шовного и пластического материала),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размозжение вещества головного мозга (без указания симптоматики).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50</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 </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в связи с черепно-мозговой травмой проводились оперативные вмешательства на костях черепа, головном мозге и его оболочках, дополнительно выплачивается 10% страховой суммы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30"/>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2. В том случае, когда в результате одной травмы наступят повреждения, перечисленные в одной статье, страховая сумма выплачивается по одному из подпунктов, учитывающему наиболее тяжелое повреждение. </w:t>
            </w:r>
            <w:r/>
          </w:p>
          <w:p>
            <w:pPr>
              <w:pStyle w:val="715"/>
              <w:ind w:firstLine="238"/>
            </w:pPr>
            <w:r>
              <w:t xml:space="preserve">При повреждениях, указанных в разных статьях, страховая сумма выплачивается с учетом самого тяжелого повреждения из каждой статьи путем суммирования, но не более 80%.</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2"/>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2"/>
        </w:trPr>
        <w:tc>
          <w:tcPr>
            <w:tcBorders>
              <w:top w:val="none" w:color="000000" w:sz="4" w:space="0"/>
              <w:left w:val="single" w:color="000000" w:sz="6" w:space="0"/>
              <w:bottom w:val="single" w:color="000000" w:sz="6"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6" w:space="0"/>
              <w:right w:val="single" w:color="000000" w:sz="6" w:space="0"/>
            </w:tcBorders>
            <w:tcW w:w="660" w:type="dxa"/>
            <w:vAlign w:val="top"/>
            <w:textDirection w:val="lrTb"/>
            <w:noWrap w:val="false"/>
          </w:tcPr>
          <w:p>
            <w:pPr>
              <w:pStyle w:val="715"/>
              <w:ind w:left="-6" w:firstLine="0"/>
            </w:pPr>
            <w:r/>
            <w:r/>
          </w:p>
        </w:tc>
      </w:tr>
      <w:tr>
        <w:tblPrEx/>
        <w:trPr>
          <w:trHeight w:val="250"/>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4</w:t>
            </w:r>
            <w:r/>
          </w:p>
        </w:tc>
        <w:tc>
          <w:tcPr>
            <w:tcBorders>
              <w:top w:val="single" w:color="000000" w:sz="6"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нервной системы (травматическое, токсическое, гипоксическое), повлекшее за собой:</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астенический синдром, дистонию, энцефалопатию,</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45"/>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арахноидит, энцефалит, арахноэнцефалит,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эпилепсию,</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верхний или нижний монопарез (парез одной верхней или нижней конечности),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д) геми- или парапарез (парез обеих верхних или нижних конечностей, парез правых или левых конечностей), амнезию (потерю памяти),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е) моноплегию (паралич одной конечности),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60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ж) тетрапарез (парез верхних и нижних конечностей), нарушение координации движений, слабоумие (деменцию),</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70</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з) геми-, пара- или тетраплегию, афазию (потерю речи), декортикацию, нарушение функции тазовых органов.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100</w:t>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 </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Страховая сумма в связи с последствиями травмы нервной системы, указанными в ст. 4, выплачивается по одному из подпунктов, учитывающему наиболее тяжелые последствия травмы, в том случае, если они установлены лечебно-профилакти</w:t>
            </w:r>
            <w:r>
              <w:t xml:space="preserve">ческим учреждением не ранее 3 месяцев со дня травмы и подтверждены справкой этого учреждения. При этом страховая сумма выплачивается дополнительно к страховой сумме, выплаченной в связи со страховыми событиями, приведшими к поражению нервной системы. Общая</w:t>
            </w:r>
            <w:r>
              <w:rPr>
                <w:lang w:val="en-US"/>
              </w:rPr>
              <w:t xml:space="preserve"> </w:t>
            </w:r>
            <w:r>
              <w:t xml:space="preserve">сумма не может превышать 100%.</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30"/>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2. В том случае, если страхователем представлены справки о лечении по поводу травмы и ее осложнений, страховая сумма выплачивается по статьям 1, 2, 3, 5, 6 и ст. 4 путем суммирования.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3. При снижении остроты зрения или понижении слуха в результате черепно-мозговой травмы страховая сумма выплачивается с учетом этой травмы и указанных осложнений по соответствующим статьям путем суммирования.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pPr>
            <w:r/>
            <w:r/>
          </w:p>
        </w:tc>
      </w:tr>
      <w:tr>
        <w:tblPrEx/>
        <w:trPr>
          <w:trHeight w:val="324"/>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w:t>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Периферическое повреждение одного или нескольких черепно-мозговых нервов.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повреждение черепно-мозговых нервов наступило при переломе основания черепа, страховая сумма выплачивается по ст. 1; ст. 5 при этом не применяется.</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6</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спинного мозга на любом уровне, конского хвоста, полиомиелит, без указания симптомов:</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сотрясение,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ушиб,</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сдавливание, гематомиелия, полиомиелит,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частичный разрыв,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полный перерыв спинного мозга.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В том случае,</w:t>
            </w:r>
            <w:r>
              <w:t xml:space="preserve"> если страховая сумма была выплачена по ст. 6 (а, б, в, г), а в дальнейшем возникли осложнения, перечисленные в ст. 4 и подтвержденные справкой лечебно-профилактического учреждения, страховая сумма по ст. 4 выплачивается дополнительно к выплаченной ранее. </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2. Если в связи с травмой</w:t>
            </w:r>
            <w:r>
              <w:t xml:space="preserve"> позвоночника и спинного мозга проводились оперативные вмешательства (кроме постановки люмбального дренажа), дополнительно выплачивается 15% страховой суммы однократно. При постановке люмбального(ых) дренажа(ей) выплачивается 5% страховой суммы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t xml:space="preserve">7</w:t>
            </w:r>
            <w:r/>
          </w:p>
        </w:tc>
        <w:tc>
          <w:tcPr>
            <w:tcBorders>
              <w:top w:val="singl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Травматические невриты на одной конечности (за исключением невритов пальцевых нервов).</w:t>
            </w:r>
            <w:r/>
          </w:p>
        </w:tc>
        <w:tc>
          <w:tcPr>
            <w:tcBorders>
              <w:top w:val="singl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8</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(перерыв, ранение) шейного, плечевого, поясничного, крестцового сплетений: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травматический плексит,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частичный разрыв сплетения,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перерыв сплетения.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70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1. Ст. 7 и 8 одновременно не применяются.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2. Невралгии, невропатии, возникшие в связи с травмой, не дают основания для выплаты страховой суммы.</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Перерыв нервов:</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ветвей лучевого, локтевого, срединного (пальцевых нервов) на кисти,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одного: лучевого, локтевого или срединного на уровне лучезапястного сустава и предплечья, малоберцового и большеберцового нервов,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двух и более: лучевого, локтевого, срединного на уровне лучезапястного сустава и предплечья, малоберцового и большеберцового нервов,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г) одного: подмышечного, лучевого, локтевого, срединного - на уровне локтевого сустава и плеча, седалищного или бедренного,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д) двух и более: подмышечного, лучевого, локтевого, срединного - на уровне локтевого сустава и плеча, седалищного и бедренного,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 </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нервов на уровне стопы, пальцев стопы и кисти не дает оснований для выплаты страховой суммы.</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Органы зрения</w:t>
            </w:r>
            <w:r>
              <w:rPr>
                <w:b/>
              </w:rPr>
            </w:r>
          </w:p>
        </w:tc>
      </w:tr>
      <w:tr>
        <w:tblPrEx/>
        <w:trPr>
          <w:trHeight w:val="206"/>
        </w:trPr>
        <w:tc>
          <w:tcPr>
            <w:tcBorders>
              <w:top w:val="singl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t xml:space="preserve">10</w:t>
            </w:r>
            <w:r/>
          </w:p>
        </w:tc>
        <w:tc>
          <w:tcPr>
            <w:tcBorders>
              <w:top w:val="singl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spacing w:line="288" w:lineRule="auto"/>
            </w:pPr>
            <w:r>
              <w:t xml:space="preserve">Паралич аккомодации одного глаза.</w:t>
            </w:r>
            <w:r/>
          </w:p>
        </w:tc>
        <w:tc>
          <w:tcPr>
            <w:tcBorders>
              <w:top w:val="singl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single" w:color="000000" w:sz="4" w:space="0"/>
              <w:left w:val="single" w:color="000000" w:sz="6" w:space="0"/>
              <w:right w:val="single" w:color="000000" w:sz="6" w:space="0"/>
            </w:tcBorders>
            <w:tcW w:w="715" w:type="dxa"/>
            <w:vAlign w:val="top"/>
            <w:textDirection w:val="lrTb"/>
            <w:noWrap w:val="false"/>
          </w:tcPr>
          <w:p>
            <w:pPr>
              <w:pStyle w:val="715"/>
              <w:ind w:firstLine="0"/>
              <w:jc w:val="center"/>
            </w:pPr>
            <w:r>
              <w:t xml:space="preserve">11</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Гемианопсия (выпадение половины поля зрения одного глаза), повреждение мышц глазного яблока (травматическое косоглазие, птоз, диплопия).</w:t>
            </w:r>
            <w:r/>
          </w:p>
        </w:tc>
        <w:tc>
          <w:tcPr>
            <w:tcBorders>
              <w:top w:val="singl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12</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Сужение поля зрения одного глаза: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а) неконцентрическое,</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б) концентрическое.</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13</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Пульсирующий посттравматический экзофтальм одного глаза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14</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глаза, не повлекшее за собой снижение остроты зрения:</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непроникающее ранение глазного яблока, гифема,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проникающее ранение глазного яблока, ожоги II, III степени, гемофтальм.</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Ожоги глаза без указания степени, а также ожоги глаза I степени, неповлекшие за собой патологических изменений, не дают оснований для выплаты страховой суммы.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2. В том случае, если повреждения, перечисленные в ст. 14, повлекут за собой снижение остроты зрения, страховая сумма выплачивается в соответствии со ст. 20. Статья 14 при этом не прим</w:t>
            </w:r>
            <w:r>
              <w:t xml:space="preserve">еняется. Если же в связи с повреждением глазного яблока выплачивалась страховая сумма по ст. 14, а в дальнейшем травма осложнилась снижением и это дает основание для выплаты страховой суммы в большем размере, ранее выплаченная страховая сумма удерживается.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3. Поверхностные инородные тела на оболочках глаза не дают оснований для выплаты страховой суммы.</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15</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слезопроводящих путей одного глаза: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не повлекшее за собой нарушения функций слезопроводящих путей,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б) повлекшее за собой нарушения функций слезопроводящих путей,</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в) травматический дакриоцистит.</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16</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Последствия травмы глаза: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конъюнктивит, кератит, иридоциклит, хориоретинит,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дефект радужной оболочки, смещение хрусталика, изменение формы зрачка, трихиаз (неправильный рост ресниц), заворот века, неудаленные инородные тела в глазном яблоке и тканях глазницы, рубцы оболочек глазного яблока и век (за исключением кожи).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в результате одной травмы наступят несколько патологических изменений, перечисленных в ст. 16, страховая сумма выплачивается с учетом наиболее тяжелого последствия однократно. </w:t>
            </w:r>
            <w:r/>
          </w:p>
          <w:p>
            <w:pPr>
              <w:pStyle w:val="715"/>
              <w:ind w:firstLine="238"/>
            </w:pPr>
            <w:r>
              <w:t xml:space="preserve">2. В том случае, если врач-окулист не ранее, чем ч</w:t>
            </w:r>
            <w:r>
              <w:t xml:space="preserve">ерез 3 месяца после травмы глаз установит, что имеются патологические изменения, перечисленные в ст. 10, 11, 12, 13, 15, 16 и снижение остроты зрения, страховая сумма выплачивается с учетом всех последствий путем суммирования, но не более 50% за один глаз.</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right w:val="single" w:color="000000" w:sz="6" w:space="0"/>
            </w:tcBorders>
            <w:tcW w:w="715" w:type="dxa"/>
            <w:vAlign w:val="top"/>
            <w:textDirection w:val="lrTb"/>
            <w:noWrap w:val="false"/>
          </w:tcPr>
          <w:p>
            <w:pPr>
              <w:pStyle w:val="715"/>
              <w:ind w:firstLine="0"/>
              <w:jc w:val="center"/>
            </w:pPr>
            <w:r>
              <w:t xml:space="preserve">17</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Повреждение глаза (глаз), повлекшее за собой полную потерю зрения единственного глаза или обоих глаз, обладавших зрением не ниже 0,01.</w:t>
            </w:r>
            <w:r/>
          </w:p>
        </w:tc>
        <w:tc>
          <w:tcPr>
            <w:tcBorders>
              <w:top w:val="singl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100</w:t>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t xml:space="preserve">18</w:t>
            </w:r>
            <w:r/>
          </w:p>
        </w:tc>
        <w:tc>
          <w:tcPr>
            <w:tcBorders>
              <w:top w:val="singl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spacing w:line="288" w:lineRule="auto"/>
            </w:pPr>
            <w:r>
              <w:t xml:space="preserve">Удаление глазного яблока в результате травмы глазного яблока слепого глаза.</w:t>
            </w:r>
            <w:r/>
          </w:p>
        </w:tc>
        <w:tc>
          <w:tcPr>
            <w:tcBorders>
              <w:top w:val="singl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singl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t xml:space="preserve">19</w:t>
            </w:r>
            <w:r/>
          </w:p>
        </w:tc>
        <w:tc>
          <w:tcPr>
            <w:tcBorders>
              <w:top w:val="singl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spacing w:line="288" w:lineRule="auto"/>
            </w:pPr>
            <w:r>
              <w:t xml:space="preserve">Перелом орбиты.</w:t>
            </w:r>
            <w:r/>
          </w:p>
        </w:tc>
        <w:tc>
          <w:tcPr>
            <w:tcBorders>
              <w:top w:val="singl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20</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Снижение остроты зрения в результате несчастного случая (см. «Таблицу страховых выплат при снижении остроте зрения в результате прямой травмы»).</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Решение о выплате страховой суммы в связи со снижением в результате травмы остроты зрения и другими последствиями принимается после окончания лечения, но не ранее 3 месяцев со дня травмы. По истечении этого срока застрахова</w:t>
            </w:r>
            <w:r>
              <w:t xml:space="preserve">нный направляется к врачу-окулисту для определения остроты зрения обоих глаз (без учета коррекции) и других последствий перенесенного повреждения. В таких случаях предварительно может быть выплачена страховая сумма с учетом факта травмы по ст. 14, 15а, 19.</w:t>
            </w:r>
            <w:r/>
          </w:p>
          <w:p>
            <w:pPr>
              <w:pStyle w:val="715"/>
              <w:ind w:firstLine="238"/>
            </w:pPr>
            <w:r>
              <w:t xml:space="preserve">2. Если сведения об остроте зрения поврежденного глаза д</w:t>
            </w:r>
            <w:r>
              <w:t xml:space="preserve">о травмы отсутствуют, то условно следует считать, что она была такой же, как неповрежденного. Однако, если острота зрения неповрежденного глаза окажется ниже, чем поврежденного, условно следует считать, что острота зрения поврежденного глаза равнялась 1,0.</w:t>
            </w:r>
            <w:r/>
          </w:p>
          <w:p>
            <w:pPr>
              <w:pStyle w:val="715"/>
              <w:ind w:firstLine="238"/>
            </w:pPr>
            <w:r>
              <w:t xml:space="preserve">3. Если в результате травмы были повреждены оба глаза и сведения об их зрении до травмы отсутствуют, следует условно считать, что острота зрения их составляла 1,0.</w:t>
            </w:r>
            <w:r/>
          </w:p>
          <w:p>
            <w:pPr>
              <w:pStyle w:val="715"/>
              <w:ind w:firstLine="238"/>
            </w:pPr>
            <w:r>
              <w:t xml:space="preserve">4. В том случае, если в связи с посттравматическим снижением остроты зрения был имплантирован искусственный хрусталик или применена корригирующая линза, страховая сумма выплачивается с учетом остроты зрения до операции.</w:t>
            </w:r>
            <w:r/>
          </w:p>
          <w:p>
            <w:pPr>
              <w:pStyle w:val="715"/>
              <w:ind w:firstLine="238"/>
            </w:pPr>
            <w:r>
              <w:t xml:space="preserve">5. К полной слепоте (0,0) приравнивается острота зрения ниже 0,01 и до светоощущения (счет пальцев у лица).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Органы слуха</w:t>
            </w:r>
            <w:r>
              <w:rPr>
                <w:b/>
              </w:rP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21</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ушной раковины,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перелом хряща,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отсутствие до 1/3 части ушной раковины или ее деформация,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отсутствие 1/3-1/2 части ушной раковины,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отсутствие более 1/2 части ушной раковины,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Решение о выплате страховой суммы по ст. 21 (б, в, г) принимается на основании данных освидетельствования, проведенного после заживления раны. Если страховая сумма выплачена по ст. 21, ст. 58 не применяется.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22</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одного уха, повлекшее за собой снижение слуха: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а) шепотная речь на расстоянии не более 1 метра, разговорная от 1 до 3 м, понижение слуха на 30-50 ДБ на частотах 500, 1000, 2000, 4000 Гц</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шепотная речь -0 м, разговорная речь до 1 метра, понижение слуха на 60-80 ДБ на частотах 500, 1000, 2000, 4000 Гц</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полная глухота (разговорная речь - 0).</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Решение о выплате страховой суммы в связи со снижением в результате травмы слуха принимается после окончания лечения, но не ранее 3 месяцев со дня травмы.</w:t>
            </w:r>
            <w:r>
              <w:t xml:space="preserve"> По истечении этого срока застрахованный направляется к ЛОР-специалисту для определения последствий перенесенного повреждения. В таких случаях предварительно может быть выплачена страховая сумма с учетом факта травмы по ст. 23, 24 (если имеются основания).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23</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Разрыв барабанной перепонки, наступивший в результате травмы и не повлекший за собой снижения слуха.</w:t>
            </w:r>
            <w:r/>
          </w:p>
          <w:p>
            <w:pPr>
              <w:pStyle w:val="715"/>
              <w:ind w:firstLine="238"/>
            </w:pPr>
            <w:r>
              <w:t xml:space="preserve">Примечания:</w:t>
            </w:r>
            <w:r/>
          </w:p>
          <w:p>
            <w:pPr>
              <w:pStyle w:val="715"/>
              <w:ind w:firstLine="238"/>
            </w:pPr>
            <w:r>
              <w:t xml:space="preserve">1. Если в результате травмы произошел разрыв барабанной перепонки и наступило снижение слуха, страховая сумма определяется по ст. 22. Статья 23 при этом не применяется.</w:t>
            </w:r>
            <w:r/>
          </w:p>
          <w:p>
            <w:pPr>
              <w:pStyle w:val="715"/>
              <w:ind w:firstLine="238"/>
            </w:pPr>
            <w:r>
              <w:t xml:space="preserve">2. Если разрыв барабанной перепонки произошел в результате перелома основания черепа (средняя черепная ямка), ст. 23 не применяется.</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24</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одного уха, повлекшее за собой посттравматический: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гнойный наружный отит,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гнойный средний и (или) внутренний отит;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гнойный панотит.</w:t>
            </w:r>
            <w:r/>
          </w:p>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7</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Страховая сумма по ст. 24 выплачивается дополнительно к ст.23 и после баротравмы в том случае, если это</w:t>
            </w:r>
            <w:r>
              <w:t xml:space="preserve"> осложнение травмы будет установлено ЛОР-специалистом по истечении не более 1 месяца после заживления барабанной перепонки. Ранее этого срока страховая сумма выплачивается с учетом факта травмы по соответствующей статье. Негнойные отиты оплате не подлежат.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Дыхательная система</w:t>
            </w:r>
            <w:r>
              <w:rPr>
                <w:b/>
              </w:rP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25</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Перелом, вывих костей, хряща носа, передней стенки лобной, гайморовой пазухи, решетчатой кости.</w:t>
            </w:r>
            <w:r/>
          </w:p>
          <w:p>
            <w:pPr>
              <w:pStyle w:val="715"/>
              <w:ind w:firstLine="238"/>
            </w:pPr>
            <w:r>
              <w:t xml:space="preserve">Примечание:</w:t>
            </w:r>
            <w:r/>
          </w:p>
          <w:p>
            <w:pPr>
              <w:pStyle w:val="715"/>
              <w:ind w:firstLine="238"/>
            </w:pPr>
            <w:r>
              <w:t xml:space="preserve">Если в связи с переломом, вывихом костей, хряща нос</w:t>
            </w:r>
            <w:r>
              <w:t xml:space="preserve">а наступит его деформация и это будет подтверждено справкой лечебно-профилактического учреждения и результатами освидетельствования, выплата страховой суммы производится по ст. 25 и 58 (если имеются основания для применения этой статьи) путем суммирования.</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26</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легкого, подкожная эмфизема, гемоторакс, пневмоторакс, инородное тело (тела) грудной полости:</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с одной стороны,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с двух сторон.</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Пневмония, развившаяся в период лечения травмы или после оперативного вмешательства, произведенного по поводу травмы (за исключением повреждений грудной клетки и органов грудной полости), не дает оснований для выплаты страховой суммы.</w:t>
            </w:r>
            <w:r/>
          </w:p>
          <w:p>
            <w:pPr>
              <w:pStyle w:val="715"/>
              <w:ind w:firstLine="238"/>
            </w:pPr>
            <w:r>
              <w:t xml:space="preserve">2. Если переломы ребер, грудины повлекли за собой осложнения, предусмотренные ст. 26, страховая сумма по этой статье выплачивается дополнительно к ст. 28, 29.</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27</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мягких тканей, костей и (или) органов грудной клетки, повлекшие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легочную недостаточность (по истечении 3 месяцев со дня травмы),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удаление части легкого (доли, двух долей, сегментов),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удаление одного легкого.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60</w:t>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При выплате страховой суммы по ст. 27 (б, в) ст. 27а не применяется.</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t xml:space="preserve">28</w:t>
            </w:r>
            <w:r/>
          </w:p>
        </w:tc>
        <w:tc>
          <w:tcPr>
            <w:tcBorders>
              <w:top w:val="singl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spacing w:line="288" w:lineRule="auto"/>
            </w:pPr>
            <w:r>
              <w:t xml:space="preserve">Перелом грудины.</w:t>
            </w:r>
            <w:r/>
          </w:p>
        </w:tc>
        <w:tc>
          <w:tcPr>
            <w:tcBorders>
              <w:top w:val="singl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spacing w:line="288" w:lineRule="auto"/>
            </w:pPr>
            <w:r>
              <w:t xml:space="preserve">5</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29</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spacing w:line="288" w:lineRule="auto"/>
            </w:pPr>
            <w:r>
              <w:t xml:space="preserve">Перелом костной части каждого ребра.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Перелом хрящевой части ребер каждого ребра.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При переломе ребер во время реанимационных мероприятий страховая сумма выплачивается на общих основаниях.</w:t>
            </w:r>
            <w:r/>
          </w:p>
          <w:p>
            <w:pPr>
              <w:pStyle w:val="715"/>
              <w:ind w:firstLine="238"/>
            </w:pPr>
            <w:r>
              <w:t xml:space="preserve">2. Если в справках, полученных из разных лечебно-профилактических учреждений, будет указано различное количество поврежденных ребер, страховая сумма выплачивается с учетом большого числа ребер.</w:t>
            </w:r>
            <w:r/>
          </w:p>
          <w:p>
            <w:pPr>
              <w:pStyle w:val="715"/>
              <w:ind w:firstLine="238"/>
            </w:pPr>
            <w:r>
              <w:t xml:space="preserve">3. За каждый дополнительный перелом одного ребра выплачивается дополнительно 1%. </w:t>
            </w:r>
            <w:r/>
          </w:p>
          <w:p>
            <w:pPr>
              <w:pStyle w:val="715"/>
              <w:ind w:firstLine="238"/>
            </w:pPr>
            <w:r>
              <w:t xml:space="preserve">При переломе костной и хрящевой части одного ребра считать основным перелом костной части (3%), а хрящевой части - дополнительным (+1%)</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30</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Проникающее ранение грудной клетки и оперативные вмешательства, произведенные в связи с травмой: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а) торакоскопия; торакоцентез; проникающее ранение без повреждения органов грудной полости, не потребовавшее проведения торакотомии торакотомия: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при отсутствии повреждения органов грудной полости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при повреждении органов грудной полости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повторные торакотомии (независимо от их количества)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в связи с повреждением грудной клетки и ее органов было произведено удаление легкого или его части, страховая сумма выплачивается в соответствии со ст. 27; ст. 30 при этом не применяется; ст. 30 и 26 одновременно не применяются.</w:t>
            </w:r>
            <w:r/>
          </w:p>
          <w:p>
            <w:pPr>
              <w:pStyle w:val="715"/>
              <w:ind w:firstLine="238"/>
            </w:pPr>
            <w:r>
              <w:t xml:space="preserve">2. Если в связи с травмой грудной полости проводилась торакоскопия, торакоцентез, торактомия, страховая сумма выплачивается с учетом наиболее сложного вмешательства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31</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spacing w:line="288" w:lineRule="auto"/>
            </w:pPr>
            <w:r>
              <w:t xml:space="preserve">Повреждение гортани, трахеи, щитовидного хряща, перелом подъязычной кости, ожог дыхательных путей, не повлекшие за собой нарушения функции. </w:t>
            </w:r>
            <w:r/>
          </w:p>
          <w:p>
            <w:pPr>
              <w:pStyle w:val="715"/>
              <w:ind w:firstLine="238"/>
              <w:spacing w:line="288" w:lineRule="auto"/>
            </w:pPr>
            <w:r>
              <w:t xml:space="preserve">Примечание.</w:t>
            </w:r>
            <w:r/>
          </w:p>
          <w:p>
            <w:pPr>
              <w:pStyle w:val="715"/>
              <w:ind w:firstLine="238"/>
              <w:spacing w:line="288" w:lineRule="auto"/>
            </w:pPr>
            <w:r>
              <w:t xml:space="preserve">Если в связи с травмой проводилась бронхоскопия, трахеостомия (трахеотомия), дополнительно выплачивается 5% страховой суммы по данному риску.</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32</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гортани, трахеи, подъязычной кости, щитовидного хряща, трахеостомия, произведенная в связи с травмой, повлекшие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а) осиплость или потерю голоса, ношение трахеостомической трубки в течение 3 месяцев после травмы,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потерю голоса, ношение трахеостомической трубки в течение не менее 6 месяцев после травмы.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Страховая сумма по ст. 32 выплачивается дополнительно к страховой сумме, выплаченной в связи с травмой по ст. 31.</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Сердечно-сосудистая система</w:t>
            </w:r>
            <w:r>
              <w:rPr>
                <w:b/>
              </w:rPr>
            </w:r>
          </w:p>
        </w:tc>
      </w:tr>
      <w:tr>
        <w:tblPrEx/>
        <w:trPr>
          <w:trHeight w:val="206"/>
        </w:trPr>
        <w:tc>
          <w:tcPr>
            <w:tcBorders>
              <w:top w:val="single" w:color="000000" w:sz="4" w:space="0"/>
              <w:left w:val="single" w:color="000000" w:sz="6" w:space="0"/>
              <w:right w:val="single" w:color="000000" w:sz="6" w:space="0"/>
            </w:tcBorders>
            <w:tcW w:w="715" w:type="dxa"/>
            <w:vAlign w:val="top"/>
            <w:textDirection w:val="lrTb"/>
            <w:noWrap w:val="false"/>
          </w:tcPr>
          <w:p>
            <w:pPr>
              <w:pStyle w:val="715"/>
              <w:ind w:firstLine="0"/>
              <w:jc w:val="center"/>
            </w:pPr>
            <w:r>
              <w:t xml:space="preserve">33</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Повреждение сердца, его оболочек и крупных магистральных сосудов, не повлекшее за собой сердечно-сосудистую недостаточность.</w:t>
            </w:r>
            <w:r/>
          </w:p>
        </w:tc>
        <w:tc>
          <w:tcPr>
            <w:tcBorders>
              <w:top w:val="singl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34</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Сердечно-сосудистая недостаточность, развившаяся вследствие повреждения сердца, его оболочек и крупных магистральных сосудов:</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I степени,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II—III степени.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в выписке ф. №027/у не указана степень сердечно-сосудистой недостаточности, страховая сумма выплачивается по ст. 34а.</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35</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крупных периферических сосудов (не повлекшее за собой нарушение кровообращения) на уроне до (включительно):</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а) плеча, бедра,</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б) предплечья, голени.</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36</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spacing w:line="288" w:lineRule="auto"/>
            </w:pPr>
            <w:r>
              <w:t xml:space="preserve">Нарушение кровообращения органа или системы развившееся вследствие повреждения соответствующих крупных периферических сосудов.</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 </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К крупным магистральным сосудам следует относить аорту легочную, безымянную, сонные артерии, внутренние яремные вены, верхнюю и нижнюю полые вены, воротную вену, а также магистральные сосуды, обеспечивающие кровообращение внутренних органов. К крупным </w:t>
            </w:r>
            <w:r>
              <w:t xml:space="preserve">периферическим сосудам следует относить: подключичные, подмышечные, плечевые, локтевые и лучевые артерии, подвздошные, бедренные, подколенные, передние и задние большеберцовые артерии, плечеголовные, подключичные, подмышечные, бедренные и подколенные вены.</w:t>
            </w:r>
            <w:r/>
          </w:p>
          <w:p>
            <w:pPr>
              <w:pStyle w:val="715"/>
              <w:ind w:firstLine="238"/>
            </w:pPr>
            <w:r>
              <w:t xml:space="preserve">2. Если страхователь в своем заявлении указал, что травма повлекла за собой нарушение функции сердечно-сосудистой системы, необходимо получить заключение специалиста.</w:t>
            </w:r>
            <w:r/>
          </w:p>
          <w:p>
            <w:pPr>
              <w:pStyle w:val="715"/>
              <w:ind w:firstLine="238"/>
            </w:pPr>
            <w:r>
              <w:t xml:space="preserve">3. Страховая сумма по ст. 34, 36 выплачив</w:t>
            </w:r>
            <w:r>
              <w:t xml:space="preserve">ается дополнительно, если указанные в этих статьях осложнения травмы будут установлены в лечебно-профилактическом учреждении по истечении 3 месяцев после травмы и подтверждены справкой этого учреждения. Ранее этого срока выплата производится по ст. 33, 35.</w:t>
            </w:r>
            <w:r/>
          </w:p>
          <w:p>
            <w:pPr>
              <w:pStyle w:val="715"/>
              <w:ind w:firstLine="238"/>
            </w:pPr>
            <w:r>
              <w:t xml:space="preserve">4. Если в связи с повреждением крупных сосудов проводились операции с целью восстановления сосудистого русла, дополнительно выплачиваются 5% страховой суммы.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Органы пищеварения</w:t>
            </w:r>
            <w:r>
              <w:rPr>
                <w:b/>
              </w:rP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37</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Перелом верхней челюсти, скуловой кости или нижней челюсти, вывих челюсти:</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перелом одной кости; вывих челюсти,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перелом двух и более костей или двойной перелом одной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При переломе челюсти, случайно наступившем во время стоматологических манипуляций, страховая сумма выплачивается на общих основаниях.</w:t>
            </w:r>
            <w:r/>
          </w:p>
          <w:p>
            <w:pPr>
              <w:pStyle w:val="715"/>
              <w:ind w:firstLine="238"/>
            </w:pPr>
            <w:r>
              <w:t xml:space="preserve">2. Перелом альвеолярного отростка, наступивший при потере зубов, не дает оснований для выплаты страховой суммы.</w:t>
            </w:r>
            <w:r/>
          </w:p>
          <w:p>
            <w:pPr>
              <w:pStyle w:val="715"/>
              <w:ind w:firstLine="238"/>
            </w:pPr>
            <w:r>
              <w:t xml:space="preserve">3. Если в связи с травмой челюстей скуловых костей проводились оперативные вмешательства, дополнительно выплачиваются 5% страховой суммы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38</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spacing w:line="288" w:lineRule="auto"/>
            </w:pPr>
            <w:r>
              <w:t xml:space="preserve">Привычный вывих челюсти.</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При привычном вывихе нижней челюсти страховая сумма вып</w:t>
            </w:r>
            <w:r>
              <w:t xml:space="preserve">лачивается дополнительно к страховой сумме, выплаченной по ст. 37, если это осложнение не наступило в результате травмы, полученной в период страхования, и в течение 3 лет после нее. При рецидивах привычного вывиха челюсти страховая сумма не выплачивается.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39</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челюсти, повлекшее за собой отсутствие:</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части челюсти (за исключением альвеолярного отростка),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челюсти.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80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При выплате страховой суммы в связи с отсутствием челюсти или ее части учтена и потеря зубов, независимо от их количества.</w:t>
            </w:r>
            <w:r/>
          </w:p>
          <w:p>
            <w:pPr>
              <w:pStyle w:val="715"/>
              <w:ind w:firstLine="238"/>
            </w:pPr>
            <w:r>
              <w:t xml:space="preserve">2. В тех случаях, когда травма челюсти сопровождалась повреждением других органов ротовой полости, процент страховой суммы, подлежащей выплате, определяется с учетом этих повреждений по соответствующим статьям путем суммирования.</w:t>
            </w:r>
            <w:r/>
          </w:p>
          <w:p>
            <w:pPr>
              <w:pStyle w:val="715"/>
              <w:ind w:firstLine="238"/>
            </w:pPr>
            <w:r>
              <w:t xml:space="preserve">3. При выплате страховой суммы по ст. 39 дополнительная выплата страховой суммы за оперативные вмешательства не производится.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right w:val="single" w:color="000000" w:sz="6" w:space="0"/>
            </w:tcBorders>
            <w:tcW w:w="715" w:type="dxa"/>
            <w:vAlign w:val="top"/>
            <w:textDirection w:val="lrTb"/>
            <w:noWrap w:val="false"/>
          </w:tcPr>
          <w:p>
            <w:pPr>
              <w:pStyle w:val="715"/>
              <w:ind w:firstLine="0"/>
              <w:jc w:val="center"/>
            </w:pPr>
            <w:r>
              <w:t xml:space="preserve">40</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Повреждение языка, полости рта (ранение, ожог, отморожение и т.д.), повлекшее за собой образование рубцов (независимо от их размера).</w:t>
            </w:r>
            <w:r/>
          </w:p>
        </w:tc>
        <w:tc>
          <w:tcPr>
            <w:tcBorders>
              <w:top w:val="singl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41</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языка,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отсутствие кончика языка,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отсутствие дистальной трети языка,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в) отсутствие языка на уровне средней трети,</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г) отсутствие языка на уровне корня или полное отсутствие языка.</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60</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42</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зубов,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отлом коронки зуба, перелом зуба (коронки, шейки, корня), вывих зуба,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потерю 1 зуба,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потерю 2-3 зубов,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потерю 4-8 зубов,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потерю 9-12 зубов,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е) потерю 13 и более зубов.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При переломе или потере в результате травмы зубов с несъемными протезами страховая сумма выплачивается с учетом потери только опорных зубов. При повреждении в результате травмы съемных протезов страховая сумма не выплачивается.</w:t>
            </w:r>
            <w:r/>
          </w:p>
          <w:p>
            <w:pPr>
              <w:pStyle w:val="715"/>
              <w:ind w:firstLine="238"/>
            </w:pPr>
            <w:r>
              <w:t xml:space="preserve">2. При потере или переломе молочных зубов у детей до 5 лет страховая сумма выплачивается на общих основаниях.</w:t>
            </w:r>
            <w:r/>
          </w:p>
          <w:p>
            <w:pPr>
              <w:pStyle w:val="715"/>
              <w:ind w:firstLine="238"/>
            </w:pPr>
            <w:r>
              <w:t xml:space="preserve">3. При потере зубов и переломе челюсти размер страховой суммы, подлежащей выплате, определяется по ст. 37 и 42 путем суммирования.</w:t>
            </w:r>
            <w:r/>
          </w:p>
          <w:p>
            <w:pPr>
              <w:pStyle w:val="715"/>
              <w:ind w:firstLine="238"/>
            </w:pPr>
            <w:r>
              <w:t xml:space="preserve">4. Если в связи с травмой зуба было выплачено страховое пособие по ст. 42а, а в дальнейшем этот зуб был удален, из страховой суммы, подлежащей выплате, вычитается выплаченное ранее страховое пособие.</w:t>
            </w:r>
            <w:r/>
          </w:p>
          <w:p>
            <w:pPr>
              <w:pStyle w:val="715"/>
              <w:ind w:firstLine="238"/>
            </w:pPr>
            <w:r>
              <w:t xml:space="preserve">5. Если удаленный в связи с травмой зуб будет имплантирован, страховая сумма выплачивается на общих основаниях по ст. 42. В случае удаления этого зуба дополнительная выплата не производится.</w:t>
            </w:r>
            <w:r/>
          </w:p>
          <w:p>
            <w:pPr>
              <w:pStyle w:val="715"/>
              <w:ind w:firstLine="238"/>
            </w:pPr>
            <w:r>
              <w:t xml:space="preserve">6.</w:t>
            </w:r>
            <w:r>
              <w:t xml:space="preserve"> Если отлом коронки зуба или перелом зуба произошли с зубом, ранее леченным по поводу глубокого кариеса, то зуб считается неполноценным и выплата уменьшается на 2% при переломе одного зуба и на 1% при переломе 2-х и более зубов за каждый неполноценный зуб.</w:t>
            </w:r>
            <w:r/>
          </w:p>
          <w:p>
            <w:pPr>
              <w:pStyle w:val="715"/>
              <w:ind w:firstLine="238"/>
            </w:pPr>
            <w:r>
              <w:t xml:space="preserve">7. Если травматический вывих зуба произошел у больного парадонтозом III степени, то зубы считаются неполноценными и выплата уменьшается в 2 раза.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43</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Повреждение (ранение, разрыв, ожог) глотки, пищевода, желудка, кишечника, а также эзофагогастроскопия, произведенная в связи с этими повреждениями или с целью удаления инородного тела пищевода, желудка, не повлекшее за собой функциональных нарушений.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44</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(ранение, разрыв, ожог) пищевода, вызвавшее:</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сужение пищевода,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непроходимость пищевода (при наличии гастростомы), а также состояние после пластики пищевода.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Процент страховой суммы, подлежащей выплате по ст. 44, определяется не ранее, чем через 6 месяцев со дня травмы. Ранее этого срока страховая сумма выплачивается предварительно по ст. 43 и этот процент вычитается при принятии окончательно решения.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45</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(разрыв, ожог, ранение) органов пищеварения, случайное острое отравление,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холецистит, дуоденит, гастрит, панкреатит, энтерит, колит, проктит, парапроктит,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рубцовое сужение (деформацию) желудка, кишечника, заднепроходного отверстия,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спаечную болезнь, состояние после различных операций в полости живота,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кишечный свищ, кишечно-влагалищный свищ, свищ поджелудочной железы,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противоестественный задний проход (колостома).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При осложнениях травмы, предусмотренных в подпунктах а, б, в, страховая сумма выплачивается при условии, что эти осложнения имеются по истечении 3 месяцев после травмы, а предусмотренные в подпунктах «г» и «д» — по истечении б месяцев после трав</w:t>
            </w:r>
            <w:r>
              <w:t xml:space="preserve">мы. Указанные осложнения травмы признаются только в том случае, если они подтверждены справкой лечебно-профилактического учреждения. Ранее этих сроков страховая сумма выплачивается по ст. 43 и этот процент не вычитается при принятии окончательного решения.</w:t>
            </w:r>
            <w:r/>
          </w:p>
          <w:p>
            <w:pPr>
              <w:pStyle w:val="715"/>
              <w:ind w:firstLine="238"/>
            </w:pPr>
            <w:r>
              <w:t xml:space="preserve">2. Если в результате одной трав</w:t>
            </w:r>
            <w:r>
              <w:t xml:space="preserve">мы возникнут осложнения, перечисленные в одном подпункте, страховая сумма выплачивается однократно. Однако, если возникли патологические изменения, перечисленные в разных подпунктах, страховая сумма выплачивается с учетом каждого из них путем суммирования.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46</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Грыжа, образовавшаяся на месте повреждения передней брюшной стенки, диафрагмы или в области послеоперационного рубца, если операция проводилась в связи с травмой, или состояние после операции по поводу такой грыжи.</w:t>
            </w:r>
            <w:r/>
          </w:p>
          <w:p>
            <w:pPr>
              <w:pStyle w:val="715"/>
              <w:ind w:firstLine="238"/>
            </w:pPr>
            <w:r>
              <w:t xml:space="preserve">Примечания:</w:t>
            </w:r>
            <w:r/>
          </w:p>
          <w:p>
            <w:pPr>
              <w:pStyle w:val="715"/>
              <w:ind w:firstLine="238"/>
            </w:pPr>
            <w:r>
              <w:t xml:space="preserve">1. Страховая сумма по ст. 46 выплачивается дополнительно к страховой сумме, определенной в связи с травмой органов живота, если она явилась прямым последствием этой травмы.</w:t>
            </w:r>
            <w:r/>
          </w:p>
          <w:p>
            <w:pPr>
              <w:pStyle w:val="715"/>
              <w:ind w:firstLine="238"/>
            </w:pPr>
            <w:r>
              <w:t xml:space="preserve">2. Грыжи живота (пупочные, бедренные, белой линии, паховые и пахово-мошоночные), возникшие в результате поднятия тяжести, не дают оснований для выплаты страховой суммы.</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47</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печени в результате травмы или случайного острого отравления,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а) подкапсульный разрыв печени, не потребовавший оперативного вмешательства, гепатит, сывороточный гепатит, развившийся непосредственно в связи с травмой, гепатоз,</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б) печеночную недостаточность.</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48</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печени, желчного пузыря, повлекшие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ушивание разрывов печени или удаление желчного пузыря,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ушивание разрывов печени и удаление желчного пузыря,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в) удаление части печени,</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г) удаление части печени и желчного пузыря.</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35</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49</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селезенки,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а) подкапсульный разрыв селезенки, не потребовавший оперативного вмешательства,</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б) удаление селезенки.</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0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50</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желудка, поджелудочной железы, кишечника, брыжейки,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образование ложной кисты поджелудочной железы,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резекцию желудка, кишечника, поджелудочной железы,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удаление желудка.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60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При последствиях тр</w:t>
            </w:r>
            <w:r>
              <w:t xml:space="preserve">авмы, перечисленных в одном подпункте, страховая сумма выплачивается однократно. Однако, если травма различных органов повлечет за собой осложнения, указанные в различных подпунктах, страховая сумма выплачивается с учетом каждого из них путем суммирования.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74"/>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51</w:t>
            </w:r>
            <w:r/>
          </w:p>
        </w:tc>
        <w:tc>
          <w:tcPr>
            <w:tcBorders>
              <w:top w:val="single" w:color="000000" w:sz="6"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органов живота, в связи с которым произведены:</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лапароскопия (лапароцентез) в т.ч. и диагностическая,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лапаротомия при подозрении на повреждение органов живота (в том числе с лапароскопией, лапароцентезом),</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2"/>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лапаротомия при повреждении органов живота (в том числе с лапароскопией,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30"/>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лапароцентезом),</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повторные лапаротомии (релапаротомии) вне зависимости от их количества.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 </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в связи с травмой органов живота имеются основания для выплаты страховой суммы по ст. 47-50, ст. 51 (кроме подпункта «г») не применяется.</w:t>
            </w:r>
            <w:r/>
          </w:p>
          <w:p>
            <w:pPr>
              <w:pStyle w:val="715"/>
              <w:ind w:firstLine="238"/>
            </w:pPr>
            <w:r>
              <w:t xml:space="preserve">2. Если в результате одной травмы будут повреждены различные органы брюшной полости, из которых один или несколько будут удалены, а другой (другие) ушиты, страховая сумма выплачивается по соответствующим статьям и ст. 51 в.) однократно.</w:t>
            </w:r>
            <w:r/>
          </w:p>
          <w:p>
            <w:pPr>
              <w:pStyle w:val="715"/>
              <w:ind w:firstLine="238"/>
            </w:pPr>
            <w:r>
              <w:t xml:space="preserve">3. В том случае, когда в результате одной травмы будут повреждены органы пищеварительной, мочевыделительной или половой системы (без их удаления), дополнительно выплачивается страховая сумма по ст. 55 а.) (5%).</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192"/>
        </w:trPr>
        <w:tc>
          <w:tcPr>
            <w:tcBorders>
              <w:top w:val="none" w:color="000000" w:sz="4" w:space="0"/>
              <w:left w:val="single" w:color="000000" w:sz="6" w:space="0"/>
              <w:bottom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6" w:space="0"/>
              <w:right w:val="single" w:color="000000" w:sz="6" w:space="0"/>
            </w:tcBorders>
            <w:tcW w:w="660" w:type="dxa"/>
            <w:vAlign w:val="top"/>
            <w:textDirection w:val="lrTb"/>
            <w:noWrap w:val="false"/>
          </w:tcPr>
          <w:p>
            <w:pPr>
              <w:pStyle w:val="715"/>
              <w:ind w:left="-6" w:firstLine="0"/>
            </w:pPr>
            <w:r/>
            <w:r/>
          </w:p>
        </w:tc>
      </w:tr>
      <w:tr>
        <w:tblPrEx/>
        <w:trPr>
          <w:trHeight w:val="235"/>
        </w:trPr>
        <w:tc>
          <w:tcPr>
            <w:gridSpan w:val="3"/>
            <w:tcBorders>
              <w:top w:val="single" w:color="000000" w:sz="6" w:space="0"/>
              <w:left w:val="single" w:color="000000" w:sz="6" w:space="0"/>
              <w:bottom w:val="single" w:color="000000" w:sz="6"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Мочевыделительная и половая системы</w:t>
            </w:r>
            <w:r>
              <w:rPr>
                <w:b/>
              </w:rPr>
            </w:r>
          </w:p>
        </w:tc>
      </w:tr>
      <w:tr>
        <w:tblPrEx/>
        <w:trPr>
          <w:trHeight w:val="245"/>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52</w:t>
            </w:r>
            <w:r/>
          </w:p>
        </w:tc>
        <w:tc>
          <w:tcPr>
            <w:tcBorders>
              <w:top w:val="single" w:color="000000" w:sz="6"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Травма почки, повлекшая за собой:</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35"/>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ушиб почки, подкапсульный разрыв почки, не потребовавший оперативного вмешательства,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ушивание почки,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удаление части почки,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192"/>
        </w:trPr>
        <w:tc>
          <w:tcPr>
            <w:tcBorders>
              <w:top w:val="none" w:color="000000" w:sz="4" w:space="0"/>
              <w:left w:val="single" w:color="000000" w:sz="6" w:space="0"/>
              <w:bottom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6" w:space="0"/>
              <w:right w:val="single" w:color="000000" w:sz="6" w:space="0"/>
            </w:tcBorders>
            <w:tcW w:w="8783" w:type="dxa"/>
            <w:vAlign w:val="top"/>
            <w:textDirection w:val="lrTb"/>
            <w:noWrap w:val="false"/>
          </w:tcPr>
          <w:p>
            <w:pPr>
              <w:pStyle w:val="715"/>
              <w:ind w:firstLine="238"/>
            </w:pPr>
            <w:r>
              <w:t xml:space="preserve">г) удаление почки.</w:t>
            </w:r>
            <w:r/>
          </w:p>
        </w:tc>
        <w:tc>
          <w:tcPr>
            <w:tcBorders>
              <w:top w:val="none" w:color="000000" w:sz="4" w:space="0"/>
              <w:left w:val="single" w:color="000000" w:sz="6" w:space="0"/>
              <w:bottom w:val="single" w:color="000000" w:sz="6" w:space="0"/>
              <w:right w:val="single" w:color="000000" w:sz="6" w:space="0"/>
            </w:tcBorders>
            <w:tcW w:w="660" w:type="dxa"/>
            <w:vAlign w:val="top"/>
            <w:textDirection w:val="lrTb"/>
            <w:noWrap w:val="false"/>
          </w:tcPr>
          <w:p>
            <w:pPr>
              <w:pStyle w:val="715"/>
              <w:ind w:left="-6" w:firstLine="0"/>
              <w:jc w:val="center"/>
            </w:pPr>
            <w:r>
              <w:t xml:space="preserve">60</w:t>
            </w:r>
            <w:r/>
          </w:p>
        </w:tc>
      </w:tr>
      <w:tr>
        <w:tblPrEx/>
        <w:trPr>
          <w:trHeight w:val="254"/>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53</w:t>
            </w:r>
            <w:r/>
          </w:p>
        </w:tc>
        <w:tc>
          <w:tcPr>
            <w:tcBorders>
              <w:top w:val="single" w:color="000000" w:sz="6"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органов мочевыделительной системы (почек, мочеточников, мочевого пузыря, мочеиспускательного канала), повлекшее за собой:</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цистит, уретрит,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острую почечную недостаточность, пиелит, пиелоцистит,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уменьшение объема мочевого пузыря,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30"/>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гломерулонефрит, пиелонефрит, сужение мочеточника, мочеиспускательного канала,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д) синдром длительного раздавливания (краш-синдром, синдром размозжения) сопровождающийся острой почечной недостаточностью;</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е) хроническая почечная недостаточность, не требующая регулярного гемодиализа.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ж) непроходимость мочеточника, мочеиспускательного канала, мочеполовые свищи; хроническая почечная недостаточность, требующая регулярный гемодиализ.</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в результате травмы наступит нарушение функции нескольких органов </w:t>
            </w:r>
            <w:r/>
          </w:p>
          <w:p>
            <w:pPr>
              <w:pStyle w:val="715"/>
              <w:ind w:firstLine="238"/>
            </w:pPr>
            <w:r>
              <w:t xml:space="preserve">мочевыделительной системы, процент страховой суммы, подлежащей выплате, определяется по одному из подпунктов ст. 53, учитывающему наиболее тяжелое последствие повреждения.</w:t>
            </w:r>
            <w:r/>
          </w:p>
          <w:p>
            <w:pPr>
              <w:pStyle w:val="715"/>
              <w:ind w:firstLine="238"/>
            </w:pPr>
            <w:r>
              <w:t xml:space="preserve">2. Страховая с</w:t>
            </w:r>
            <w:r>
              <w:t xml:space="preserve">умма в связи с последствиями травмы, перечисленными в подпунктах "а", "в", "г", "е" и "ж" ст. 53, выплачивается в том случае, если эти осложнения имеются по истечении 3 месяцев после травмы. Ранее этого срока страховая сумма выплачивается по ст. 52 или 55а</w:t>
            </w:r>
            <w:r>
              <w:t xml:space="preserve"> </w:t>
            </w:r>
            <w:r>
              <w:t xml:space="preserve">и этот процент не вычитается при принятии окончательного решения.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64"/>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54</w:t>
            </w:r>
            <w:r/>
          </w:p>
        </w:tc>
        <w:tc>
          <w:tcPr>
            <w:tcBorders>
              <w:top w:val="single" w:color="000000" w:sz="6"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Оперативные вмешательства, произведенные в связи с травмой органов мочевыделительной системы:</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цистостомия,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при подозрении на повреждение органов,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при повреждении органов,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повторные операции, произведенные в связи с травмой (независимо от их количества).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 </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30"/>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в связи с травмой было произведено удаление почки или ее части, страховая сумма выплачивается по ст. 52 (в, г); ст. 54 при этом не применяется.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54"/>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55</w:t>
            </w:r>
            <w:r/>
          </w:p>
        </w:tc>
        <w:tc>
          <w:tcPr>
            <w:tcBorders>
              <w:top w:val="single" w:color="000000" w:sz="6"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органов половой или мочевыделительной системы:</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ранение, разрыв, ожог, отморожение,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2"/>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изнасилование лица в возрасте: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до 15 лет,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50</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с 15 до 18 лет,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06"/>
        </w:trPr>
        <w:tc>
          <w:tcPr>
            <w:tcBorders>
              <w:top w:val="none" w:color="000000" w:sz="4" w:space="0"/>
              <w:left w:val="single" w:color="000000" w:sz="6" w:space="0"/>
              <w:bottom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6" w:space="0"/>
              <w:right w:val="single" w:color="000000" w:sz="6" w:space="0"/>
            </w:tcBorders>
            <w:tcW w:w="8783" w:type="dxa"/>
            <w:vAlign w:val="top"/>
            <w:textDirection w:val="lrTb"/>
            <w:noWrap w:val="false"/>
          </w:tcPr>
          <w:p>
            <w:pPr>
              <w:pStyle w:val="715"/>
              <w:ind w:firstLine="238"/>
            </w:pPr>
            <w:r>
              <w:t xml:space="preserve">18 лет и старше.</w:t>
            </w:r>
            <w:r/>
          </w:p>
        </w:tc>
        <w:tc>
          <w:tcPr>
            <w:tcBorders>
              <w:top w:val="none" w:color="000000" w:sz="4" w:space="0"/>
              <w:left w:val="single" w:color="000000" w:sz="6" w:space="0"/>
              <w:bottom w:val="single" w:color="000000" w:sz="6"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59"/>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56</w:t>
            </w:r>
            <w:r/>
          </w:p>
        </w:tc>
        <w:tc>
          <w:tcPr>
            <w:tcBorders>
              <w:top w:val="single" w:color="000000" w:sz="6"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половой системы, повлекшее за собой потерю или удаление:</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а) одного яичника, маточной трубы, яичка,</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45"/>
        </w:trPr>
        <w:tc>
          <w:tcPr>
            <w:tcBorders>
              <w:top w:val="none" w:color="000000" w:sz="4" w:space="0"/>
              <w:left w:val="single" w:color="000000" w:sz="4" w:space="0"/>
              <w:right w:val="single" w:color="000000" w:sz="4" w:space="0"/>
            </w:tcBorders>
            <w:tcW w:w="715" w:type="dxa"/>
            <w:vAlign w:val="top"/>
            <w:textDirection w:val="lrTb"/>
            <w:noWrap w:val="false"/>
          </w:tcPr>
          <w:p>
            <w:pPr>
              <w:pStyle w:val="715"/>
              <w:ind w:firstLine="0"/>
              <w:jc w:val="center"/>
            </w:pPr>
            <w:r/>
            <w:r/>
          </w:p>
        </w:tc>
        <w:tc>
          <w:tcPr>
            <w:tcBorders>
              <w:top w:val="none" w:color="000000" w:sz="4" w:space="0"/>
              <w:left w:val="single" w:color="000000" w:sz="4" w:space="0"/>
              <w:right w:val="single" w:color="000000" w:sz="4" w:space="0"/>
            </w:tcBorders>
            <w:tcW w:w="8783" w:type="dxa"/>
            <w:vAlign w:val="top"/>
            <w:vMerge w:val="restart"/>
            <w:textDirection w:val="lrTb"/>
            <w:noWrap w:val="false"/>
          </w:tcPr>
          <w:p>
            <w:pPr>
              <w:pStyle w:val="715"/>
              <w:ind w:firstLine="238"/>
            </w:pPr>
            <w:r>
              <w:t xml:space="preserve">б) обоих яичников, обеих маточных труб, единственных маточной трубы или яичника, яичек, части полового члена.</w:t>
            </w:r>
            <w:r/>
          </w:p>
        </w:tc>
        <w:tc>
          <w:tcPr>
            <w:tcBorders>
              <w:top w:val="none" w:color="000000" w:sz="4" w:space="0"/>
              <w:left w:val="single" w:color="000000" w:sz="4" w:space="0"/>
              <w:right w:val="single" w:color="000000" w:sz="4" w:space="0"/>
            </w:tcBorders>
            <w:tcW w:w="660" w:type="dxa"/>
            <w:vAlign w:val="top"/>
            <w:textDirection w:val="lrTb"/>
            <w:noWrap w:val="false"/>
          </w:tcPr>
          <w:p>
            <w:pPr>
              <w:pStyle w:val="715"/>
              <w:ind w:left="-6" w:firstLine="0"/>
              <w:jc w:val="center"/>
            </w:pPr>
            <w:r>
              <w:t xml:space="preserve">30</w:t>
            </w:r>
            <w:r/>
          </w:p>
        </w:tc>
      </w:tr>
      <w:tr>
        <w:tblPrEx/>
        <w:trPr>
          <w:trHeight w:val="269"/>
        </w:trPr>
        <w:tc>
          <w:tcPr>
            <w:tcBorders>
              <w:left w:val="single" w:color="000000" w:sz="6" w:space="0"/>
              <w:bottom w:val="none" w:color="000000" w:sz="4" w:space="0"/>
              <w:right w:val="single" w:color="000000" w:sz="4" w:space="0"/>
            </w:tcBorders>
            <w:tcW w:w="715" w:type="dxa"/>
            <w:vAlign w:val="top"/>
            <w:textDirection w:val="lrTb"/>
            <w:noWrap w:val="false"/>
          </w:tcPr>
          <w:p>
            <w:pPr>
              <w:pStyle w:val="715"/>
              <w:ind w:firstLine="0"/>
              <w:jc w:val="center"/>
            </w:pPr>
            <w:r/>
            <w:r/>
          </w:p>
        </w:tc>
        <w:tc>
          <w:tcPr>
            <w:tcBorders>
              <w:left w:val="single" w:color="000000" w:sz="4" w:space="0"/>
              <w:bottom w:val="none" w:color="000000" w:sz="4" w:space="0"/>
              <w:right w:val="single" w:color="000000" w:sz="4" w:space="0"/>
            </w:tcBorders>
            <w:tcW w:w="8783" w:type="dxa"/>
            <w:vAlign w:val="top"/>
            <w:vMerge w:val="continue"/>
            <w:textDirection w:val="lrTb"/>
            <w:noWrap w:val="false"/>
          </w:tcPr>
          <w:p>
            <w:pPr>
              <w:pStyle w:val="715"/>
              <w:ind w:firstLine="238"/>
            </w:pPr>
            <w:r/>
            <w:r/>
          </w:p>
        </w:tc>
        <w:tc>
          <w:tcPr>
            <w:tcBorders>
              <w:left w:val="single" w:color="000000" w:sz="4"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матки у женщин в возрасте до 40 лет,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с 40 до 50 лет,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50 лет и старше,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полового члена или обоих яичек.</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50</w:t>
            </w:r>
            <w:r/>
          </w:p>
        </w:tc>
      </w:tr>
      <w:tr>
        <w:tblPrEx/>
        <w:trPr>
          <w:trHeight w:val="206"/>
        </w:trPr>
        <w:tc>
          <w:tcPr>
            <w:tcBorders>
              <w:top w:val="none" w:color="000000" w:sz="4" w:space="0"/>
              <w:left w:val="single" w:color="000000" w:sz="6" w:space="0"/>
              <w:bottom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6" w:space="0"/>
              <w:right w:val="single" w:color="000000" w:sz="6" w:space="0"/>
            </w:tcBorders>
            <w:tcW w:w="8783" w:type="dxa"/>
            <w:vAlign w:val="top"/>
            <w:textDirection w:val="lrTb"/>
            <w:noWrap w:val="false"/>
          </w:tcPr>
          <w:p>
            <w:pPr>
              <w:pStyle w:val="715"/>
              <w:ind w:firstLine="238"/>
            </w:pPr>
            <w:r>
              <w:t xml:space="preserve">д) полового члена и обоих яичек или матки и придатков.</w:t>
            </w:r>
            <w:r/>
          </w:p>
        </w:tc>
        <w:tc>
          <w:tcPr>
            <w:tcBorders>
              <w:top w:val="none" w:color="000000" w:sz="4" w:space="0"/>
              <w:left w:val="single" w:color="000000" w:sz="6" w:space="0"/>
              <w:bottom w:val="single" w:color="000000" w:sz="6" w:space="0"/>
              <w:right w:val="single" w:color="000000" w:sz="6" w:space="0"/>
            </w:tcBorders>
            <w:tcW w:w="660" w:type="dxa"/>
            <w:vAlign w:val="top"/>
            <w:textDirection w:val="lrTb"/>
            <w:noWrap w:val="false"/>
          </w:tcPr>
          <w:p>
            <w:pPr>
              <w:pStyle w:val="715"/>
              <w:ind w:left="-6" w:firstLine="0"/>
              <w:jc w:val="center"/>
            </w:pPr>
            <w:r>
              <w:t xml:space="preserve">70</w:t>
            </w:r>
            <w:r/>
          </w:p>
        </w:tc>
      </w:tr>
      <w:tr>
        <w:tblPrEx/>
        <w:trPr>
          <w:trHeight w:val="245"/>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57</w:t>
            </w:r>
            <w:r/>
          </w:p>
        </w:tc>
        <w:tc>
          <w:tcPr>
            <w:tcBorders>
              <w:top w:val="single" w:color="000000" w:sz="6"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Внематочная беременность, патологические роды, повлекшие за собой:</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удаление маточной трубы, яичника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удаление обеих маточных труб, обоих яичников, удаление единственной маточной трубы, единственного яичника,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потерю матки (в том числе с придатками) в возрасте: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до 40 лет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50</w:t>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с 40 до 50 лет,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50 лет и старше.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г) прерывание беременности, не зависимо от ее срока, если оно находится в прямой причинной связи с внешним воздействием, а не обусловлено индивидуальными особенностями организма или заболеванием Застрахованной.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50</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30"/>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В тех случаях, когда во время операции по поводу внематочной беременности одновременно с беременной трубой удаляется (перевязывается) и вторая маточная труба в связи с ее заболеванием или с целью стерилизации, страховая сумма выплачивается по ст. 57а.</w:t>
            </w:r>
            <w:r/>
          </w:p>
          <w:p>
            <w:pPr>
              <w:pStyle w:val="715"/>
              <w:ind w:firstLine="238"/>
            </w:pPr>
            <w:r>
              <w:t xml:space="preserve">2. Если при прерывании беременности (ст. 57г.) возникли осложнения, указанные в других подпунктах данной статьи, то страховая сумма суммируется.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30"/>
        </w:trPr>
        <w:tc>
          <w:tcPr>
            <w:gridSpan w:val="3"/>
            <w:tcBorders>
              <w:top w:val="single" w:color="000000" w:sz="6" w:space="0"/>
              <w:left w:val="single" w:color="000000" w:sz="6" w:space="0"/>
              <w:bottom w:val="single" w:color="000000" w:sz="6"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Мягкие ткани</w:t>
            </w:r>
            <w:r/>
          </w:p>
        </w:tc>
      </w:tr>
      <w:tr>
        <w:tblPrEx/>
        <w:trPr>
          <w:trHeight w:val="287"/>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58</w:t>
            </w:r>
            <w:r/>
          </w:p>
        </w:tc>
        <w:tc>
          <w:tcPr>
            <w:tcBorders>
              <w:top w:val="single" w:color="000000" w:sz="6"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мягких тканей лица, передне-боковой поверхности шеи, век, подчелюстной области, ушных раковин, повлекшее за собой после заживления:</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образование рубцов площадью от 0,5 до 1,0 кв. см,</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30"/>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образование рубцов площадью 1,0 кв. см и более или длиной 5 см и более,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0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значительные косметические дефекты (рубцы площадью от 2 до 6 кв. см),</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резкие косметические дефекты (рубцы площадью от 6 до 15 кв. см),</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обезображение (рубцы площадью от 15 кв. см).</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70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 </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К косметически заметным рубцам относятся рубцы, отличающиеся по окраске от окружающей кожи, втянутые или выступающие над ее поверхностью, стягивающие ткани.</w:t>
            </w:r>
            <w:r/>
          </w:p>
          <w:p>
            <w:pPr>
              <w:pStyle w:val="715"/>
              <w:ind w:firstLine="238"/>
            </w:pPr>
            <w:r>
              <w:t xml:space="preserve">Обезображение - это резкое изменение естественного вида лица человека в результате механического, химического, термического и других насильственных воздействий.</w:t>
            </w:r>
            <w:r/>
          </w:p>
          <w:p>
            <w:pPr>
              <w:pStyle w:val="715"/>
              <w:ind w:firstLine="238"/>
            </w:pPr>
            <w:r>
              <w:t xml:space="preserve">2. Если</w:t>
            </w:r>
            <w:r>
              <w:t xml:space="preserve"> в связи с переломом костей лицевого черепа со смещением отломков была произведена операция (открытая репозция), вследствие чего на лице образовался рубец, страховая сумма выплачивается с учетом перелома и послеоперационного рубца, если этот рубец нарушает</w:t>
            </w:r>
            <w:r>
              <w:t xml:space="preserve"> </w:t>
            </w:r>
            <w:r>
              <w:t xml:space="preserve">«косметические нормы» в той или иной степени.</w:t>
            </w:r>
            <w:r/>
          </w:p>
          <w:p>
            <w:pPr>
              <w:pStyle w:val="715"/>
              <w:ind w:firstLine="238"/>
            </w:pPr>
            <w:r>
              <w:t xml:space="preserve">3. Если в результате повреждения мягких тканей лица, передне-боковой поверхности шеи, подчелюстной области образовался рубец или пигментное пятно и в связи</w:t>
            </w:r>
            <w:r>
              <w:t xml:space="preserve"> с этим была выплачена соответствующая часть страховой суммы, а затем застрахованный получил повторную травму, повлекшую за собой образование новых рубцов (пигментных пятен), вновь выплачивается страховая сумма только с учетом последствий последней травмы.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30"/>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70"/>
        </w:trPr>
        <w:tc>
          <w:tcPr>
            <w:tcBorders>
              <w:top w:val="single" w:color="000000" w:sz="6"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59</w:t>
            </w:r>
            <w:r/>
          </w:p>
        </w:tc>
        <w:tc>
          <w:tcPr>
            <w:tcBorders>
              <w:top w:val="single" w:color="000000" w:sz="6"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Повреждение мягких тканей волосистой части головы, заднебоковых поверхностей шеи,</w:t>
            </w:r>
            <w:r>
              <w:t xml:space="preserve"> </w:t>
            </w:r>
            <w:r>
              <w:t xml:space="preserve">туловища, конечностей, повлекшее за собой после заживления образование рубцов площадью:</w:t>
            </w:r>
            <w:r/>
          </w:p>
        </w:tc>
        <w:tc>
          <w:tcPr>
            <w:tcBorders>
              <w:top w:val="single" w:color="000000" w:sz="6"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 2,0 до 5,0 кв. см или длиной от 5 см и более,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от 5 кв. см до 0,5 % поверхности тела,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от 0,5 % до 2,0 % поверхности тела,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от 2,0 % до 4,0 % поверхности тела,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от 4 % до 6 % поверхности тела,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е) от б % до 8 % поверхности тела,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ж) от 8 % до 10% поверхности тела,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з) от 10% до 15% поверхности тела,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35</w:t>
            </w:r>
            <w:r/>
          </w:p>
        </w:tc>
      </w:tr>
      <w:tr>
        <w:tblPrEx/>
        <w:trPr>
          <w:trHeight w:val="230"/>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и) 15% и более % поверхности тела.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 </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1% поверхности тела исследуемого </w:t>
            </w:r>
            <w:r>
              <w:t xml:space="preserve">равен площади ладонной поверхности его кисти и пальцев. Эта площадь определяется в квадратных сантиметрах путем умножения длины кисти, измеряемой от лучезапястного сустава до верхушки ногтевой фаланги III пальца, на ее ширину, измеряемую на уровне головок </w:t>
            </w:r>
            <w:r>
              <w:rPr>
                <w:lang w:val="en-US"/>
              </w:rPr>
              <w:t xml:space="preserve">II</w:t>
            </w:r>
            <w:r>
              <w:t xml:space="preserve">-</w:t>
            </w:r>
            <w:r>
              <w:rPr>
                <w:lang w:val="en-US"/>
              </w:rPr>
              <w:t xml:space="preserve">V</w:t>
            </w:r>
            <w:r>
              <w:t xml:space="preserve"> пястных костей (без учета I пальца).</w:t>
            </w:r>
            <w:r/>
          </w:p>
          <w:p>
            <w:pPr>
              <w:pStyle w:val="715"/>
              <w:ind w:firstLine="238"/>
            </w:pPr>
            <w:r>
              <w:t xml:space="preserve">2. При определении площади рубцов следует учитывать и рубцы, образовавшиеся на месте взятия кожного трансплантата для замещения дефекта пораженного участка кожи.</w:t>
            </w:r>
            <w:r/>
          </w:p>
          <w:p>
            <w:pPr>
              <w:pStyle w:val="715"/>
              <w:ind w:firstLine="238"/>
            </w:pPr>
            <w:r>
              <w:t xml:space="preserve">3. Если страховая сумма выплачивается за оперативное вмешательство (при открытых повреждениях, при пластике сухожилий, сшивании сосудов, нервов и др.), ст. 59 не применяется.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21"/>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60</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мягких тканей туловища, конечностей, повлекшее за собой образование</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пигментных пятен площадью:</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 1% до 2% поверхности тела,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от 2% до 10 %,</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от 10 % до 15%,</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15% и более.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Решение о выплате страховой суммы по ст. 58, 59 и 60 принимается с учетом данных освидетельствования, проведенного после заживления раневых поверхностей, но не ранее 1 месяца после травмы.</w:t>
            </w:r>
            <w:r/>
          </w:p>
          <w:p>
            <w:pPr>
              <w:pStyle w:val="715"/>
              <w:ind w:firstLine="238"/>
            </w:pPr>
            <w:r>
              <w:t xml:space="preserve">2. Общая сумма выплат по ст. 59 и 60 не должна превышать 40%.</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61</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Термические или химические ожоги в соответствии с «Таблицей страховых выплат при ожогах».</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ожоги сопровождаются ожогом дыхательных путей, то дополнительно выплачивается 20%;</w:t>
            </w:r>
            <w:r/>
          </w:p>
          <w:p>
            <w:pPr>
              <w:pStyle w:val="715"/>
              <w:ind w:firstLine="238"/>
            </w:pPr>
            <w:r>
              <w:t xml:space="preserve">2. Если в медицинской документации не указан % каждой степени ожогов, то расчет производится исходя из равных долей, указанный степеней ожогов.</w:t>
            </w:r>
            <w:r/>
          </w:p>
          <w:p>
            <w:pPr>
              <w:pStyle w:val="715"/>
              <w:ind w:firstLine="238"/>
            </w:pPr>
            <w:r>
              <w:t xml:space="preserve">3. При применении данной статьи - ст. 59 и ст.60 не применяются; при ожогах на лице и шее дополнительно применяется ст.58.</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62</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мягких тканей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а) ушибы мягких тканей, повлекшие наступление временной нетрудоспособности свыше 10 дней.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неудаленные инородные тела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мышечная грыжа, посттравматический периостит, не рассосавшаяся гематома площадью не менее 2 кв. см, разрыв мышц одной области.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г) растяжение связочного аппарата крупных суставов (только - локтевого, коленного, плечевого, тазобедренного, лучезапястного, голеностопного суставов) при лечении свыше 10 дней.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д) растяжение связочного аппарата мелких суставов (суставов плюсневых, пястных костей, фаланг пальцев) одной конечности и других не указанных суставов (в т.ч. височно- нижнечелюстного) при лечении свыше 10 дней.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 растяжение мышц одной области (плечо, предплечье, бедро, голень) при лечении свыше 10 дней.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ж) разрыв сухожилия, за исключением пальцев кисти, взятие аутотрансплантата из другого отдела опорно-двигательного аппарата; разрыв мышцы.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Страховая сумма в связи с не рассосавшейся гематомой, мышечной грыжей или</w:t>
            </w:r>
            <w:r/>
          </w:p>
          <w:p>
            <w:pPr>
              <w:pStyle w:val="715"/>
              <w:ind w:firstLine="238"/>
            </w:pPr>
            <w:r>
              <w:t xml:space="preserve">посттравматическим периоститом выплачивается в то</w:t>
            </w:r>
            <w:r>
              <w:t xml:space="preserve">м случае, если эти осложнения травмы имеются по истечении 1 месяца со дня травмы. Решение о выплате страховой суммы (разового пособия) по ст. 62 «а», «б» принимается с учетом данных освидетельствования, проведенного не ранее чем через 1 месяц после травмы.</w:t>
            </w:r>
            <w:r/>
          </w:p>
          <w:p>
            <w:pPr>
              <w:pStyle w:val="715"/>
              <w:ind w:firstLine="238"/>
            </w:pPr>
            <w:r>
              <w:t xml:space="preserve">2. Ссадины и кровоподтеки оплате не подлежат.</w:t>
            </w:r>
            <w:r/>
          </w:p>
          <w:p>
            <w:pPr>
              <w:pStyle w:val="715"/>
              <w:ind w:firstLine="238"/>
            </w:pPr>
            <w:r>
              <w:t xml:space="preserve">3. Выплата за ушибы (п.62 «а») производится только при длительности лечения свыше 10 дней и вне зависимости от количества поврежденных областей.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Позвоночник</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63</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Перелом, перелом с вывихом или вывих тел, дужек и суставных отростков позвонков (за исключением крестца и копчика):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одного-двух,</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б) трех-пяти,</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в) шести и более.</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64</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Разрыв межпозвонковых связок (при сроке лечения не менее 14 дней), подвывих позвонков (за исключением копчика).</w:t>
            </w:r>
            <w:r/>
          </w:p>
          <w:p>
            <w:pPr>
              <w:pStyle w:val="715"/>
              <w:ind w:firstLine="238"/>
            </w:pPr>
            <w:r>
              <w:t xml:space="preserve">Примечание:</w:t>
            </w:r>
            <w:r/>
          </w:p>
          <w:p>
            <w:pPr>
              <w:pStyle w:val="715"/>
              <w:ind w:firstLine="238"/>
            </w:pPr>
            <w:r>
              <w:t xml:space="preserve">При рецидивах подвывиха позвонка страховая сумма не выплачивается.</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t xml:space="preserve">65</w:t>
            </w:r>
            <w:r/>
          </w:p>
        </w:tc>
        <w:tc>
          <w:tcPr>
            <w:tcBorders>
              <w:top w:val="singl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spacing w:line="288" w:lineRule="auto"/>
            </w:pPr>
            <w:r>
              <w:t xml:space="preserve">Перелом каждого поперечного или остистого отростка (без осложнений).</w:t>
            </w:r>
            <w:r/>
          </w:p>
        </w:tc>
        <w:tc>
          <w:tcPr>
            <w:tcBorders>
              <w:top w:val="singl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singl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t xml:space="preserve">66</w:t>
            </w:r>
            <w:r/>
          </w:p>
        </w:tc>
        <w:tc>
          <w:tcPr>
            <w:tcBorders>
              <w:top w:val="singl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spacing w:line="288" w:lineRule="auto"/>
            </w:pPr>
            <w:r>
              <w:t xml:space="preserve">Перелом крестца.</w:t>
            </w:r>
            <w:r/>
          </w:p>
        </w:tc>
        <w:tc>
          <w:tcPr>
            <w:tcBorders>
              <w:top w:val="singl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67</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копчика: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подвывих копчиковых позвонков,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вывих копчиковых позвонков,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перелом копчиковых позвонков.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Примечания:</w:t>
            </w:r>
            <w:r/>
          </w:p>
          <w:p>
            <w:pPr>
              <w:pStyle w:val="715"/>
              <w:ind w:firstLine="238"/>
            </w:pPr>
            <w:r>
              <w:t xml:space="preserve">1. Если в связи с травмой позвоночника (в том числе крестца и копчика) проводились оперативные вмешательства, дополнительно выплачивается 10 % страховой суммы однократно.</w:t>
            </w:r>
            <w:r/>
          </w:p>
          <w:p>
            <w:pPr>
              <w:pStyle w:val="715"/>
              <w:ind w:firstLine="238"/>
            </w:pPr>
            <w:r>
              <w:t xml:space="preserve">2. В том случае, если перелом или вывих позвонков сопровождался повреждением спинного мозга, страховая сумма выплачивается с учетом обоих повреждений путем суммирования.</w:t>
            </w:r>
            <w:r/>
          </w:p>
          <w:p>
            <w:pPr>
              <w:pStyle w:val="715"/>
              <w:ind w:firstLine="238"/>
            </w:pPr>
            <w:r>
              <w:t xml:space="preserve">3. В том случае, если в результате одной травмы произойдет перелом тела позвонка, повреждение связок, перелом поперечных или остистых отростков, страховая сумма выплачивается по статье, предусматривающей наиболее тяжелое повреждение,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Верхняя конечность</w:t>
            </w:r>
            <w:r>
              <w:rPr>
                <w:b/>
              </w:rP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Лопатка и ключица</w:t>
            </w:r>
            <w:r>
              <w:rPr>
                <w:b/>
              </w:rP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68</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Перелом лопатки, ключицы, полный или частичный разрыв акромиально-ключичного, грудино-ключичного сочленений: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перелом, вывих одной кости, разрыв одного сочленения,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перелом двух костей, двойной перелом одной кости, разрыв двух сочленений или перелом, вывих одной кости и разрыв одного сочленения, перелом с вывихом ключицы,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разрыв двух сочленений и перелом одной кости, перелом двух костей и разрыв одного сочленения,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несросшийся перелом (ложный сустав).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В том случае, если в связи с повреждениями, перечисленными в ст. 68, проводились оперативные вмешательства, дополнительно выплачивается 5 % страховой суммы однократно.</w:t>
            </w:r>
            <w:r/>
          </w:p>
          <w:p>
            <w:pPr>
              <w:pStyle w:val="715"/>
              <w:ind w:firstLine="238"/>
            </w:pPr>
            <w:r>
              <w:t xml:space="preserve">2. В том случае, если в связи с открытым переломом проводилось оперативное вмешательство, решение о выплате страховой суммы по ст. 59 принимается по результатам освидетельствования, проведенного после заживления раны.</w:t>
            </w:r>
            <w:r/>
          </w:p>
          <w:p>
            <w:pPr>
              <w:pStyle w:val="715"/>
              <w:ind w:firstLine="238"/>
            </w:pPr>
            <w:r>
              <w:t xml:space="preserve">3</w:t>
            </w:r>
            <w:r>
              <w:t xml:space="preserve">. Страховая сумма в связи с несросшимся переломом (ложным суставом) выплачивается в том случае, если это осложнение травмы будет установлено в лечебно-профилактическом учреждении по истечении 6 месяцев после травмы и подтверждено справкой этого учреждения.</w:t>
            </w:r>
            <w:r/>
          </w:p>
          <w:p>
            <w:pPr>
              <w:pStyle w:val="715"/>
              <w:ind w:firstLine="238"/>
            </w:pPr>
            <w:r>
              <w:t xml:space="preserve">Эта выплата является дополнительной.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Плечевой сустав</w:t>
            </w:r>
            <w:r>
              <w:rPr>
                <w:b/>
              </w:rP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69</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Повреждения области плечевого сустава (суставной впадины лопатки, головки плечевой кости, анатомической хирургической шейки, бугорков, суставной сумки):</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а) разрыв сухожилий, капсулы сустава, отрывы костных фрагментов, в том числе большого бугорка, перелом суставной впадины лопатки, вывих плеча,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б) перелом двух костей, перелом лопатки и вывих плеча,</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в) перелом головки, анатомической, хирургической шейки плеча, переломо- вывих плеча.</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70</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плечевого пояса, повлекшие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привычный вывих плеча,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отсутствие движений в суставе (анкилоз),</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«болтающийся» плечевой сустав в результате резекции суставных поверхностей составляющих его костей.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Страховая сумма по ст. 70 выплачивается дополнительно к страховой су</w:t>
            </w:r>
            <w:r>
              <w:t xml:space="preserve">мме выплаченной в связи с повреждениями области плечевого сустава в том случае, если перечисленные в этой статье осложнения будут установлены лечебно-профилактическим учреждением по истечении 6 месяцев после травмы и подтверждены справкой этого учреждения.</w:t>
            </w:r>
            <w:r/>
          </w:p>
          <w:p>
            <w:pPr>
              <w:pStyle w:val="715"/>
              <w:ind w:firstLine="238"/>
            </w:pPr>
            <w:r>
              <w:t xml:space="preserve">2. В том случае, если в связи с травмой плечевого сустава будут проведены оперативные вмешательства, дополнительно выплачивается 10% страховой суммы.</w:t>
            </w:r>
            <w:r/>
          </w:p>
          <w:p>
            <w:pPr>
              <w:pStyle w:val="715"/>
              <w:ind w:firstLine="238"/>
            </w:pPr>
            <w:r>
              <w:t xml:space="preserve">3. Страховая сумма при привычном вывихе плеча выплачивается в том случае, если он наступил в течение 1 года после первичного вывиха, происшедшего в период действия </w:t>
            </w:r>
            <w:r>
              <w:t xml:space="preserve">настоящего Контракта</w:t>
            </w:r>
            <w:r>
              <w:t xml:space="preserve"> страхования. Диагноз привычного вывиха плеча должен быть подтвержден лечебным учреждением, в котором производилось его вправление. При рецидивах привычного вывиха плеча страховая сумма не выплачивается.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Плечо</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71</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Перелом плечевой кости:</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а) на любом уровне (верхняя, средняя, нижняя треть),</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б) двойной перелом.</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72</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Перелом плечевой кости, повлекший за собой образование несросшегося перелома (ложного сустава).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Страховая сумма по ст. 72 выплачивается дополнительно к страховой сумме, выплаченной в связи с травмой плеча, если указанные осложнения будут установлены в лечебно-профилактическом учреждении по истечении 9 месяцев после травмы.</w:t>
            </w:r>
            <w:r/>
          </w:p>
          <w:p>
            <w:pPr>
              <w:pStyle w:val="715"/>
              <w:ind w:firstLine="238"/>
            </w:pPr>
            <w:r>
              <w:t xml:space="preserve">2. Если перелом плеча сопряжен с травмой нервов, сосудов, то страховые выплаты слагаются.</w:t>
            </w:r>
            <w:r/>
          </w:p>
          <w:p>
            <w:pPr>
              <w:pStyle w:val="715"/>
              <w:ind w:firstLine="238"/>
            </w:pPr>
            <w:r>
              <w:t xml:space="preserve">3. Если в связи с травмой области плеча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73</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Травматическая ампутация верхней конечности или тяжелое повреждение, приведшее к ампутации:</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с лопаткой, ключицей или их частью,</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80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плеча на любом уровне,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75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единственной конечности на уровне плеча.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страховая сумма выплачивается по ст. 73, дополнительная выплата за оперативные вмешательства, послеоперационные рубцы не производится.</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Локтевой сустав</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74</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области локтевого сустава: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гемартроз, пронационный подвывих предплечья,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отрывы костных фрагментов, в том числе лучевой или локтевой кости, вывих лучевой или локтевой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перелом лучевой и локтевой кости, вывих предплечья,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перелом плечевой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перелом плечевой кости с лучевой и локтевой костями.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том случае, если в результате одной травмы наступят различные повреждения, перечисленные в ст. 74, выплата страховой суммы производится в соответствии с подпунктом, учитывающим наиболее тяжелое повреждение.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75</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области локтевого сустава,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отсутствие движений в суставах (анкилоз),</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"болтающийся" локтевой сустав (в результате резекции суставных поверхностей составляющих его костей).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Страховая сумма по ст. 75 выплачивается дополнительно к страховой</w:t>
            </w:r>
            <w:r>
              <w:t xml:space="preserve"> сумме, выплаченной в связи с повреждениями области локтевого сустава, в том случае, если нарушение движений в этом суставе будет установлено лечебно-профилактическим учреждением по истечении 6 месяцев после травмы и подтверждено справкой этого учреждения.</w:t>
            </w:r>
            <w:r/>
          </w:p>
          <w:p>
            <w:pPr>
              <w:pStyle w:val="715"/>
              <w:ind w:firstLine="238"/>
            </w:pPr>
            <w:r>
              <w:t xml:space="preserve">2. В том случае, если в связи с травмой области локтевого сустава будут проведены оперативные вмешательства (за исключением первичной хирургической обработки и удаления инородных тел), дополнительно выплачивается 10% страховой суммы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Предплечье</w:t>
            </w:r>
            <w:r>
              <w:rPr>
                <w:b/>
              </w:rP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76</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Перелом костей предплечья на любом уровне, за исключением области суставов (верхняя,</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средняя, нижняя треть):</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а) перелом, вывих одной кости,</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б) перелом двух костей, двойной перелом одной кости.</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77</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Несросшийся перелом (ложный сустав) костей предплечья:</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одной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двух костей.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Страховая сумма по </w:t>
            </w:r>
            <w:r>
              <w:t xml:space="preserve">ст. 77 выплачивается дополнительно к страховой сумме, выплаченной в связи с травмой предплечья, если это осложнение травмы будет установлено в лечебно-профилактическом учреждении по истечении 9 месяцев после травмы и подтверждено справкой этого учреждения.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78</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Травматическая ампутация или тяжелое повреждение, приведшее:</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к ампутации предплечья на любом уровне,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65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к экзартикуляции в локтевом суставе,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70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к ампутации обеих конечностей или единственной конечности на уровне предплечья.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в связи с травмой в области предплечья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w:t>
            </w:r>
            <w:r/>
          </w:p>
          <w:p>
            <w:pPr>
              <w:pStyle w:val="715"/>
              <w:ind w:firstLine="238"/>
            </w:pPr>
            <w:r>
              <w:t xml:space="preserve">2. Если страховая сумма выплачивается по ст. 78, дополнительная выплата за оперативные вмешательства, послеоперационные рубцы не производится.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Лучезапястный сустав</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79</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области лучезапястного сустава: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а) перелом одной кости предплечья, отрыв шиловидного отростка (отростков), отрыв костного фрагмента (фрагментов), вывих головки локтевой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б) перелом двух костей предплечья,</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в) перилунарный вывих кисти.</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672"/>
        </w:trPr>
        <w:tc>
          <w:tcPr>
            <w:tcBorders>
              <w:top w:val="single" w:color="000000" w:sz="4" w:space="0"/>
              <w:left w:val="single" w:color="000000" w:sz="6" w:space="0"/>
              <w:right w:val="single" w:color="000000" w:sz="6" w:space="0"/>
            </w:tcBorders>
            <w:tcW w:w="715" w:type="dxa"/>
            <w:vAlign w:val="top"/>
            <w:textDirection w:val="lrTb"/>
            <w:noWrap w:val="false"/>
          </w:tcPr>
          <w:p>
            <w:pPr>
              <w:pStyle w:val="715"/>
              <w:ind w:firstLine="0"/>
              <w:jc w:val="center"/>
            </w:pPr>
            <w:r>
              <w:t xml:space="preserve">80</w:t>
            </w:r>
            <w:r/>
          </w:p>
        </w:tc>
        <w:tc>
          <w:tcPr>
            <w:tcBorders>
              <w:top w:val="single" w:color="000000" w:sz="4" w:space="0"/>
              <w:left w:val="single" w:color="000000" w:sz="6" w:space="0"/>
              <w:right w:val="single" w:color="000000" w:sz="6" w:space="0"/>
            </w:tcBorders>
            <w:tcW w:w="8783" w:type="dxa"/>
            <w:vAlign w:val="top"/>
            <w:textDirection w:val="lrTb"/>
            <w:noWrap w:val="false"/>
          </w:tcPr>
          <w:p>
            <w:pPr>
              <w:pStyle w:val="715"/>
              <w:ind w:firstLine="238"/>
              <w:spacing w:line="288" w:lineRule="auto"/>
            </w:pPr>
            <w:r>
              <w:t xml:space="preserve">Повреждение области лучезапястного сустава, повлекшее за собой отсутствие движений (анкилоз) в этом суставе.</w:t>
            </w:r>
            <w:r/>
          </w:p>
        </w:tc>
        <w:tc>
          <w:tcPr>
            <w:tcBorders>
              <w:top w:val="singl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Страховая сумма по ст. 80 выплачивается дополнительно к страховой</w:t>
            </w:r>
            <w:r>
              <w:t xml:space="preserve"> сумме, выплаченной в связи с повреждениями области лучезапястного сустава в том случае, если отсутствие движений в суставе будет установлено лечебно-профилактическим учреждением по истечении 6 месяцев после травмы и подтверждено справкой этого учреждения.</w:t>
            </w:r>
            <w:r/>
          </w:p>
          <w:p>
            <w:pPr>
              <w:pStyle w:val="715"/>
              <w:ind w:firstLine="238"/>
            </w:pPr>
            <w:r>
              <w:t xml:space="preserve">2. Если в связи с травмой области лучезапястного сустава проводились оперативные вмешательства, дополнительно выплачивается 5% страховой суммы.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Кисть</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81</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Перелом или вывих костей запястья, пястных костей одной кисти:</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одной кости (кроме ладьевидной),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двух и более костей (кроме ладьевидной),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ладьевидной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вывих, переломо-вывих кисти.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в связи с травмой кисти проводились оперативные вмешательства (за исключением первичной хирургической обработки и удаления инородных тел), дополнительно выплачивается 5 % страховой суммы однократно.</w:t>
            </w:r>
            <w:r/>
          </w:p>
          <w:p>
            <w:pPr>
              <w:pStyle w:val="715"/>
              <w:ind w:firstLine="238"/>
            </w:pPr>
            <w:r>
              <w:t xml:space="preserve">2. При переломе (вывихе) в результате одной травмы костей запястья (пястных костей) и ладьевидной кости страховая сумма выплачивается с учетом каждого повреждения путем суммирования.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82</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кисти,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а) несросшийся перелом (ложный сустав) одной или нескольких костей (за исключением отрыва костных фрагментов);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потерю всех пальцев, ампутацию на уровне пястных костей запястье или лучезапястного сустава;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65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ампутацию единственной кисти.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Страховая сумма в связи с несросшимся переломом (ложным су</w:t>
            </w:r>
            <w:r>
              <w:t xml:space="preserve">ставом) костей запястья или пястных костей выплачивается дополнительно по ст. 82а в том случае, если это осложнение травмы будет установлено в лечебно-профилактическом учреждении по истечении 6 месяцев после травмы и подтверждено справкой этого учреждения.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Пальцы кисти</w:t>
            </w:r>
            <w:r>
              <w:rPr>
                <w:b/>
              </w:rP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Первый палец</w:t>
            </w:r>
            <w:r>
              <w:rPr>
                <w:b/>
              </w:rP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83</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пальца,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отрыв ногтевой пластинки;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повреждение сухожилия (сухожилий разгибателей) пальца;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перелом, вывих, значительную рубцовую деформацию фаланги (фаланг), повреждение сухожилия (сухожилий) сгибателя пальца, сухожильный, суставной, костный панариций.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Гнойное воспаление околоногтевого валика (паронихия) не дает оснований для выплаты страховой суммы.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2. Если в связи с повреждением сухожилий, переломом или вывихом фаланги (фаланг), костным, суставным, сухожильным панарицием проводились оперативные вмешательства, дополнительно выплачивается 5 % страховой суммы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84</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пальца, повлекшие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отсутствие движений в одном суставе;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отсутствие движений в двух суставах.</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Страховая сумма в связи с нарушением функции 1 пальца выплачивается дополнитель</w:t>
            </w:r>
            <w:r>
              <w:t xml:space="preserve">но к страховой сумме, выплаченной в связи с его травмой, в том случае, если отсутствие движений в суставе (суставах) пальца будет установлено лечебно-профилактическим учреждением по истечении б месяцев после травмы и подтверждено справкой этого учреждения.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85</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пальца,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реампутацию (повторную ампутацию) на уровне той же фаланги;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ампутацию на уровне ногтевой фаланги;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ампутацию на уровне межфалангового сустава (потеря ногтевой фаланги);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ампутацию на уровне основной фаланги, пястно-фалангового сустава (потеря пальца);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ампутацию пальца с пястной костью или частью ее.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страховая сумма выплачена по ст. 85, дополнительная выплата за оперативные вмешательства, послеоперационные рубцы не производится.</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Второй, третий, четвертый, пятый пальцы</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86</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одного пальца,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отрыв ногтевой пластинки,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повреждение сухожилия (сухожилий) разгибателей пальца,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перелом, вывих, значительную рубцовую деформацию фаланги (фаланг), повреждение сухожилия (сухожилий) сгибателя пальца, сухожильный, суставной, костный панариций.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Гнойное воспаление околоногтевого валика (паронихия) не дает оснований для выплаты страховой суммы.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2. Если в связи с повреждением сухожилий, переломом или вывихом фаланги (фаланг), костным, суставным, сухожильным панарицием проводились оперативные вмешательства, дополнительно выплачивается 5 % страховой суммы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87</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пальца,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отсутствие движений в одном суставе,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отсутствие движений в двух или трех суставах пальца.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Страховая сумма в связи с нарушением функции пальца выплачивается дополнитель</w:t>
            </w:r>
            <w:r>
              <w:t xml:space="preserve">но к страховой сумме, выплаченной в связи с его травмой, в том случае, если отсутствие движений в суставе (суставах) пальца будет установлено лечебно-профилактическим учреждением по истечении 6 месяцев после травмы и подтверждено справкой этого учреждения.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88</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пальца,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реампутацию (повторную ампутацию) на уровне той же фаланги,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ампутацию на уровне ногтевой фаланги, потерю фаланги,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ампутацию на уровне средней фаланги, потерю двух фаланг,</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ампутацию на уровне основной фаланги, потерю пальца,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потерю пальца с пястной костью или частью ее.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страховая сумма выплачена по ст. 88, дополнительная выплата за оперативные вмешательства, послеоперационные рубцы не производится.</w:t>
            </w:r>
            <w:r/>
          </w:p>
          <w:p>
            <w:pPr>
              <w:pStyle w:val="715"/>
              <w:ind w:firstLine="238"/>
            </w:pPr>
            <w:r>
              <w:t xml:space="preserve">2. При повреждении нескольких пальцев кисти в период действия </w:t>
            </w:r>
            <w:r>
              <w:t xml:space="preserve">настоящего Контракта</w:t>
            </w:r>
            <w:r>
              <w:t xml:space="preserve"> страхования страховая сумма выплачивается с учетом каждого повреждения путем суммирования. Однако размер ее не должен превышать 65% для одной кисти и 100% для обеих кистей.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Таз</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89</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таза: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перелом одной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перелом двух костей или разрыв одного сочленения, двойной перелом одной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перелом трех и более костей, разрыв двух или трех сочленений.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в связи с переломом костей таза или разрывом сочленений проводились оперативные вмешательства, дополнительно выплачивается 10% страховой суммы однократно.</w:t>
            </w:r>
            <w:r/>
          </w:p>
          <w:p>
            <w:pPr>
              <w:pStyle w:val="715"/>
              <w:ind w:firstLine="238"/>
            </w:pPr>
            <w:r>
              <w:t xml:space="preserve">2. Разрыв лонного, крестцово-подвздошного сочленения (сочленений) во время родов дает основание для выплаты страховой суммы на общих основаниях по ст. 89 (б или 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90</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таза, повлекшие за собой отсутствие движений в тазобедренных суставах:</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в одном суставе,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в двух суставах.</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Страховая сумма в связи с нарушением функции тазобедренного сустава (суставов) выплачивает</w:t>
            </w:r>
            <w:r>
              <w:t xml:space="preserve">ся по ст. 90 дополнительно к страховой сумме, выплаченной в связи с травмой таза, в том случае, если отсутствие движений в суставе будет установлено лечебно-профилактическим учреждением через 6 месяцев после травмы и подтверждено справкой этого учреждения.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Нижняя конечность</w:t>
            </w:r>
            <w:r>
              <w:rPr>
                <w:b/>
              </w:rP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Тазобедренный сустав</w:t>
            </w:r>
            <w:r>
              <w:rPr>
                <w:b/>
              </w:rP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91</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тазобедренного сустава: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отрыв костного фрагмента (фрагментов),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изолированный отрыв вертела (вертелов),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вывих бедра,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перелом головки, шейки, проксимального метафиза бедра.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В том случае, если в результате одной травмы наступят различные повреждения</w:t>
            </w:r>
            <w:r/>
          </w:p>
          <w:p>
            <w:pPr>
              <w:pStyle w:val="715"/>
              <w:ind w:firstLine="238"/>
            </w:pPr>
            <w:r>
              <w:t xml:space="preserve">тазобедренного сустава, страховая сумма выплачивается в соответствии с одним из подпунктов, предусматривающим наиболее тяжелое повреждение.</w:t>
            </w:r>
            <w:r/>
          </w:p>
          <w:p>
            <w:pPr>
              <w:pStyle w:val="715"/>
              <w:ind w:firstLine="238"/>
            </w:pPr>
            <w:r>
              <w:t xml:space="preserve">2. Если в связи с травмой тазобедренного сустава проводились оперативные вмешательства, дополнительно выплачивается 10 % страховой суммы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92</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тазобедренного сустава, повлекшие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отсутствие движений (анкилоз),</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несросшийся перелом (ложный сустав) шейки бедра,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эндопротезирование,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"болтающийся" сустав в результате резекции головки бедра.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Страховая сумма в связи с осложнениями, перечисленными в ст. 92, выплачивается дополнительно к страховой сумме, выплаченной по поводу травмы сустава.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2. Страховая сумма по ст. 926 выплачивается в том случае, если это осложнение травмы будет установлено в лечебно-профилактическом учреждении по истечении 9 месяцев после травмы и подтверждено справкой этого учреждения.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Бедро</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93</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Перелом бедра: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а) на любом уровне, за исключением области суставов (верхняя, средняя, нижняя треть),</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б) двойной перелом бедра.</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94</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spacing w:line="288" w:lineRule="auto"/>
            </w:pPr>
            <w:r>
              <w:t xml:space="preserve">Перелом бедра, повлекший за собой образование несросшегося перелома (ложного сустава).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в связи с травмой области бедра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w:t>
            </w:r>
            <w:r/>
          </w:p>
          <w:p>
            <w:pPr>
              <w:pStyle w:val="715"/>
              <w:ind w:firstLine="238"/>
            </w:pPr>
            <w:r>
              <w:t xml:space="preserve">2. Страховая с</w:t>
            </w:r>
            <w:r>
              <w:t xml:space="preserve">умма по ст. 94 выплачивается дополнительно к страховой сумме, выплаченной в связи с переломом бедра, если такое осложнение будет установлено в лечебно-профилактическом учреждении по истечении 9 месяцев после травмы и подтверждено справкой этого учреждения.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95</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Травматическая ампутация или тяжелое повреждение, приведшее к ампутации конечности на любом уровне бедра: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одной конечности,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70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единственной или обеих конечностей.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страховая сумма была выплачена по ст. 95, дополнительная выплата за оперативные вмешательства, послеоперационные рубцы не производится.</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rPr>
                <w:b/>
              </w:rPr>
            </w:pPr>
            <w:r>
              <w:rPr>
                <w:b/>
              </w:rPr>
              <w:t xml:space="preserve">Коленный сустав</w:t>
            </w:r>
            <w:r>
              <w:rPr>
                <w:b/>
              </w:rP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96</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области коленного сустава: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гемартроз,</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отрыв костного фрагмента (фрагментов), перелом надмыщелка (надмыщелков) бедра, перелом головки малоберцовой кости, повреждение мениска,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перелом надколенника надмыщелка, межмыщелкового возвышения, мыщелков, проксимального метафиза большеберцовой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перелом проксимального метафиза большеберцовой кости с головкой малоберцовой,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перелом мыщелков бедра, вывих голени,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е) перелом дистального метафиза бедра,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ж) перелом дистального метафиза, мыщелков бедра с проксимальными отделами одной или обеих берцовых костей.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При сочетании различных видов повреждений коленного сустава, страховая сумма выплачивается однократно в соответствии с одним из подпунктов ст. 96, предусматривающим наиболее тяжелое повреждение.</w:t>
            </w:r>
            <w:r/>
          </w:p>
          <w:p>
            <w:pPr>
              <w:pStyle w:val="715"/>
              <w:ind w:firstLine="238"/>
            </w:pPr>
            <w:r>
              <w:t xml:space="preserve">2. Если в связи с травмой области коленного сустава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97</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Травма коленного сустава, повлекшая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отсутствие движений в суставе,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"болтающийся" коленный сустав в результате резекции суставных поверхностей составляющих его костей,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эндопротезирование.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Страховая сумма по ст. 97 выплачивается дополнительно к страховой сумме, выплаченной в связи с травмой этого сустава по ст. 96, при условии, что данные осложнения будут установлены и подтверждены справкой ЛПУ через 6 месяцев после травмы.</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Голень</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98</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Перелом костей голени (за исключением области суставов):</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малоберцовой, отрывы костных фрагментов,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большеберцовой, двойной перелом малоберцовой,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обеих костей, двойной перелом большеберцовой.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Страхо</w:t>
            </w:r>
            <w:r>
              <w:t xml:space="preserve">вая сумма по ст. 98 определяется при: переломах малоберцовой кости в верхней и средней трети; переломах диафиза большеберцовой кости на любом уровне; переломах большеберцовой кости в области диафиза и переломах малоберцовой кости в верхней и средней трети.</w:t>
            </w:r>
            <w:r/>
          </w:p>
          <w:p>
            <w:pPr>
              <w:pStyle w:val="715"/>
              <w:ind w:firstLine="238"/>
            </w:pPr>
            <w:r>
              <w:t xml:space="preserve">2. Если в результате травмы наступил внутрисуставной перелом большеберцовой кости в коленном или голеностопном суставе и перелом малоберцовой кости на уровне диафиза, страховая сумма выплачивается по ст. 96 и 98 или ст. 101и 98 путем суммирования.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99</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Перелом костей голени, повлекший за собой несросшийся перелом, ложный сустав (за исключением костных фрагментов):</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малоберцовой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большеберцовой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обеих костей.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Страховая сумма по </w:t>
            </w:r>
            <w:r>
              <w:t xml:space="preserve">ст. 99 выплачивается дополнительно к страховой сумме, выплаченной в связи с переломом костей голени, если такие осложнения будут установлены в лечебно-профилактическом учреждении по истечении 9 месяцев после травмы и подтверждены справкой этого учреждения.</w:t>
            </w:r>
            <w:r/>
          </w:p>
          <w:p>
            <w:pPr>
              <w:pStyle w:val="715"/>
              <w:ind w:firstLine="238"/>
            </w:pPr>
            <w:r>
              <w:t xml:space="preserve">2. Если в связи с травмой голени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100</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Травматическая ампутация или тяжелое повреждение,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ампутацию голени на любом уровне,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60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экзартикуляцию в коленном суставе,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70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ампутацию единственной конечности или обеих конечностей на любом уровне голени.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страховая сумма была выплачена в связи с ампутацией голени, дополнительная выплата за оперативное вмешательство, послеоперационные рубцы не производится.</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Голеностопный сустав</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101</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области голеностопного сустава: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перелом одной лодыжки, изолированный разрыв межберцового синдесмоза,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перелом двух лодыжек или перелом одной лодыжки с краем большеберцовой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перелом обеих лодыжек с краем большеберцовой кости и (или) с разрывом межберцового синдесмоза.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При переломах костей голеностопного сустава, сопровождающихся разрывом синдесмоза, подвывихом (вывихом) стопы, дополнительно выплачивается 5% страховой суммы однократно.</w:t>
            </w:r>
            <w:r/>
          </w:p>
          <w:p>
            <w:pPr>
              <w:pStyle w:val="715"/>
              <w:ind w:firstLine="238"/>
            </w:pPr>
            <w:r>
              <w:t xml:space="preserve">2. Если в связи с травмой области голеностопного сустава проводились оперативные вмешательства (за исключением первичной хирургической обработки и удаления инородных тел), дополнительно выплачивается 10 % страховой суммы однократно.</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102</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области голеностопного сустава,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отсутствие движений в одном голеностопном суставе,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отсутствие движений в двух голеностопных суставах,</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"болтающийся" голеностопный сустав (в результате резекции суставных поверхностей составляющих его костей),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экзартикуляцию в голеностопном суставе.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в результате травмы голеностопного сустава (ст. 101) наступили осложнения, перечисленные в ст. 102, страховая сумма выплачивается по одному из подпунктов, учитывающему наиболее тяжелое последствие.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103</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ахиллова сухожилия:</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а) при консервативном лечении,</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б) при оперативном лечении.</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Стопа</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104</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стопы:</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перелом, вывих одной кости (за исключением пяточной и таранной),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перелом, вывих двух костей, перелом таранной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перелом, вывих трех и более костей, перелом пяточной кости, подтаранный вывих стопы, вывих в поперечном суставе стопы (Шопара) или предплюсно-плюсневом суставе (Лисфранка).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Если в связи с переломом или вывихом костей или разрывом связок стопы проводились оперативные вмешательства, дополнительно выплачивается 5%.</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2. При переломах или вывихах костей стопы, наступивших в результате различных травм, страховая сумма выплачивается с учетом факта каждой травмы.</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105</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Повреждения стопы, повлекшие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а) несросшийся перелом (ложный сустав) одной-двух костей (за исключением пяточной и таранной костей),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несросшийся перелом (ложный сустав) трех и более костей, а также таранной или пяточной кости,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 артродез подтаранного сустава, поперечного сустава предплюсны (Шопара) или предплюсне-плюсневого (Лисфранка),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ампутацию на уровне плюснефаланговых суставов (отсутствие всех пальцев стопы),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ампутацию на уровне плюсневых костей или предплюсны,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40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е) ампутацию на уровне таранной, пяточной костей (потеря стопы).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Страховая сумма в связи с осложнениями травмы стопы, предусмотренной ст. 105 (а, б, в), выплачивается дополнительно к страховой сумме, выплаченной в связи с тра</w:t>
            </w:r>
            <w:r>
              <w:t xml:space="preserve">вмой стопы (ст. 104), в том случае, если они будут установлены лечебно-профилактическим учреждением по истечении 6 месяцев после травмы и подтверждены справкой этого учреждения, а по подпунктам "г", "д", "е" - независимо от срока, прошедшего со дня травмы.</w:t>
            </w:r>
            <w:r/>
          </w:p>
          <w:p>
            <w:pPr>
              <w:pStyle w:val="715"/>
              <w:ind w:firstLine="238"/>
            </w:pPr>
            <w:r>
              <w:t xml:space="preserve">2. В том случае, если страховая сумма выплачивается в связи с ампутацией стопы,</w:t>
            </w:r>
            <w:r/>
          </w:p>
          <w:p>
            <w:pPr>
              <w:pStyle w:val="715"/>
              <w:ind w:firstLine="238"/>
            </w:pPr>
            <w:r>
              <w:t xml:space="preserve">дополнительная выплата за оперативные вмешательства, послеоперационные рубцы не производится.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Пальцы стопы</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106</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Перелом, вывих фаланги (фаланг), повреждение сухожилия (сухожилий):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одного пальца,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двух-трех пальцев,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четырех-пяти пальцев.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в связи с переломом, вывихом или повреждением сухожилий пальца проводились оперативные вмешательства, дополнительно выплачивается 3 % страховой суммы однократно.</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107</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Травматическая ампутация или повреждение пальцев стопы, повлекшее за собой ампутацию:</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первого пальца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на уровне ногтевой фаланги или межфалангового сустава,</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б) на уровне основной фаланги или плюснефалангового сустава второго, третьего, четвертого, пятого пальцев: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одного-двух пальцев на уровне ногтевых или средних фаланг,</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г) одного-двух пальцев на уровне основных фаланг или плюснефаланговых суставов,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д) трех-четырех пальцев на уровне ногтевых или средних фаланг,</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е) трех-четырех пальцев на уровне основных фаланг или плюснефаланговых суставов.</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20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В том случае, если страховая сумма выплачивается по ст. 107 дополнительная выплата за оперативные вмешательства, послеоперационные рубцы не производится.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2. Если в связи с травмой была про изведена ампутация пальца с плюсневой костью или частью ее, дополнительно выплачивается 5 % страховой суммы однократно.</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gridSpan w:val="3"/>
            <w:tcBorders>
              <w:top w:val="single" w:color="000000" w:sz="4" w:space="0"/>
              <w:left w:val="single" w:color="000000" w:sz="6" w:space="0"/>
              <w:bottom w:val="single" w:color="000000" w:sz="4" w:space="0"/>
              <w:right w:val="single" w:color="000000" w:sz="6" w:space="0"/>
            </w:tcBorders>
            <w:tcW w:w="10158" w:type="dxa"/>
            <w:vAlign w:val="top"/>
            <w:textDirection w:val="lrTb"/>
            <w:noWrap w:val="false"/>
          </w:tcPr>
          <w:p>
            <w:pPr>
              <w:pStyle w:val="715"/>
              <w:ind w:left="-6" w:firstLine="0"/>
              <w:jc w:val="center"/>
              <w:spacing w:line="288" w:lineRule="auto"/>
            </w:pPr>
            <w:r>
              <w:rPr>
                <w:b/>
              </w:rPr>
              <w:t xml:space="preserve">***</w:t>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108</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Повреждение, повлекшее за собой: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образование лигатурных свищей,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3</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лимфостаз тромбофлебит, нарушения трофики,</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остеомиелит, в том числе гематогенный остеомиелит.</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1. Ст. 108 применяется при тромбофлебитах, лимфостазе и нарушениях трофики, наступивших из-за травмы опорно-двигательного аппарата (за исключением повреждения крупных периферийных сосудов и нервов).</w:t>
            </w:r>
            <w:r/>
          </w:p>
          <w:p>
            <w:pPr>
              <w:pStyle w:val="715"/>
              <w:ind w:firstLine="238"/>
            </w:pPr>
            <w:r>
              <w:t xml:space="preserve">2. Нагноительные воспаления пальцев стоп не дают оснований для выплаты страховой суммы.</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109</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spacing w:line="288" w:lineRule="auto"/>
            </w:pPr>
            <w:r>
              <w:t xml:space="preserve">Травматический шок, геморрагический, анафилактический шок, развившийся в связи с травмой.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Выплата страховой суммы по ст. 109 производится дополнительно к выплатам, произведенным в связи с травмой.</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110</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Случайное острое отравление, асфиксия, клещевой энцефалит (энцефаломиелит),</w:t>
            </w:r>
            <w:r/>
          </w:p>
          <w:p>
            <w:pPr>
              <w:pStyle w:val="715"/>
              <w:ind w:firstLine="238"/>
            </w:pPr>
            <w:r>
              <w:t xml:space="preserve">поражение электротоком (в т.ч. атмосферным электричеством), укусы змей, ядовитых насекомых, столбняк, ботулизм (при отсутствии данных о поражении в результате указанных событий конкретных органов) потребовавшего стационарного лечения:</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non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а) 6-10 дней,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б) 11-20 дней,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в) свыше 20 дней.</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15</w:t>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Примечание:</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в справке ф. №027/у указано, что события, перечисленные в ст. 110, повлекли за собой повреждение каких-либо органов, страховая сумма выплачивается по соответствующим статьям, ст. 110 при этом не применяется.</w:t>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111</w:t>
            </w:r>
            <w:r/>
          </w:p>
        </w:tc>
        <w:tc>
          <w:tcPr>
            <w:tcBorders>
              <w:top w:val="single" w:color="000000" w:sz="4" w:space="0"/>
              <w:left w:val="single" w:color="000000" w:sz="6" w:space="0"/>
              <w:bottom w:val="none" w:color="000000" w:sz="4" w:space="0"/>
              <w:right w:val="single" w:color="000000" w:sz="6" w:space="0"/>
            </w:tcBorders>
            <w:tcW w:w="8783" w:type="dxa"/>
            <w:vAlign w:val="top"/>
            <w:textDirection w:val="lrTb"/>
            <w:noWrap w:val="false"/>
          </w:tcPr>
          <w:p>
            <w:pPr>
              <w:pStyle w:val="715"/>
              <w:ind w:firstLine="238"/>
            </w:pPr>
            <w:r>
              <w:t xml:space="preserve">При открытых переломах, вывихах дополнительно выплачивается 5%, при этом выплата</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right w:val="single" w:color="000000" w:sz="6" w:space="0"/>
            </w:tcBorders>
            <w:tcW w:w="8783" w:type="dxa"/>
            <w:vAlign w:val="top"/>
            <w:textDirection w:val="lrTb"/>
            <w:noWrap w:val="false"/>
          </w:tcPr>
          <w:p>
            <w:pPr>
              <w:pStyle w:val="715"/>
              <w:ind w:firstLine="238"/>
            </w:pPr>
            <w:r>
              <w:t xml:space="preserve">за образование рубцов не производится. Данный пункт не применяется, если в</w:t>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top w:val="none" w:color="000000" w:sz="4" w:space="0"/>
              <w:left w:val="single" w:color="000000" w:sz="6" w:space="0"/>
              <w:bottom w:val="single" w:color="000000" w:sz="4" w:space="0"/>
              <w:right w:val="single" w:color="000000" w:sz="6" w:space="0"/>
            </w:tcBorders>
            <w:tcW w:w="8783" w:type="dxa"/>
            <w:vAlign w:val="top"/>
            <w:textDirection w:val="lrTb"/>
            <w:noWrap w:val="false"/>
          </w:tcPr>
          <w:p>
            <w:pPr>
              <w:pStyle w:val="715"/>
              <w:ind w:firstLine="238"/>
            </w:pPr>
            <w:r>
              <w:t xml:space="preserve">соответствующем травме пункте предусмотрено иное.</w:t>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112</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spacing w:line="288" w:lineRule="auto"/>
            </w:pPr>
            <w:r>
              <w:t xml:space="preserve">Если механическая травма сопровождалась эмболией (жировой, тканевой, воздушной и т.д.) сосудов почек и (или) легких и (или) головного мозга, то дополнительно выплачивается в соответствии со степенью эмболии.</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t xml:space="preserve">10</w:t>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right w:val="single" w:color="000000" w:sz="6" w:space="0"/>
            </w:tcBorders>
            <w:tcW w:w="715" w:type="dxa"/>
            <w:vAlign w:val="top"/>
            <w:textDirection w:val="lrTb"/>
            <w:noWrap w:val="false"/>
          </w:tcPr>
          <w:p>
            <w:pPr>
              <w:pStyle w:val="715"/>
              <w:ind w:firstLine="0"/>
              <w:jc w:val="center"/>
            </w:pPr>
            <w:r>
              <w:t xml:space="preserve">113</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При огнестрельных ранениях дополнительно выплачивается 20% за одиночное ранение и 30% за множественные ранения вне зависимости от их количества.</w:t>
            </w:r>
            <w:r/>
          </w:p>
        </w:tc>
        <w:tc>
          <w:tcPr>
            <w:tcBorders>
              <w:top w:val="singl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114</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При взрывной травме дополнительно выплачивается 30%. При комбинации взрывной и огнестрельной (в т.ч. и множественных огнестрельных ранений) травмы дополнительно выплачивается 50%.</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ind w:firstLine="238"/>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singl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t xml:space="preserve">115</w:t>
            </w:r>
            <w:r/>
          </w:p>
        </w:tc>
        <w:tc>
          <w:tcPr>
            <w:tcBorders>
              <w:top w:val="single" w:color="000000" w:sz="4" w:space="0"/>
              <w:left w:val="single" w:color="000000" w:sz="6" w:space="0"/>
              <w:right w:val="single" w:color="000000" w:sz="6" w:space="0"/>
            </w:tcBorders>
            <w:tcW w:w="8783" w:type="dxa"/>
            <w:vAlign w:val="top"/>
            <w:vMerge w:val="restart"/>
            <w:textDirection w:val="lrTb"/>
            <w:noWrap w:val="false"/>
          </w:tcPr>
          <w:p>
            <w:pPr>
              <w:pStyle w:val="715"/>
              <w:ind w:firstLine="238"/>
            </w:pPr>
            <w:r>
              <w:t xml:space="preserve">Если какая-либо физическая травма, происшедшая с Застрахованным в результате</w:t>
            </w:r>
            <w:r/>
          </w:p>
          <w:p>
            <w:pPr>
              <w:pStyle w:val="715"/>
              <w:ind w:firstLine="238"/>
            </w:pPr>
            <w:r>
              <w:t xml:space="preserve">несчастного случая в период действия </w:t>
            </w:r>
            <w:r>
              <w:t xml:space="preserve">настоящего Контракта</w:t>
            </w:r>
            <w:r>
              <w:t xml:space="preserve"> страхования, не предусмотрена данной Таб</w:t>
            </w:r>
            <w:r>
              <w:t xml:space="preserve">лицей, но потребовала стационарного и (или) амбулаторного непрерывного лечения в общей сложности не менее 15 дней, то осуществляется страховая выплата в размере 0,2% от страховой суммы за каждый день лечения, но за период, не превышающий на 20% среднее зна</w:t>
            </w:r>
            <w:r>
              <w:t xml:space="preserve">чение периода нетрудоспособности при данной травме, в соответствии с Письмом ФСС РФ от 01 сентября 2000г. № 02-18/10-5766 «Ориентировочные сроки временной нетрудоспособности при наиболее распространенных заболеваниях и травмах», если иное не предусмотрено </w:t>
            </w:r>
            <w:r>
              <w:t xml:space="preserve">настоящим Контрактом</w:t>
            </w:r>
            <w:r>
              <w:t xml:space="preserve">. </w:t>
            </w:r>
            <w:r>
              <w:t xml:space="preserve">Контрактом</w:t>
            </w:r>
            <w:r>
              <w:t xml:space="preserve"> может быть предусмотрен иной порядок выплаты возмещения по риску физической травмы не предусмотренной данной Таблицей.</w:t>
            </w:r>
            <w:r/>
          </w:p>
        </w:tc>
        <w:tc>
          <w:tcPr>
            <w:tcBorders>
              <w:top w:val="singl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bottom w:val="non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pPr>
            <w:r/>
            <w:r/>
          </w:p>
        </w:tc>
        <w:tc>
          <w:tcPr>
            <w:tcBorders>
              <w:top w:val="none" w:color="000000" w:sz="4" w:space="0"/>
              <w:left w:val="single" w:color="000000" w:sz="6" w:space="0"/>
              <w:bottom w:val="none" w:color="000000" w:sz="4"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16"/>
        </w:trPr>
        <w:tc>
          <w:tcPr>
            <w:tcBorders>
              <w:top w:val="none" w:color="000000" w:sz="4" w:space="0"/>
              <w:left w:val="single" w:color="000000" w:sz="6"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right w:val="single" w:color="000000" w:sz="6" w:space="0"/>
            </w:tcBorders>
            <w:tcW w:w="8783" w:type="dxa"/>
            <w:vAlign w:val="top"/>
            <w:vMerge w:val="continue"/>
            <w:textDirection w:val="lrTb"/>
            <w:noWrap w:val="false"/>
          </w:tcPr>
          <w:p>
            <w:pPr>
              <w:pStyle w:val="715"/>
            </w:pPr>
            <w:r/>
            <w:r/>
          </w:p>
        </w:tc>
        <w:tc>
          <w:tcPr>
            <w:tcBorders>
              <w:top w:val="none" w:color="000000" w:sz="4" w:space="0"/>
              <w:left w:val="single" w:color="000000" w:sz="6" w:space="0"/>
              <w:right w:val="single" w:color="000000" w:sz="6" w:space="0"/>
            </w:tcBorders>
            <w:tcW w:w="660" w:type="dxa"/>
            <w:vAlign w:val="top"/>
            <w:textDirection w:val="lrTb"/>
            <w:noWrap w:val="false"/>
          </w:tcPr>
          <w:p>
            <w:pPr>
              <w:pStyle w:val="715"/>
              <w:ind w:left="-6" w:firstLine="0"/>
              <w:jc w:val="center"/>
            </w:pPr>
            <w:r/>
            <w:r/>
          </w:p>
        </w:tc>
      </w:tr>
      <w:tr>
        <w:tblPrEx/>
        <w:trPr>
          <w:trHeight w:val="221"/>
        </w:trPr>
        <w:tc>
          <w:tcPr>
            <w:tcBorders>
              <w:top w:val="none" w:color="000000" w:sz="4" w:space="0"/>
              <w:left w:val="single" w:color="000000" w:sz="6" w:space="0"/>
              <w:bottom w:val="single" w:color="000000" w:sz="4" w:space="0"/>
              <w:right w:val="single" w:color="000000" w:sz="6" w:space="0"/>
            </w:tcBorders>
            <w:tcW w:w="715" w:type="dxa"/>
            <w:vAlign w:val="top"/>
            <w:textDirection w:val="lrTb"/>
            <w:noWrap w:val="false"/>
          </w:tcPr>
          <w:p>
            <w:pPr>
              <w:pStyle w:val="715"/>
              <w:ind w:firstLine="0"/>
              <w:jc w:val="center"/>
            </w:pPr>
            <w:r/>
            <w:r/>
          </w:p>
        </w:tc>
        <w:tc>
          <w:tcPr>
            <w:tcBorders>
              <w:left w:val="single" w:color="000000" w:sz="6" w:space="0"/>
              <w:bottom w:val="single" w:color="000000" w:sz="4" w:space="0"/>
              <w:right w:val="single" w:color="000000" w:sz="6" w:space="0"/>
            </w:tcBorders>
            <w:tcW w:w="8783" w:type="dxa"/>
            <w:vAlign w:val="top"/>
            <w:vMerge w:val="continue"/>
            <w:textDirection w:val="lrTb"/>
            <w:noWrap w:val="false"/>
          </w:tcPr>
          <w:p>
            <w:pPr>
              <w:pStyle w:val="715"/>
            </w:pPr>
            <w:r/>
            <w:r/>
          </w:p>
        </w:tc>
        <w:tc>
          <w:tcPr>
            <w:tcBorders>
              <w:top w:val="none" w:color="000000" w:sz="4" w:space="0"/>
              <w:left w:val="single" w:color="000000" w:sz="6" w:space="0"/>
              <w:bottom w:val="single" w:color="000000" w:sz="4" w:space="0"/>
              <w:right w:val="single" w:color="000000" w:sz="6" w:space="0"/>
            </w:tcBorders>
            <w:tcW w:w="660" w:type="dxa"/>
            <w:vAlign w:val="top"/>
            <w:textDirection w:val="lrTb"/>
            <w:noWrap w:val="false"/>
          </w:tcPr>
          <w:p>
            <w:pPr>
              <w:pStyle w:val="715"/>
              <w:ind w:left="-6" w:firstLine="0"/>
              <w:jc w:val="center"/>
            </w:pPr>
            <w:r/>
            <w:r/>
          </w:p>
        </w:tc>
      </w:tr>
    </w:tbl>
    <w:p>
      <w:pPr>
        <w:pStyle w:val="715"/>
        <w:jc w:val="center"/>
        <w:rPr>
          <w:b/>
        </w:rPr>
      </w:pPr>
      <w:r>
        <w:rPr>
          <w:b/>
        </w:rPr>
        <w:t xml:space="preserve">Таблица страховых выплат при снижении </w:t>
      </w:r>
      <w:r>
        <w:rPr>
          <w:b/>
        </w:rPr>
      </w:r>
    </w:p>
    <w:p>
      <w:pPr>
        <w:pStyle w:val="715"/>
        <w:jc w:val="center"/>
        <w:rPr>
          <w:b/>
        </w:rPr>
      </w:pPr>
      <w:r>
        <w:rPr>
          <w:b/>
        </w:rPr>
        <w:t xml:space="preserve">остроты зрения в результате прямой травмы</w:t>
      </w:r>
      <w:r>
        <w:rPr>
          <w:b/>
        </w:rPr>
      </w:r>
    </w:p>
    <w:p>
      <w:pPr>
        <w:pStyle w:val="715"/>
        <w:jc w:val="center"/>
        <w:rPr>
          <w:b/>
        </w:rPr>
      </w:pPr>
      <w:r>
        <w:rPr>
          <w:b/>
        </w:rPr>
        <w:t xml:space="preserve">(в процентах от страховой суммы)</w:t>
      </w:r>
      <w:r>
        <w:rPr>
          <w:b/>
        </w:rPr>
      </w:r>
    </w:p>
    <w:tbl>
      <w:tblPr>
        <w:tblpPr w:horzAnchor="text" w:tblpXSpec="center" w:vertAnchor="text" w:tblpY="1" w:leftFromText="180" w:topFromText="0" w:rightFromText="180" w:bottomFromText="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1E0" w:firstRow="1" w:lastRow="1" w:firstColumn="1" w:lastColumn="1" w:noHBand="0" w:noVBand="0"/>
      </w:tblPr>
      <w:tblGrid>
        <w:gridCol w:w="1260"/>
        <w:gridCol w:w="1440"/>
        <w:gridCol w:w="1620"/>
        <w:gridCol w:w="900"/>
        <w:gridCol w:w="1260"/>
        <w:gridCol w:w="1440"/>
        <w:gridCol w:w="16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gridSpan w:val="2"/>
            <w:tcW w:w="2700" w:type="dxa"/>
            <w:vAlign w:val="top"/>
            <w:textDirection w:val="lrTb"/>
            <w:noWrap w:val="false"/>
          </w:tcPr>
          <w:p>
            <w:pPr>
              <w:pStyle w:val="715"/>
              <w:jc w:val="center"/>
              <w:framePr w:hSpace="180" w:wrap="around" w:vAnchor="text" w:hAnchor="text" w:xAlign="center" w:y="1"/>
            </w:pPr>
            <w:r>
              <w:t xml:space="preserve">Острота зрения</w:t>
            </w:r>
            <w:r/>
          </w:p>
        </w:tc>
        <w:tc>
          <w:tcPr>
            <w:tcBorders>
              <w:right w:val="single" w:color="000000" w:sz="4" w:space="0"/>
            </w:tcBorders>
            <w:tcW w:w="1620" w:type="dxa"/>
            <w:vAlign w:val="top"/>
            <w:vMerge w:val="restart"/>
            <w:textDirection w:val="lrTb"/>
            <w:noWrap w:val="false"/>
          </w:tcPr>
          <w:p>
            <w:pPr>
              <w:pStyle w:val="715"/>
              <w:jc w:val="center"/>
              <w:rPr>
                <w:b/>
              </w:rPr>
              <w:framePr w:hSpace="180" w:wrap="around" w:vAnchor="text" w:hAnchor="text" w:xAlign="center" w:y="1"/>
            </w:pPr>
            <w:r>
              <w:t xml:space="preserve">% выплаты от страховой суммы</w:t>
            </w:r>
            <w:r>
              <w:rPr>
                <w:b/>
              </w:rPr>
            </w:r>
            <w:r>
              <w:rPr>
                <w:b/>
              </w:rP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gridSpan w:val="2"/>
            <w:tcBorders>
              <w:left w:val="single" w:color="000000" w:sz="4" w:space="0"/>
            </w:tcBorders>
            <w:tcW w:w="2700" w:type="dxa"/>
            <w:vAlign w:val="top"/>
            <w:textDirection w:val="lrTb"/>
            <w:noWrap w:val="false"/>
          </w:tcPr>
          <w:p>
            <w:pPr>
              <w:pStyle w:val="715"/>
              <w:jc w:val="center"/>
              <w:framePr w:hSpace="180" w:wrap="around" w:vAnchor="text" w:hAnchor="text" w:xAlign="center" w:y="1"/>
            </w:pPr>
            <w:r>
              <w:t xml:space="preserve">Острота зрения</w:t>
            </w:r>
            <w:r/>
          </w:p>
        </w:tc>
        <w:tc>
          <w:tcPr>
            <w:tcW w:w="1620" w:type="dxa"/>
            <w:vAlign w:val="top"/>
            <w:vMerge w:val="restart"/>
            <w:textDirection w:val="lrTb"/>
            <w:noWrap w:val="false"/>
          </w:tcPr>
          <w:p>
            <w:pPr>
              <w:pStyle w:val="715"/>
              <w:jc w:val="center"/>
              <w:rPr>
                <w:b/>
              </w:rPr>
              <w:framePr w:hSpace="180" w:wrap="around" w:vAnchor="text" w:hAnchor="text" w:xAlign="center" w:y="1"/>
            </w:pPr>
            <w:r>
              <w:t xml:space="preserve">% выплаты от страховой суммы</w:t>
            </w: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textDirection w:val="lrTb"/>
            <w:noWrap w:val="false"/>
          </w:tcPr>
          <w:p>
            <w:pPr>
              <w:pStyle w:val="715"/>
              <w:ind w:firstLine="0"/>
              <w:jc w:val="center"/>
              <w:framePr w:hSpace="180" w:wrap="around" w:vAnchor="text" w:hAnchor="text" w:xAlign="center" w:y="1"/>
            </w:pPr>
            <w:r>
              <w:t xml:space="preserve">До травмы</w:t>
            </w:r>
            <w:r/>
          </w:p>
        </w:tc>
        <w:tc>
          <w:tcPr>
            <w:tcW w:w="1440" w:type="dxa"/>
            <w:vAlign w:val="top"/>
            <w:textDirection w:val="lrTb"/>
            <w:noWrap w:val="false"/>
          </w:tcPr>
          <w:p>
            <w:pPr>
              <w:pStyle w:val="715"/>
              <w:ind w:firstLine="16"/>
              <w:jc w:val="center"/>
              <w:rPr>
                <w:b/>
              </w:rPr>
              <w:framePr w:hSpace="180" w:wrap="around" w:vAnchor="text" w:hAnchor="text" w:xAlign="center" w:y="1"/>
            </w:pPr>
            <w:r>
              <w:t xml:space="preserve">После травмы</w:t>
            </w:r>
            <w:r>
              <w:rPr>
                <w:b/>
              </w:rPr>
            </w:r>
            <w:r>
              <w:rPr>
                <w:b/>
              </w:rPr>
            </w:r>
          </w:p>
        </w:tc>
        <w:tc>
          <w:tcPr>
            <w:tcBorders>
              <w:right w:val="single" w:color="000000" w:sz="4" w:space="0"/>
            </w:tcBorders>
            <w:tcW w:w="1620" w:type="dxa"/>
            <w:vAlign w:val="top"/>
            <w:vMerge w:val="continue"/>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framePr w:hSpace="180" w:wrap="around" w:vAnchor="text" w:hAnchor="text" w:xAlign="center" w:y="1"/>
            </w:pPr>
            <w:r/>
            <w:r/>
          </w:p>
        </w:tc>
        <w:tc>
          <w:tcPr>
            <w:tcBorders>
              <w:left w:val="single" w:color="000000" w:sz="4" w:space="0"/>
            </w:tcBorders>
            <w:tcW w:w="1260" w:type="dxa"/>
            <w:vAlign w:val="top"/>
            <w:textDirection w:val="lrTb"/>
            <w:noWrap w:val="false"/>
          </w:tcPr>
          <w:p>
            <w:pPr>
              <w:pStyle w:val="715"/>
              <w:ind w:firstLine="0"/>
              <w:jc w:val="center"/>
              <w:framePr w:hSpace="180" w:wrap="around" w:vAnchor="text" w:hAnchor="text" w:xAlign="center" w:y="1"/>
            </w:pPr>
            <w:r>
              <w:t xml:space="preserve">До травмы</w:t>
            </w:r>
            <w:r/>
          </w:p>
        </w:tc>
        <w:tc>
          <w:tcPr>
            <w:tcW w:w="1440" w:type="dxa"/>
            <w:vAlign w:val="top"/>
            <w:textDirection w:val="lrTb"/>
            <w:noWrap w:val="false"/>
          </w:tcPr>
          <w:p>
            <w:pPr>
              <w:pStyle w:val="715"/>
              <w:jc w:val="center"/>
              <w:rPr>
                <w:b/>
              </w:rPr>
              <w:framePr w:hSpace="180" w:wrap="around" w:vAnchor="text" w:hAnchor="text" w:xAlign="center" w:y="1"/>
            </w:pPr>
            <w:r>
              <w:t xml:space="preserve">После травмы</w:t>
            </w:r>
            <w:r>
              <w:rPr>
                <w:b/>
              </w:rPr>
            </w:r>
            <w:r>
              <w:rPr>
                <w:b/>
              </w:rPr>
            </w:r>
          </w:p>
        </w:tc>
        <w:tc>
          <w:tcPr>
            <w:tcW w:w="1620" w:type="dxa"/>
            <w:vAlign w:val="top"/>
            <w:vMerge w:val="continue"/>
            <w:textDirection w:val="lrTb"/>
            <w:noWrap w:val="false"/>
          </w:tcPr>
          <w:p>
            <w:pPr>
              <w:pStyle w:val="715"/>
              <w:jc w:val="center"/>
              <w:rPr>
                <w:b/>
              </w:rPr>
              <w:framePr w:hSpace="180" w:wrap="around" w:vAnchor="text" w:hAnchor="text" w:xAlign="center" w:y="1"/>
            </w:pP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restart"/>
            <w:textDirection w:val="lrTb"/>
            <w:noWrap w:val="false"/>
          </w:tcPr>
          <w:p>
            <w:pPr>
              <w:pStyle w:val="715"/>
              <w:ind w:firstLine="0"/>
              <w:jc w:val="center"/>
              <w:rPr>
                <w:b/>
              </w:rPr>
              <w:framePr w:hSpace="180" w:wrap="around" w:vAnchor="text" w:hAnchor="text" w:xAlign="center" w:y="1"/>
            </w:pPr>
            <w:r>
              <w:t xml:space="preserve">1,0</w:t>
            </w: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0,9</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4</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restart"/>
            <w:textDirection w:val="lrTb"/>
            <w:noWrap w:val="false"/>
          </w:tcPr>
          <w:p>
            <w:pPr>
              <w:pStyle w:val="715"/>
              <w:ind w:firstLine="0"/>
              <w:jc w:val="center"/>
              <w:rPr>
                <w:b/>
              </w:rPr>
              <w:framePr w:hSpace="180" w:wrap="around" w:vAnchor="text" w:hAnchor="text" w:xAlign="center" w:y="1"/>
            </w:pPr>
            <w:r>
              <w:t xml:space="preserve">0,6</w:t>
            </w: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0,5</w:t>
            </w:r>
            <w:r/>
          </w:p>
        </w:tc>
        <w:tc>
          <w:tcPr>
            <w:tcW w:w="1620" w:type="dxa"/>
            <w:vAlign w:val="top"/>
            <w:textDirection w:val="lrTb"/>
            <w:noWrap w:val="false"/>
          </w:tcPr>
          <w:p>
            <w:pPr>
              <w:pStyle w:val="715"/>
              <w:ind w:firstLine="0"/>
              <w:jc w:val="center"/>
              <w:framePr w:hSpace="180" w:wrap="around" w:vAnchor="text" w:hAnchor="text" w:xAlign="center" w:y="1"/>
            </w:pPr>
            <w:r>
              <w:t xml:space="preserve">4</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0,8</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5</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0,4</w:t>
            </w:r>
            <w:r/>
          </w:p>
        </w:tc>
        <w:tc>
          <w:tcPr>
            <w:tcW w:w="1620" w:type="dxa"/>
            <w:vAlign w:val="top"/>
            <w:textDirection w:val="lrTb"/>
            <w:noWrap w:val="false"/>
          </w:tcPr>
          <w:p>
            <w:pPr>
              <w:pStyle w:val="715"/>
              <w:ind w:firstLine="0"/>
              <w:jc w:val="center"/>
              <w:framePr w:hSpace="180" w:wrap="around" w:vAnchor="text" w:hAnchor="text" w:xAlign="center" w:y="1"/>
            </w:pPr>
            <w:r>
              <w:t xml:space="preserve">6</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0,7</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6</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0,3</w:t>
            </w:r>
            <w:r/>
          </w:p>
        </w:tc>
        <w:tc>
          <w:tcPr>
            <w:tcW w:w="1620" w:type="dxa"/>
            <w:vAlign w:val="top"/>
            <w:textDirection w:val="lrTb"/>
            <w:noWrap w:val="false"/>
          </w:tcPr>
          <w:p>
            <w:pPr>
              <w:pStyle w:val="715"/>
              <w:ind w:firstLine="0"/>
              <w:jc w:val="center"/>
              <w:framePr w:hSpace="180" w:wrap="around" w:vAnchor="text" w:hAnchor="text" w:xAlign="center" w:y="1"/>
            </w:pPr>
            <w:r>
              <w:t xml:space="preserve">9</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0,6</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8</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0,2</w:t>
            </w:r>
            <w:r/>
          </w:p>
        </w:tc>
        <w:tc>
          <w:tcPr>
            <w:tcW w:w="1620" w:type="dxa"/>
            <w:vAlign w:val="top"/>
            <w:textDirection w:val="lrTb"/>
            <w:noWrap w:val="false"/>
          </w:tcPr>
          <w:p>
            <w:pPr>
              <w:pStyle w:val="715"/>
              <w:ind w:firstLine="0"/>
              <w:jc w:val="center"/>
              <w:framePr w:hSpace="180" w:wrap="around" w:vAnchor="text" w:hAnchor="text" w:xAlign="center" w:y="1"/>
            </w:pPr>
            <w:r>
              <w:t xml:space="preserve">12</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0,5</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10</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0,1</w:t>
            </w:r>
            <w:r/>
          </w:p>
        </w:tc>
        <w:tc>
          <w:tcPr>
            <w:tcW w:w="1620" w:type="dxa"/>
            <w:vAlign w:val="top"/>
            <w:textDirection w:val="lrTb"/>
            <w:noWrap w:val="false"/>
          </w:tcPr>
          <w:p>
            <w:pPr>
              <w:pStyle w:val="715"/>
              <w:ind w:firstLine="0"/>
              <w:jc w:val="center"/>
              <w:framePr w:hSpace="180" w:wrap="around" w:vAnchor="text" w:hAnchor="text" w:xAlign="center" w:y="1"/>
            </w:pPr>
            <w:r>
              <w:t xml:space="preserve">15</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0,4</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12</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Ниже 0,1</w:t>
            </w:r>
            <w:r/>
          </w:p>
        </w:tc>
        <w:tc>
          <w:tcPr>
            <w:tcW w:w="1620" w:type="dxa"/>
            <w:vAlign w:val="top"/>
            <w:textDirection w:val="lrTb"/>
            <w:noWrap w:val="false"/>
          </w:tcPr>
          <w:p>
            <w:pPr>
              <w:pStyle w:val="715"/>
              <w:ind w:firstLine="0"/>
              <w:jc w:val="center"/>
              <w:framePr w:hSpace="180" w:wrap="around" w:vAnchor="text" w:hAnchor="text" w:xAlign="center" w:y="1"/>
            </w:pPr>
            <w:r>
              <w:t xml:space="preserve">20</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0,3</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15</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0,0</w:t>
            </w:r>
            <w:r/>
          </w:p>
        </w:tc>
        <w:tc>
          <w:tcPr>
            <w:tcW w:w="1620" w:type="dxa"/>
            <w:vAlign w:val="top"/>
            <w:textDirection w:val="lrTb"/>
            <w:noWrap w:val="false"/>
          </w:tcPr>
          <w:p>
            <w:pPr>
              <w:pStyle w:val="715"/>
              <w:ind w:firstLine="0"/>
              <w:jc w:val="center"/>
              <w:framePr w:hSpace="180" w:wrap="around" w:vAnchor="text" w:hAnchor="text" w:xAlign="center" w:y="1"/>
            </w:pPr>
            <w:r>
              <w:t xml:space="preserve">25</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276"/>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0,2</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20</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restart"/>
            <w:textDirection w:val="lrTb"/>
            <w:noWrap w:val="false"/>
          </w:tcPr>
          <w:p>
            <w:pPr>
              <w:pStyle w:val="715"/>
              <w:ind w:firstLine="0"/>
              <w:jc w:val="center"/>
              <w:rPr>
                <w:b/>
              </w:rPr>
              <w:framePr w:hSpace="180" w:wrap="around" w:vAnchor="text" w:hAnchor="text" w:xAlign="center" w:y="1"/>
            </w:pPr>
            <w:r>
              <w:t xml:space="preserve">0,5</w:t>
            </w: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0,4</w:t>
            </w:r>
            <w:r/>
          </w:p>
        </w:tc>
        <w:tc>
          <w:tcPr>
            <w:tcW w:w="1620" w:type="dxa"/>
            <w:vAlign w:val="top"/>
            <w:textDirection w:val="lrTb"/>
            <w:noWrap w:val="false"/>
          </w:tcPr>
          <w:p>
            <w:pPr>
              <w:pStyle w:val="715"/>
              <w:ind w:firstLine="0"/>
              <w:jc w:val="center"/>
              <w:framePr w:hSpace="180" w:wrap="around" w:vAnchor="text" w:hAnchor="text" w:xAlign="center" w:y="1"/>
            </w:pPr>
            <w:r>
              <w:t xml:space="preserve">4</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0,1</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25</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0,3</w:t>
            </w:r>
            <w:r/>
          </w:p>
        </w:tc>
        <w:tc>
          <w:tcPr>
            <w:tcW w:w="1620" w:type="dxa"/>
            <w:vAlign w:val="top"/>
            <w:textDirection w:val="lrTb"/>
            <w:noWrap w:val="false"/>
          </w:tcPr>
          <w:p>
            <w:pPr>
              <w:pStyle w:val="715"/>
              <w:ind w:firstLine="0"/>
              <w:jc w:val="center"/>
              <w:framePr w:hSpace="180" w:wrap="around" w:vAnchor="text" w:hAnchor="text" w:xAlign="center" w:y="1"/>
            </w:pPr>
            <w:r>
              <w:t xml:space="preserve">6</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Ниже 0,1</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30</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0,2</w:t>
            </w:r>
            <w:r/>
          </w:p>
        </w:tc>
        <w:tc>
          <w:tcPr>
            <w:tcW w:w="1620" w:type="dxa"/>
            <w:vAlign w:val="top"/>
            <w:textDirection w:val="lrTb"/>
            <w:noWrap w:val="false"/>
          </w:tcPr>
          <w:p>
            <w:pPr>
              <w:pStyle w:val="715"/>
              <w:ind w:firstLine="0"/>
              <w:jc w:val="center"/>
              <w:framePr w:hSpace="180" w:wrap="around" w:vAnchor="text" w:hAnchor="text" w:xAlign="center" w:y="1"/>
            </w:pPr>
            <w:r>
              <w:t xml:space="preserve">9</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0,0</w:t>
            </w:r>
            <w:r/>
          </w:p>
        </w:tc>
        <w:tc>
          <w:tcPr>
            <w:tcBorders>
              <w:right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35</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0,1</w:t>
            </w:r>
            <w:r/>
          </w:p>
        </w:tc>
        <w:tc>
          <w:tcPr>
            <w:tcW w:w="1620" w:type="dxa"/>
            <w:vAlign w:val="top"/>
            <w:textDirection w:val="lrTb"/>
            <w:noWrap w:val="false"/>
          </w:tcPr>
          <w:p>
            <w:pPr>
              <w:pStyle w:val="715"/>
              <w:ind w:firstLine="0"/>
              <w:jc w:val="center"/>
              <w:framePr w:hSpace="180" w:wrap="around" w:vAnchor="text" w:hAnchor="text" w:xAlign="center" w:y="1"/>
            </w:pPr>
            <w:r>
              <w:t xml:space="preserve">12</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276"/>
        </w:trPr>
        <w:tc>
          <w:tcPr>
            <w:tcW w:w="1260" w:type="dxa"/>
            <w:vAlign w:val="top"/>
            <w:vMerge w:val="restart"/>
            <w:textDirection w:val="lrTb"/>
            <w:noWrap w:val="false"/>
          </w:tcPr>
          <w:p>
            <w:pPr>
              <w:pStyle w:val="715"/>
              <w:ind w:firstLine="0"/>
              <w:jc w:val="center"/>
              <w:rPr>
                <w:b/>
              </w:rPr>
              <w:framePr w:hSpace="180" w:wrap="around" w:vAnchor="text" w:hAnchor="text" w:xAlign="center" w:y="1"/>
            </w:pPr>
            <w:r>
              <w:t xml:space="preserve">0,9</w:t>
            </w: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0,8</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4</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Ниже 0,1</w:t>
            </w:r>
            <w:r/>
          </w:p>
        </w:tc>
        <w:tc>
          <w:tcPr>
            <w:tcW w:w="1620" w:type="dxa"/>
            <w:vAlign w:val="top"/>
            <w:textDirection w:val="lrTb"/>
            <w:noWrap w:val="false"/>
          </w:tcPr>
          <w:p>
            <w:pPr>
              <w:pStyle w:val="715"/>
              <w:ind w:firstLine="0"/>
              <w:jc w:val="center"/>
              <w:framePr w:hSpace="180" w:wrap="around" w:vAnchor="text" w:hAnchor="text" w:xAlign="center" w:y="1"/>
            </w:pPr>
            <w:r>
              <w:t xml:space="preserve">15</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0,7</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5</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0,0</w:t>
            </w:r>
            <w:r/>
          </w:p>
        </w:tc>
        <w:tc>
          <w:tcPr>
            <w:tcW w:w="1620" w:type="dxa"/>
            <w:vAlign w:val="top"/>
            <w:textDirection w:val="lrTb"/>
            <w:noWrap w:val="false"/>
          </w:tcPr>
          <w:p>
            <w:pPr>
              <w:pStyle w:val="715"/>
              <w:ind w:firstLine="0"/>
              <w:jc w:val="center"/>
              <w:framePr w:hSpace="180" w:wrap="around" w:vAnchor="text" w:hAnchor="text" w:xAlign="center" w:y="1"/>
            </w:pPr>
            <w:r>
              <w:t xml:space="preserve">20</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276"/>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0,6</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7</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restart"/>
            <w:textDirection w:val="lrTb"/>
            <w:noWrap w:val="false"/>
          </w:tcPr>
          <w:p>
            <w:pPr>
              <w:pStyle w:val="715"/>
              <w:ind w:firstLine="0"/>
              <w:jc w:val="center"/>
              <w:rPr>
                <w:b/>
              </w:rPr>
              <w:framePr w:hSpace="180" w:wrap="around" w:vAnchor="text" w:hAnchor="text" w:xAlign="center" w:y="1"/>
            </w:pPr>
            <w:r>
              <w:t xml:space="preserve">0,4</w:t>
            </w: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0,3</w:t>
            </w:r>
            <w:r/>
          </w:p>
        </w:tc>
        <w:tc>
          <w:tcPr>
            <w:tcW w:w="1620" w:type="dxa"/>
            <w:vAlign w:val="top"/>
            <w:textDirection w:val="lrTb"/>
            <w:noWrap w:val="false"/>
          </w:tcPr>
          <w:p>
            <w:pPr>
              <w:pStyle w:val="715"/>
              <w:ind w:firstLine="0"/>
              <w:jc w:val="center"/>
              <w:framePr w:hSpace="180" w:wrap="around" w:vAnchor="text" w:hAnchor="text" w:xAlign="center" w:y="1"/>
            </w:pPr>
            <w:r>
              <w:t xml:space="preserve">4</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0,5</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9</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0,2</w:t>
            </w:r>
            <w:r/>
          </w:p>
        </w:tc>
        <w:tc>
          <w:tcPr>
            <w:tcW w:w="1620" w:type="dxa"/>
            <w:vAlign w:val="top"/>
            <w:textDirection w:val="lrTb"/>
            <w:noWrap w:val="false"/>
          </w:tcPr>
          <w:p>
            <w:pPr>
              <w:pStyle w:val="715"/>
              <w:ind w:firstLine="0"/>
              <w:jc w:val="center"/>
              <w:framePr w:hSpace="180" w:wrap="around" w:vAnchor="text" w:hAnchor="text" w:xAlign="center" w:y="1"/>
            </w:pPr>
            <w:r>
              <w:t xml:space="preserve">6</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0,4</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12</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0,1</w:t>
            </w:r>
            <w:r/>
          </w:p>
        </w:tc>
        <w:tc>
          <w:tcPr>
            <w:tcW w:w="1620" w:type="dxa"/>
            <w:vAlign w:val="top"/>
            <w:textDirection w:val="lrTb"/>
            <w:noWrap w:val="false"/>
          </w:tcPr>
          <w:p>
            <w:pPr>
              <w:pStyle w:val="715"/>
              <w:ind w:firstLine="0"/>
              <w:jc w:val="center"/>
              <w:framePr w:hSpace="180" w:wrap="around" w:vAnchor="text" w:hAnchor="text" w:xAlign="center" w:y="1"/>
            </w:pPr>
            <w:r>
              <w:t xml:space="preserve">10</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0,3</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15</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Ниже 0,1</w:t>
            </w:r>
            <w:r/>
          </w:p>
        </w:tc>
        <w:tc>
          <w:tcPr>
            <w:tcW w:w="1620" w:type="dxa"/>
            <w:vAlign w:val="top"/>
            <w:textDirection w:val="lrTb"/>
            <w:noWrap w:val="false"/>
          </w:tcPr>
          <w:p>
            <w:pPr>
              <w:pStyle w:val="715"/>
              <w:ind w:firstLine="0"/>
              <w:jc w:val="center"/>
              <w:framePr w:hSpace="180" w:wrap="around" w:vAnchor="text" w:hAnchor="text" w:xAlign="center" w:y="1"/>
            </w:pPr>
            <w:r>
              <w:t xml:space="preserve">15</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0,2</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20</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0,0</w:t>
            </w:r>
            <w:r/>
          </w:p>
        </w:tc>
        <w:tc>
          <w:tcPr>
            <w:tcW w:w="1620" w:type="dxa"/>
            <w:vAlign w:val="top"/>
            <w:textDirection w:val="lrTb"/>
            <w:noWrap w:val="false"/>
          </w:tcPr>
          <w:p>
            <w:pPr>
              <w:pStyle w:val="715"/>
              <w:ind w:firstLine="0"/>
              <w:jc w:val="center"/>
              <w:framePr w:hSpace="180" w:wrap="around" w:vAnchor="text" w:hAnchor="text" w:xAlign="center" w:y="1"/>
            </w:pPr>
            <w:r>
              <w:t xml:space="preserve">20</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276"/>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0,1</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25</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restart"/>
            <w:textDirection w:val="lrTb"/>
            <w:noWrap w:val="false"/>
          </w:tcPr>
          <w:p>
            <w:pPr>
              <w:pStyle w:val="715"/>
              <w:ind w:firstLine="0"/>
              <w:jc w:val="center"/>
              <w:rPr>
                <w:b/>
              </w:rPr>
              <w:framePr w:hSpace="180" w:wrap="around" w:vAnchor="text" w:hAnchor="text" w:xAlign="center" w:y="1"/>
            </w:pPr>
            <w:r>
              <w:t xml:space="preserve">0,3</w:t>
            </w: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0,2</w:t>
            </w:r>
            <w:r/>
          </w:p>
        </w:tc>
        <w:tc>
          <w:tcPr>
            <w:tcW w:w="1620" w:type="dxa"/>
            <w:vAlign w:val="top"/>
            <w:textDirection w:val="lrTb"/>
            <w:noWrap w:val="false"/>
          </w:tcPr>
          <w:p>
            <w:pPr>
              <w:pStyle w:val="715"/>
              <w:ind w:firstLine="0"/>
              <w:jc w:val="center"/>
              <w:framePr w:hSpace="180" w:wrap="around" w:vAnchor="text" w:hAnchor="text" w:xAlign="center" w:y="1"/>
            </w:pPr>
            <w:r>
              <w:t xml:space="preserve">4</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Ниже 0,1</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30</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0,1</w:t>
            </w:r>
            <w:r/>
          </w:p>
        </w:tc>
        <w:tc>
          <w:tcPr>
            <w:tcW w:w="1620" w:type="dxa"/>
            <w:vAlign w:val="top"/>
            <w:textDirection w:val="lrTb"/>
            <w:noWrap w:val="false"/>
          </w:tcPr>
          <w:p>
            <w:pPr>
              <w:pStyle w:val="715"/>
              <w:ind w:firstLine="0"/>
              <w:jc w:val="center"/>
              <w:framePr w:hSpace="180" w:wrap="around" w:vAnchor="text" w:hAnchor="text" w:xAlign="center" w:y="1"/>
            </w:pPr>
            <w:r>
              <w:t xml:space="preserve">6</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0,0</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35</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Ниже 0,1</w:t>
            </w:r>
            <w:r/>
          </w:p>
        </w:tc>
        <w:tc>
          <w:tcPr>
            <w:tcW w:w="1620" w:type="dxa"/>
            <w:vAlign w:val="top"/>
            <w:textDirection w:val="lrTb"/>
            <w:noWrap w:val="false"/>
          </w:tcPr>
          <w:p>
            <w:pPr>
              <w:pStyle w:val="715"/>
              <w:ind w:firstLine="0"/>
              <w:jc w:val="center"/>
              <w:framePr w:hSpace="180" w:wrap="around" w:vAnchor="text" w:hAnchor="text" w:xAlign="center" w:y="1"/>
            </w:pPr>
            <w:r>
              <w:t xml:space="preserve">10</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276"/>
        </w:trPr>
        <w:tc>
          <w:tcPr>
            <w:tcW w:w="1260" w:type="dxa"/>
            <w:vAlign w:val="top"/>
            <w:vMerge w:val="restart"/>
            <w:textDirection w:val="lrTb"/>
            <w:noWrap w:val="false"/>
          </w:tcPr>
          <w:p>
            <w:pPr>
              <w:pStyle w:val="715"/>
              <w:ind w:firstLine="0"/>
              <w:jc w:val="center"/>
              <w:rPr>
                <w:b/>
              </w:rPr>
              <w:framePr w:hSpace="180" w:wrap="around" w:vAnchor="text" w:hAnchor="text" w:xAlign="center" w:y="1"/>
            </w:pPr>
            <w:r>
              <w:t xml:space="preserve">0,8</w:t>
            </w: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0,7</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4</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0,0</w:t>
            </w:r>
            <w:r/>
          </w:p>
        </w:tc>
        <w:tc>
          <w:tcPr>
            <w:tcW w:w="1620" w:type="dxa"/>
            <w:vAlign w:val="top"/>
            <w:textDirection w:val="lrTb"/>
            <w:noWrap w:val="false"/>
          </w:tcPr>
          <w:p>
            <w:pPr>
              <w:pStyle w:val="715"/>
              <w:ind w:firstLine="0"/>
              <w:jc w:val="center"/>
              <w:framePr w:hSpace="180" w:wrap="around" w:vAnchor="text" w:hAnchor="text" w:xAlign="center" w:y="1"/>
            </w:pPr>
            <w:r>
              <w:t xml:space="preserve">15</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276"/>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0,6</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6</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restart"/>
            <w:textDirection w:val="lrTb"/>
            <w:noWrap w:val="false"/>
          </w:tcPr>
          <w:p>
            <w:pPr>
              <w:pStyle w:val="715"/>
              <w:ind w:firstLine="0"/>
              <w:jc w:val="center"/>
              <w:rPr>
                <w:b/>
              </w:rPr>
              <w:framePr w:hSpace="180" w:wrap="around" w:vAnchor="text" w:hAnchor="text" w:xAlign="center" w:y="1"/>
            </w:pPr>
            <w:r>
              <w:t xml:space="preserve">0,2</w:t>
            </w: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0,1</w:t>
            </w:r>
            <w:r/>
          </w:p>
        </w:tc>
        <w:tc>
          <w:tcPr>
            <w:tcW w:w="1620" w:type="dxa"/>
            <w:vAlign w:val="top"/>
            <w:textDirection w:val="lrTb"/>
            <w:noWrap w:val="false"/>
          </w:tcPr>
          <w:p>
            <w:pPr>
              <w:pStyle w:val="715"/>
              <w:ind w:firstLine="0"/>
              <w:jc w:val="center"/>
              <w:framePr w:hSpace="180" w:wrap="around" w:vAnchor="text" w:hAnchor="text" w:xAlign="center" w:y="1"/>
            </w:pPr>
            <w:r>
              <w:t xml:space="preserve">5</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0,5</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9</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Ниже 0,1</w:t>
            </w:r>
            <w:r/>
          </w:p>
        </w:tc>
        <w:tc>
          <w:tcPr>
            <w:tcW w:w="1620" w:type="dxa"/>
            <w:vAlign w:val="top"/>
            <w:textDirection w:val="lrTb"/>
            <w:noWrap w:val="false"/>
          </w:tcPr>
          <w:p>
            <w:pPr>
              <w:pStyle w:val="715"/>
              <w:ind w:firstLine="0"/>
              <w:jc w:val="center"/>
              <w:framePr w:hSpace="180" w:wrap="around" w:vAnchor="text" w:hAnchor="text" w:xAlign="center" w:y="1"/>
            </w:pPr>
            <w:r>
              <w:t xml:space="preserve">10</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0,4</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12</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0,0</w:t>
            </w:r>
            <w:r/>
          </w:p>
        </w:tc>
        <w:tc>
          <w:tcPr>
            <w:tcW w:w="1620" w:type="dxa"/>
            <w:vAlign w:val="top"/>
            <w:textDirection w:val="lrTb"/>
            <w:noWrap w:val="false"/>
          </w:tcPr>
          <w:p>
            <w:pPr>
              <w:pStyle w:val="715"/>
              <w:ind w:firstLine="0"/>
              <w:jc w:val="center"/>
              <w:framePr w:hSpace="180" w:wrap="around" w:vAnchor="text" w:hAnchor="text" w:xAlign="center" w:y="1"/>
            </w:pPr>
            <w:r>
              <w:t xml:space="preserve">15</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276"/>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0,3</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15</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restart"/>
            <w:textDirection w:val="lrTb"/>
            <w:noWrap w:val="false"/>
          </w:tcPr>
          <w:p>
            <w:pPr>
              <w:pStyle w:val="715"/>
              <w:ind w:firstLine="0"/>
              <w:jc w:val="center"/>
              <w:rPr>
                <w:b/>
              </w:rPr>
              <w:framePr w:hSpace="180" w:wrap="around" w:vAnchor="text" w:hAnchor="text" w:xAlign="center" w:y="1"/>
            </w:pPr>
            <w:r>
              <w:t xml:space="preserve">0,1</w:t>
            </w: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Ниже 0,1</w:t>
            </w:r>
            <w:r/>
          </w:p>
        </w:tc>
        <w:tc>
          <w:tcPr>
            <w:tcW w:w="1620" w:type="dxa"/>
            <w:vAlign w:val="top"/>
            <w:textDirection w:val="lrTb"/>
            <w:noWrap w:val="false"/>
          </w:tcPr>
          <w:p>
            <w:pPr>
              <w:pStyle w:val="715"/>
              <w:ind w:firstLine="0"/>
              <w:jc w:val="center"/>
              <w:framePr w:hSpace="180" w:wrap="around" w:vAnchor="text" w:hAnchor="text" w:xAlign="center" w:y="1"/>
            </w:pPr>
            <w:r>
              <w:t xml:space="preserve">5</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0,2</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20</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tcBorders>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0"/>
              <w:jc w:val="center"/>
              <w:framePr w:hSpace="180" w:wrap="around" w:vAnchor="text" w:hAnchor="text" w:xAlign="center" w:y="1"/>
            </w:pPr>
            <w:r>
              <w:t xml:space="preserve">0,0</w:t>
            </w:r>
            <w:r/>
          </w:p>
        </w:tc>
        <w:tc>
          <w:tcPr>
            <w:tcW w:w="1620" w:type="dxa"/>
            <w:vAlign w:val="top"/>
            <w:textDirection w:val="lrTb"/>
            <w:noWrap w:val="false"/>
          </w:tcPr>
          <w:p>
            <w:pPr>
              <w:pStyle w:val="715"/>
              <w:ind w:firstLine="0"/>
              <w:jc w:val="center"/>
              <w:framePr w:hSpace="180" w:wrap="around" w:vAnchor="text" w:hAnchor="text" w:xAlign="center" w:y="1"/>
            </w:pPr>
            <w:r>
              <w:t xml:space="preserve">10</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0,1</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25</w:t>
            </w:r>
            <w:r/>
          </w:p>
        </w:tc>
        <w:tc>
          <w:tcPr>
            <w:tcBorders>
              <w:top w:val="none" w:color="000000" w:sz="4" w:space="0"/>
              <w:left w:val="single" w:color="000000" w:sz="4" w:space="0"/>
              <w:bottom w:val="none" w:color="000000" w:sz="4" w:space="0"/>
              <w:right w:val="singl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left w:val="single" w:color="000000" w:sz="4" w:space="0"/>
              <w:bottom w:val="single" w:color="000000" w:sz="4" w:space="0"/>
            </w:tcBorders>
            <w:tcW w:w="1260" w:type="dxa"/>
            <w:vAlign w:val="top"/>
            <w:textDirection w:val="lrTb"/>
            <w:noWrap w:val="false"/>
          </w:tcPr>
          <w:p>
            <w:pPr>
              <w:pStyle w:val="715"/>
              <w:ind w:firstLine="0"/>
              <w:jc w:val="center"/>
              <w:framePr w:hSpace="180" w:wrap="around" w:vAnchor="text" w:hAnchor="text" w:xAlign="center" w:y="1"/>
            </w:pPr>
            <w:r>
              <w:t xml:space="preserve">Менее 0,1</w:t>
            </w:r>
            <w:r/>
          </w:p>
        </w:tc>
        <w:tc>
          <w:tcPr>
            <w:tcBorders>
              <w:bottom w:val="single" w:color="000000" w:sz="4" w:space="0"/>
            </w:tcBorders>
            <w:tcW w:w="1440" w:type="dxa"/>
            <w:vAlign w:val="top"/>
            <w:textDirection w:val="lrTb"/>
            <w:noWrap w:val="false"/>
          </w:tcPr>
          <w:p>
            <w:pPr>
              <w:pStyle w:val="715"/>
              <w:ind w:firstLine="0"/>
              <w:jc w:val="center"/>
              <w:framePr w:hSpace="180" w:wrap="around" w:vAnchor="text" w:hAnchor="text" w:xAlign="center" w:y="1"/>
            </w:pPr>
            <w:r>
              <w:t xml:space="preserve">0,0</w:t>
            </w:r>
            <w:r/>
          </w:p>
        </w:tc>
        <w:tc>
          <w:tcPr>
            <w:tcBorders>
              <w:bottom w:val="single" w:color="000000" w:sz="4" w:space="0"/>
            </w:tcBorders>
            <w:tcW w:w="1620" w:type="dxa"/>
            <w:vAlign w:val="top"/>
            <w:textDirection w:val="lrTb"/>
            <w:noWrap w:val="false"/>
          </w:tcPr>
          <w:p>
            <w:pPr>
              <w:pStyle w:val="715"/>
              <w:ind w:firstLine="0"/>
              <w:jc w:val="center"/>
              <w:framePr w:hSpace="180" w:wrap="around" w:vAnchor="text" w:hAnchor="text" w:xAlign="center" w:y="1"/>
            </w:pPr>
            <w:r>
              <w:t xml:space="preserve">10</w:t>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Ниже 0,1</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30</w:t>
            </w:r>
            <w:r/>
          </w:p>
        </w:tc>
        <w:tc>
          <w:tcPr>
            <w:tcBorders>
              <w:top w:val="none" w:color="000000" w:sz="4" w:space="0"/>
              <w:left w:val="single" w:color="000000" w:sz="4" w:space="0"/>
              <w:bottom w:val="none" w:color="000000" w:sz="4" w:space="0"/>
              <w:right w:val="non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single" w:color="000000" w:sz="4" w:space="0"/>
              <w:left w:val="none" w:color="000000" w:sz="4" w:space="0"/>
              <w:bottom w:val="none" w:color="000000" w:sz="4" w:space="0"/>
              <w:right w:val="none" w:color="000000" w:sz="4" w:space="0"/>
            </w:tcBorders>
            <w:tcW w:w="1260" w:type="dxa"/>
            <w:vAlign w:val="top"/>
            <w:textDirection w:val="lrTb"/>
            <w:noWrap w:val="false"/>
          </w:tcPr>
          <w:p>
            <w:pPr>
              <w:pStyle w:val="715"/>
              <w:framePr w:hSpace="180" w:wrap="around" w:vAnchor="text" w:hAnchor="text" w:xAlign="center" w:y="1"/>
            </w:pPr>
            <w:r/>
            <w:r/>
          </w:p>
        </w:tc>
        <w:tc>
          <w:tcPr>
            <w:tcBorders>
              <w:top w:val="single" w:color="000000" w:sz="4" w:space="0"/>
              <w:left w:val="none" w:color="000000" w:sz="4" w:space="0"/>
              <w:bottom w:val="none" w:color="000000" w:sz="4" w:space="0"/>
              <w:right w:val="none" w:color="000000" w:sz="4" w:space="0"/>
            </w:tcBorders>
            <w:tcW w:w="144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single" w:color="000000" w:sz="4" w:space="0"/>
              <w:left w:val="none" w:color="000000" w:sz="4" w:space="0"/>
              <w:bottom w:val="none" w:color="000000" w:sz="4" w:space="0"/>
              <w:right w:val="none" w:color="000000" w:sz="4" w:space="0"/>
            </w:tcBorders>
            <w:tcW w:w="1620" w:type="dxa"/>
            <w:vAlign w:val="top"/>
            <w:textDirection w:val="lrTb"/>
            <w:noWrap w:val="false"/>
          </w:tcPr>
          <w:p>
            <w:pPr>
              <w:pStyle w:val="715"/>
              <w:jc w:val="center"/>
              <w:rPr>
                <w:b/>
              </w:rPr>
              <w:framePr w:hSpace="180" w:wrap="around" w:vAnchor="text" w:hAnchor="text" w:xAlign="center" w:y="1"/>
            </w:pP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ind w:firstLine="0"/>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0,0</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35</w:t>
            </w:r>
            <w:r/>
          </w:p>
        </w:tc>
        <w:tc>
          <w:tcPr>
            <w:tcBorders>
              <w:top w:val="none" w:color="000000" w:sz="4" w:space="0"/>
              <w:left w:val="single" w:color="000000" w:sz="4" w:space="0"/>
              <w:bottom w:val="none" w:color="000000" w:sz="4" w:space="0"/>
              <w:right w:val="non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26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44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620" w:type="dxa"/>
            <w:vAlign w:val="top"/>
            <w:textDirection w:val="lrTb"/>
            <w:noWrap w:val="false"/>
          </w:tcPr>
          <w:p>
            <w:pPr>
              <w:pStyle w:val="715"/>
              <w:jc w:val="center"/>
              <w:rPr>
                <w:b/>
              </w:rPr>
              <w:framePr w:hSpace="180" w:wrap="around" w:vAnchor="text" w:hAnchor="text" w:xAlign="center" w:y="1"/>
            </w:pP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restart"/>
            <w:textDirection w:val="lrTb"/>
            <w:noWrap w:val="false"/>
          </w:tcPr>
          <w:p>
            <w:pPr>
              <w:pStyle w:val="715"/>
              <w:ind w:firstLine="0"/>
              <w:jc w:val="center"/>
              <w:rPr>
                <w:b/>
              </w:rPr>
              <w:framePr w:hSpace="180" w:wrap="around" w:vAnchor="text" w:hAnchor="text" w:xAlign="center" w:y="1"/>
            </w:pPr>
            <w:r>
              <w:t xml:space="preserve">0,7</w:t>
            </w: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0,6</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4</w:t>
            </w:r>
            <w:r/>
          </w:p>
        </w:tc>
        <w:tc>
          <w:tcPr>
            <w:tcBorders>
              <w:top w:val="none" w:color="000000" w:sz="4" w:space="0"/>
              <w:left w:val="single" w:color="000000" w:sz="4" w:space="0"/>
              <w:bottom w:val="none" w:color="000000" w:sz="4" w:space="0"/>
              <w:right w:val="non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26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44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620" w:type="dxa"/>
            <w:vAlign w:val="top"/>
            <w:textDirection w:val="lrTb"/>
            <w:noWrap w:val="false"/>
          </w:tcPr>
          <w:p>
            <w:pPr>
              <w:pStyle w:val="715"/>
              <w:jc w:val="center"/>
              <w:rPr>
                <w:b/>
              </w:rPr>
              <w:framePr w:hSpace="180" w:wrap="around" w:vAnchor="text" w:hAnchor="text" w:xAlign="center" w:y="1"/>
            </w:pP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0,5</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6</w:t>
            </w:r>
            <w:r/>
          </w:p>
        </w:tc>
        <w:tc>
          <w:tcPr>
            <w:tcBorders>
              <w:top w:val="none" w:color="000000" w:sz="4" w:space="0"/>
              <w:left w:val="single" w:color="000000" w:sz="4" w:space="0"/>
              <w:bottom w:val="none" w:color="000000" w:sz="4" w:space="0"/>
              <w:right w:val="non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26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44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620" w:type="dxa"/>
            <w:vAlign w:val="top"/>
            <w:textDirection w:val="lrTb"/>
            <w:noWrap w:val="false"/>
          </w:tcPr>
          <w:p>
            <w:pPr>
              <w:pStyle w:val="715"/>
              <w:jc w:val="center"/>
              <w:rPr>
                <w:b/>
              </w:rPr>
              <w:framePr w:hSpace="180" w:wrap="around" w:vAnchor="text" w:hAnchor="text" w:xAlign="center" w:y="1"/>
            </w:pP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0,4</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9</w:t>
            </w:r>
            <w:r/>
          </w:p>
        </w:tc>
        <w:tc>
          <w:tcPr>
            <w:tcBorders>
              <w:top w:val="none" w:color="000000" w:sz="4" w:space="0"/>
              <w:left w:val="single" w:color="000000" w:sz="4" w:space="0"/>
              <w:bottom w:val="none" w:color="000000" w:sz="4" w:space="0"/>
              <w:right w:val="non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26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44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620" w:type="dxa"/>
            <w:vAlign w:val="top"/>
            <w:textDirection w:val="lrTb"/>
            <w:noWrap w:val="false"/>
          </w:tcPr>
          <w:p>
            <w:pPr>
              <w:pStyle w:val="715"/>
              <w:jc w:val="center"/>
              <w:rPr>
                <w:b/>
              </w:rPr>
              <w:framePr w:hSpace="180" w:wrap="around" w:vAnchor="text" w:hAnchor="text" w:xAlign="center" w:y="1"/>
            </w:pP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0,3</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12</w:t>
            </w:r>
            <w:r/>
          </w:p>
        </w:tc>
        <w:tc>
          <w:tcPr>
            <w:tcBorders>
              <w:top w:val="none" w:color="000000" w:sz="4" w:space="0"/>
              <w:left w:val="single" w:color="000000" w:sz="4" w:space="0"/>
              <w:bottom w:val="none" w:color="000000" w:sz="4" w:space="0"/>
              <w:right w:val="non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26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44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620" w:type="dxa"/>
            <w:vAlign w:val="top"/>
            <w:textDirection w:val="lrTb"/>
            <w:noWrap w:val="false"/>
          </w:tcPr>
          <w:p>
            <w:pPr>
              <w:pStyle w:val="715"/>
              <w:jc w:val="center"/>
              <w:rPr>
                <w:b/>
              </w:rPr>
              <w:framePr w:hSpace="180" w:wrap="around" w:vAnchor="text" w:hAnchor="text" w:xAlign="center" w:y="1"/>
            </w:pP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0,2</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15</w:t>
            </w:r>
            <w:r/>
          </w:p>
        </w:tc>
        <w:tc>
          <w:tcPr>
            <w:tcBorders>
              <w:top w:val="none" w:color="000000" w:sz="4" w:space="0"/>
              <w:left w:val="single" w:color="000000" w:sz="4" w:space="0"/>
              <w:bottom w:val="none" w:color="000000" w:sz="4" w:space="0"/>
              <w:right w:val="non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26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44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620" w:type="dxa"/>
            <w:vAlign w:val="top"/>
            <w:textDirection w:val="lrTb"/>
            <w:noWrap w:val="false"/>
          </w:tcPr>
          <w:p>
            <w:pPr>
              <w:pStyle w:val="715"/>
              <w:jc w:val="center"/>
              <w:rPr>
                <w:b/>
              </w:rPr>
              <w:framePr w:hSpace="180" w:wrap="around" w:vAnchor="text" w:hAnchor="text" w:xAlign="center" w:y="1"/>
            </w:pP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0,1</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20</w:t>
            </w:r>
            <w:r/>
          </w:p>
        </w:tc>
        <w:tc>
          <w:tcPr>
            <w:tcBorders>
              <w:top w:val="none" w:color="000000" w:sz="4" w:space="0"/>
              <w:left w:val="single" w:color="000000" w:sz="4" w:space="0"/>
              <w:bottom w:val="none" w:color="000000" w:sz="4" w:space="0"/>
              <w:right w:val="non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26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44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620" w:type="dxa"/>
            <w:vAlign w:val="top"/>
            <w:textDirection w:val="lrTb"/>
            <w:noWrap w:val="false"/>
          </w:tcPr>
          <w:p>
            <w:pPr>
              <w:pStyle w:val="715"/>
              <w:jc w:val="center"/>
              <w:rPr>
                <w:b/>
              </w:rPr>
              <w:framePr w:hSpace="180" w:wrap="around" w:vAnchor="text" w:hAnchor="text" w:xAlign="center" w:y="1"/>
            </w:pP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Ниже 0,1</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25</w:t>
            </w:r>
            <w:r/>
          </w:p>
        </w:tc>
        <w:tc>
          <w:tcPr>
            <w:tcBorders>
              <w:top w:val="none" w:color="000000" w:sz="4" w:space="0"/>
              <w:left w:val="single" w:color="000000" w:sz="4" w:space="0"/>
              <w:bottom w:val="none" w:color="000000" w:sz="4" w:space="0"/>
              <w:right w:val="non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26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44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620" w:type="dxa"/>
            <w:vAlign w:val="top"/>
            <w:textDirection w:val="lrTb"/>
            <w:noWrap w:val="false"/>
          </w:tcPr>
          <w:p>
            <w:pPr>
              <w:pStyle w:val="715"/>
              <w:jc w:val="center"/>
              <w:rPr>
                <w:b/>
              </w:rPr>
              <w:framePr w:hSpace="180" w:wrap="around" w:vAnchor="text" w:hAnchor="text" w:xAlign="center" w:y="1"/>
            </w:pPr>
            <w:r>
              <w:rPr>
                <w:b/>
              </w:rPr>
            </w:r>
            <w:r>
              <w:rPr>
                <w:b/>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Pr>
        <w:tc>
          <w:tcPr>
            <w:tcW w:w="1260" w:type="dxa"/>
            <w:vAlign w:val="top"/>
            <w:vMerge w:val="continue"/>
            <w:textDirection w:val="lrTb"/>
            <w:noWrap w:val="false"/>
          </w:tcPr>
          <w:p>
            <w:pPr>
              <w:pStyle w:val="715"/>
              <w:jc w:val="center"/>
              <w:rPr>
                <w:b/>
              </w:rPr>
              <w:framePr w:hSpace="180" w:wrap="around" w:vAnchor="text" w:hAnchor="text" w:xAlign="center" w:y="1"/>
            </w:pPr>
            <w:r>
              <w:rPr>
                <w:b/>
              </w:rPr>
            </w:r>
            <w:r>
              <w:rPr>
                <w:b/>
              </w:rPr>
            </w:r>
          </w:p>
        </w:tc>
        <w:tc>
          <w:tcPr>
            <w:tcW w:w="1440" w:type="dxa"/>
            <w:vAlign w:val="top"/>
            <w:textDirection w:val="lrTb"/>
            <w:noWrap w:val="false"/>
          </w:tcPr>
          <w:p>
            <w:pPr>
              <w:pStyle w:val="715"/>
              <w:ind w:firstLine="16"/>
              <w:jc w:val="center"/>
              <w:framePr w:hSpace="180" w:wrap="around" w:vAnchor="text" w:hAnchor="text" w:xAlign="center" w:y="1"/>
            </w:pPr>
            <w:r>
              <w:t xml:space="preserve">0,0</w:t>
            </w:r>
            <w:r/>
          </w:p>
        </w:tc>
        <w:tc>
          <w:tcPr>
            <w:tcBorders>
              <w:right w:val="single" w:color="000000" w:sz="4" w:space="0"/>
            </w:tcBorders>
            <w:tcW w:w="1620" w:type="dxa"/>
            <w:vAlign w:val="top"/>
            <w:textDirection w:val="lrTb"/>
            <w:noWrap w:val="false"/>
          </w:tcPr>
          <w:p>
            <w:pPr>
              <w:pStyle w:val="715"/>
              <w:ind w:firstLine="16"/>
              <w:jc w:val="center"/>
              <w:framePr w:hSpace="180" w:wrap="around" w:vAnchor="text" w:hAnchor="text" w:xAlign="center" w:y="1"/>
            </w:pPr>
            <w:r>
              <w:t xml:space="preserve">30</w:t>
            </w:r>
            <w:r/>
          </w:p>
        </w:tc>
        <w:tc>
          <w:tcPr>
            <w:tcBorders>
              <w:top w:val="none" w:color="000000" w:sz="4" w:space="0"/>
              <w:left w:val="single" w:color="000000" w:sz="4" w:space="0"/>
              <w:bottom w:val="none" w:color="000000" w:sz="4" w:space="0"/>
              <w:right w:val="none" w:color="000000" w:sz="4" w:space="0"/>
            </w:tcBorders>
            <w:tcW w:w="90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26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440" w:type="dxa"/>
            <w:vAlign w:val="top"/>
            <w:textDirection w:val="lrTb"/>
            <w:noWrap w:val="false"/>
          </w:tcPr>
          <w:p>
            <w:pPr>
              <w:pStyle w:val="715"/>
              <w:jc w:val="center"/>
              <w:rPr>
                <w:b/>
              </w:rPr>
              <w:framePr w:hSpace="180" w:wrap="around" w:vAnchor="text" w:hAnchor="text" w:xAlign="center" w:y="1"/>
            </w:pPr>
            <w:r>
              <w:rPr>
                <w:b/>
              </w:rPr>
            </w:r>
            <w:r>
              <w:rPr>
                <w:b/>
              </w:rPr>
            </w:r>
          </w:p>
        </w:tc>
        <w:tc>
          <w:tcPr>
            <w:tcBorders>
              <w:top w:val="none" w:color="000000" w:sz="4" w:space="0"/>
              <w:left w:val="none" w:color="000000" w:sz="4" w:space="0"/>
              <w:bottom w:val="none" w:color="000000" w:sz="4" w:space="0"/>
              <w:right w:val="none" w:color="000000" w:sz="4" w:space="0"/>
            </w:tcBorders>
            <w:tcW w:w="1620" w:type="dxa"/>
            <w:vAlign w:val="top"/>
            <w:textDirection w:val="lrTb"/>
            <w:noWrap w:val="false"/>
          </w:tcPr>
          <w:p>
            <w:pPr>
              <w:pStyle w:val="715"/>
              <w:jc w:val="center"/>
              <w:rPr>
                <w:b/>
              </w:rPr>
              <w:framePr w:hSpace="180" w:wrap="around" w:vAnchor="text" w:hAnchor="text" w:xAlign="center" w:y="1"/>
            </w:pPr>
            <w:r>
              <w:rPr>
                <w:b/>
              </w:rPr>
            </w:r>
            <w:r>
              <w:rPr>
                <w:b/>
              </w:rPr>
            </w:r>
          </w:p>
        </w:tc>
      </w:tr>
    </w:tbl>
    <w:p>
      <w:pPr>
        <w:pStyle w:val="715"/>
        <w:jc w:val="center"/>
        <w:rPr>
          <w:b/>
        </w:rPr>
      </w:pPr>
      <w:r>
        <w:rPr>
          <w:b/>
        </w:rPr>
        <w:t xml:space="preserve">Таблица страховых выплат при ожогах</w:t>
      </w:r>
      <w:r>
        <w:rPr>
          <w:b/>
        </w:rPr>
      </w:r>
    </w:p>
    <w:p>
      <w:pPr>
        <w:pStyle w:val="715"/>
        <w:jc w:val="center"/>
        <w:rPr>
          <w:b/>
        </w:rPr>
      </w:pPr>
      <w:r>
        <w:rPr>
          <w:b/>
        </w:rPr>
        <w:t xml:space="preserve">(в процентах от страховой суммы)</w:t>
      </w:r>
      <w:r>
        <w:rPr>
          <w:b/>
        </w:rPr>
      </w:r>
    </w:p>
    <w:tbl>
      <w:tblPr>
        <w:tblW w:w="0" w:type="auto"/>
        <w:jc w:val="center"/>
        <w:tblInd w:w="0" w:type="dxa"/>
        <w:tblLayout w:type="fixed"/>
        <w:tblCellMar>
          <w:left w:w="40" w:type="dxa"/>
          <w:top w:w="0" w:type="dxa"/>
          <w:right w:w="40" w:type="dxa"/>
          <w:bottom w:w="0" w:type="dxa"/>
        </w:tblCellMar>
        <w:tblLook w:val="04A0" w:firstRow="1" w:lastRow="0" w:firstColumn="1" w:lastColumn="0" w:noHBand="0" w:noVBand="1"/>
      </w:tblPr>
      <w:tblGrid>
        <w:gridCol w:w="3162"/>
        <w:gridCol w:w="989"/>
        <w:gridCol w:w="1061"/>
        <w:gridCol w:w="1075"/>
        <w:gridCol w:w="1085"/>
        <w:gridCol w:w="1258"/>
      </w:tblGrid>
      <w:tr>
        <w:tblPrEx/>
        <w:trPr>
          <w:cantSplit/>
          <w:trHeight w:val="235"/>
        </w:trPr>
        <w:tc>
          <w:tcPr>
            <w:tcBorders>
              <w:top w:val="single" w:color="000000" w:sz="6" w:space="0"/>
              <w:left w:val="single" w:color="000000" w:sz="6" w:space="0"/>
              <w:right w:val="single" w:color="000000" w:sz="6" w:space="0"/>
            </w:tcBorders>
            <w:tcW w:w="3162" w:type="dxa"/>
            <w:vAlign w:val="center"/>
            <w:vMerge w:val="restart"/>
            <w:textDirection w:val="lrTb"/>
            <w:noWrap w:val="false"/>
          </w:tcPr>
          <w:p>
            <w:pPr>
              <w:pStyle w:val="715"/>
              <w:ind w:firstLine="0"/>
              <w:jc w:val="center"/>
            </w:pPr>
            <w:r>
              <w:t xml:space="preserve">Площадь ожогов</w:t>
            </w:r>
            <w:r/>
          </w:p>
          <w:p>
            <w:pPr>
              <w:pStyle w:val="715"/>
              <w:ind w:firstLine="0"/>
              <w:jc w:val="center"/>
            </w:pPr>
            <w:r>
              <w:t xml:space="preserve">(% поверхности тела)</w:t>
            </w:r>
            <w:r/>
          </w:p>
        </w:tc>
        <w:tc>
          <w:tcPr>
            <w:gridSpan w:val="5"/>
            <w:tcBorders>
              <w:top w:val="single" w:color="000000" w:sz="6" w:space="0"/>
              <w:left w:val="single" w:color="000000" w:sz="6" w:space="0"/>
              <w:bottom w:val="single" w:color="000000" w:sz="6" w:space="0"/>
              <w:right w:val="single" w:color="000000" w:sz="6" w:space="0"/>
            </w:tcBorders>
            <w:tcW w:w="5468" w:type="dxa"/>
            <w:vAlign w:val="center"/>
            <w:textDirection w:val="lrTb"/>
            <w:noWrap w:val="false"/>
          </w:tcPr>
          <w:p>
            <w:pPr>
              <w:pStyle w:val="715"/>
              <w:ind w:firstLine="0"/>
              <w:jc w:val="center"/>
            </w:pPr>
            <w:r>
              <w:t xml:space="preserve">Степень ожога</w:t>
            </w:r>
            <w:r/>
          </w:p>
        </w:tc>
      </w:tr>
      <w:tr>
        <w:tblPrEx/>
        <w:trPr>
          <w:cantSplit/>
          <w:trHeight w:val="427"/>
        </w:trPr>
        <w:tc>
          <w:tcPr>
            <w:tcBorders>
              <w:left w:val="single" w:color="000000" w:sz="6" w:space="0"/>
              <w:bottom w:val="single" w:color="000000" w:sz="6" w:space="0"/>
              <w:right w:val="single" w:color="000000" w:sz="6" w:space="0"/>
            </w:tcBorders>
            <w:tcW w:w="3162" w:type="dxa"/>
            <w:vAlign w:val="center"/>
            <w:vMerge w:val="continue"/>
            <w:textDirection w:val="lrTb"/>
            <w:noWrap w:val="false"/>
          </w:tcPr>
          <w:p>
            <w:pPr>
              <w:pStyle w:val="715"/>
              <w:ind w:firstLine="0"/>
              <w:jc w:val="center"/>
            </w:pPr>
            <w:r/>
            <w:r/>
          </w:p>
        </w:tc>
        <w:tc>
          <w:tcPr>
            <w:tcBorders>
              <w:top w:val="single" w:color="000000" w:sz="6" w:space="0"/>
              <w:left w:val="single" w:color="000000" w:sz="6" w:space="0"/>
              <w:bottom w:val="single" w:color="000000" w:sz="6" w:space="0"/>
              <w:right w:val="single" w:color="000000" w:sz="6" w:space="0"/>
            </w:tcBorders>
            <w:tcW w:w="989" w:type="dxa"/>
            <w:vAlign w:val="center"/>
            <w:textDirection w:val="lrTb"/>
            <w:noWrap w:val="false"/>
          </w:tcPr>
          <w:p>
            <w:pPr>
              <w:pStyle w:val="715"/>
              <w:ind w:hanging="19"/>
              <w:jc w:val="center"/>
            </w:pPr>
            <w:r>
              <w:t xml:space="preserve">I</w:t>
            </w:r>
            <w:r/>
          </w:p>
        </w:tc>
        <w:tc>
          <w:tcPr>
            <w:tcBorders>
              <w:top w:val="single" w:color="000000" w:sz="6" w:space="0"/>
              <w:left w:val="single" w:color="000000" w:sz="6" w:space="0"/>
              <w:bottom w:val="single" w:color="000000" w:sz="6" w:space="0"/>
              <w:right w:val="single" w:color="000000" w:sz="6" w:space="0"/>
            </w:tcBorders>
            <w:tcW w:w="1061" w:type="dxa"/>
            <w:vAlign w:val="center"/>
            <w:textDirection w:val="lrTb"/>
            <w:noWrap w:val="false"/>
          </w:tcPr>
          <w:p>
            <w:pPr>
              <w:pStyle w:val="715"/>
              <w:ind w:hanging="19"/>
              <w:jc w:val="center"/>
            </w:pPr>
            <w:r>
              <w:t xml:space="preserve">II</w:t>
            </w:r>
            <w:r/>
          </w:p>
        </w:tc>
        <w:tc>
          <w:tcPr>
            <w:tcBorders>
              <w:top w:val="single" w:color="000000" w:sz="6" w:space="0"/>
              <w:left w:val="single" w:color="000000" w:sz="6" w:space="0"/>
              <w:bottom w:val="single" w:color="000000" w:sz="6" w:space="0"/>
              <w:right w:val="single" w:color="000000" w:sz="6" w:space="0"/>
            </w:tcBorders>
            <w:tcW w:w="1075" w:type="dxa"/>
            <w:vAlign w:val="center"/>
            <w:textDirection w:val="lrTb"/>
            <w:noWrap w:val="false"/>
          </w:tcPr>
          <w:p>
            <w:pPr>
              <w:pStyle w:val="715"/>
              <w:ind w:hanging="19"/>
              <w:jc w:val="center"/>
              <w:rPr>
                <w:lang w:eastAsia="en-US"/>
              </w:rPr>
            </w:pPr>
            <w:r>
              <w:rPr>
                <w:lang w:val="en-US" w:eastAsia="en-US"/>
              </w:rPr>
              <w:t xml:space="preserve">III </w:t>
            </w:r>
            <w:r>
              <w:rPr>
                <w:lang w:eastAsia="en-US"/>
              </w:rPr>
              <w:t xml:space="preserve">а</w:t>
            </w:r>
            <w:r>
              <w:rPr>
                <w:lang w:eastAsia="en-US"/>
              </w:rPr>
            </w:r>
          </w:p>
        </w:tc>
        <w:tc>
          <w:tcPr>
            <w:tcBorders>
              <w:top w:val="single" w:color="000000" w:sz="6" w:space="0"/>
              <w:left w:val="single" w:color="000000" w:sz="6" w:space="0"/>
              <w:bottom w:val="single" w:color="000000" w:sz="6" w:space="0"/>
              <w:right w:val="single" w:color="000000" w:sz="6" w:space="0"/>
            </w:tcBorders>
            <w:tcW w:w="1085" w:type="dxa"/>
            <w:vAlign w:val="center"/>
            <w:textDirection w:val="lrTb"/>
            <w:noWrap w:val="false"/>
          </w:tcPr>
          <w:p>
            <w:pPr>
              <w:pStyle w:val="715"/>
              <w:ind w:hanging="19"/>
              <w:jc w:val="center"/>
            </w:pPr>
            <w:r>
              <w:t xml:space="preserve">III б</w:t>
            </w:r>
            <w:r/>
          </w:p>
        </w:tc>
        <w:tc>
          <w:tcPr>
            <w:tcBorders>
              <w:top w:val="single" w:color="000000" w:sz="6" w:space="0"/>
              <w:left w:val="single" w:color="000000" w:sz="6" w:space="0"/>
              <w:bottom w:val="single" w:color="000000" w:sz="6" w:space="0"/>
              <w:right w:val="single" w:color="000000" w:sz="6" w:space="0"/>
            </w:tcBorders>
            <w:tcW w:w="1258" w:type="dxa"/>
            <w:vAlign w:val="center"/>
            <w:textDirection w:val="lrTb"/>
            <w:noWrap w:val="false"/>
          </w:tcPr>
          <w:p>
            <w:pPr>
              <w:pStyle w:val="715"/>
              <w:ind w:hanging="19"/>
              <w:jc w:val="center"/>
            </w:pPr>
            <w:r>
              <w:t xml:space="preserve">IV</w:t>
            </w:r>
            <w:r/>
          </w:p>
        </w:tc>
      </w:tr>
      <w:tr>
        <w:tblPrEx/>
        <w:trPr>
          <w:trHeight w:val="226"/>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До 5</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2</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5</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10</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13</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15</w:t>
            </w:r>
            <w:r/>
          </w:p>
        </w:tc>
      </w:tr>
      <w:tr>
        <w:tblPrEx/>
        <w:trPr>
          <w:trHeight w:val="226"/>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От 6 до 10</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3</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10</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15</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20</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30</w:t>
            </w:r>
            <w:r/>
          </w:p>
        </w:tc>
      </w:tr>
      <w:tr>
        <w:tblPrEx/>
        <w:trPr>
          <w:trHeight w:val="226"/>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От 11 до 20</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5</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15</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20</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35</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60</w:t>
            </w:r>
            <w:r/>
          </w:p>
        </w:tc>
      </w:tr>
      <w:tr>
        <w:tblPrEx/>
        <w:trPr>
          <w:trHeight w:val="226"/>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От 21 до 30</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8</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20</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30</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50</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100</w:t>
            </w:r>
            <w:r/>
          </w:p>
        </w:tc>
      </w:tr>
      <w:tr>
        <w:tblPrEx/>
        <w:trPr>
          <w:trHeight w:val="221"/>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От 31 до 40</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13</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25</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40</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85</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100</w:t>
            </w:r>
            <w:r/>
          </w:p>
        </w:tc>
      </w:tr>
      <w:tr>
        <w:tblPrEx/>
        <w:trPr>
          <w:trHeight w:val="230"/>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От 41 до 50</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20</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30</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60</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100</w:t>
            </w:r>
            <w:r/>
          </w:p>
        </w:tc>
      </w:tr>
      <w:tr>
        <w:tblPrEx/>
        <w:trPr>
          <w:trHeight w:val="226"/>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От 51 до 60</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25</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35</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80</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100</w:t>
            </w:r>
            <w:r/>
          </w:p>
        </w:tc>
      </w:tr>
      <w:tr>
        <w:tblPrEx/>
        <w:trPr>
          <w:trHeight w:val="226"/>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От 61 до 70</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30</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55</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100</w:t>
            </w:r>
            <w:r/>
          </w:p>
        </w:tc>
      </w:tr>
      <w:tr>
        <w:tblPrEx/>
        <w:trPr>
          <w:trHeight w:val="230"/>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От 71 до 80</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40</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80</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100</w:t>
            </w:r>
            <w:r/>
          </w:p>
        </w:tc>
      </w:tr>
      <w:tr>
        <w:tblPrEx/>
        <w:trPr>
          <w:trHeight w:val="226"/>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От 81 до 90</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60</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100</w:t>
            </w:r>
            <w:r/>
          </w:p>
        </w:tc>
      </w:tr>
      <w:tr>
        <w:tblPrEx/>
        <w:trPr>
          <w:trHeight w:val="240"/>
        </w:trPr>
        <w:tc>
          <w:tcPr>
            <w:tcBorders>
              <w:top w:val="single" w:color="000000" w:sz="6" w:space="0"/>
              <w:left w:val="single" w:color="000000" w:sz="6" w:space="0"/>
              <w:bottom w:val="single" w:color="000000" w:sz="6" w:space="0"/>
              <w:right w:val="single" w:color="000000" w:sz="6" w:space="0"/>
            </w:tcBorders>
            <w:tcW w:w="3162" w:type="dxa"/>
            <w:vAlign w:val="top"/>
            <w:textDirection w:val="lrTb"/>
            <w:noWrap w:val="false"/>
          </w:tcPr>
          <w:p>
            <w:pPr>
              <w:pStyle w:val="715"/>
              <w:ind w:firstLine="0"/>
              <w:jc w:val="center"/>
            </w:pPr>
            <w:r>
              <w:t xml:space="preserve">Более 91</w:t>
            </w:r>
            <w:r/>
          </w:p>
        </w:tc>
        <w:tc>
          <w:tcPr>
            <w:tcBorders>
              <w:top w:val="single" w:color="000000" w:sz="6" w:space="0"/>
              <w:left w:val="single" w:color="000000" w:sz="6" w:space="0"/>
              <w:bottom w:val="single" w:color="000000" w:sz="6" w:space="0"/>
              <w:right w:val="single" w:color="000000" w:sz="6" w:space="0"/>
            </w:tcBorders>
            <w:tcW w:w="989" w:type="dxa"/>
            <w:vAlign w:val="top"/>
            <w:textDirection w:val="lrTb"/>
            <w:noWrap w:val="false"/>
          </w:tcPr>
          <w:p>
            <w:pPr>
              <w:pStyle w:val="715"/>
              <w:ind w:hanging="19"/>
              <w:jc w:val="center"/>
            </w:pPr>
            <w:r>
              <w:t xml:space="preserve">90</w:t>
            </w:r>
            <w:r/>
          </w:p>
        </w:tc>
        <w:tc>
          <w:tcPr>
            <w:tcBorders>
              <w:top w:val="single" w:color="000000" w:sz="6" w:space="0"/>
              <w:left w:val="single" w:color="000000" w:sz="6" w:space="0"/>
              <w:bottom w:val="single" w:color="000000" w:sz="6" w:space="0"/>
              <w:right w:val="single" w:color="000000" w:sz="6" w:space="0"/>
            </w:tcBorders>
            <w:tcW w:w="1061"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075"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085" w:type="dxa"/>
            <w:vAlign w:val="top"/>
            <w:textDirection w:val="lrTb"/>
            <w:noWrap w:val="false"/>
          </w:tcPr>
          <w:p>
            <w:pPr>
              <w:pStyle w:val="715"/>
              <w:ind w:hanging="19"/>
              <w:jc w:val="center"/>
            </w:pPr>
            <w:r>
              <w:t xml:space="preserve">100</w:t>
            </w:r>
            <w:r/>
          </w:p>
        </w:tc>
        <w:tc>
          <w:tcPr>
            <w:tcBorders>
              <w:top w:val="single" w:color="000000" w:sz="6" w:space="0"/>
              <w:left w:val="single" w:color="000000" w:sz="6" w:space="0"/>
              <w:bottom w:val="single" w:color="000000" w:sz="6" w:space="0"/>
              <w:right w:val="single" w:color="000000" w:sz="6" w:space="0"/>
            </w:tcBorders>
            <w:tcW w:w="1258" w:type="dxa"/>
            <w:vAlign w:val="top"/>
            <w:textDirection w:val="lrTb"/>
            <w:noWrap w:val="false"/>
          </w:tcPr>
          <w:p>
            <w:pPr>
              <w:pStyle w:val="715"/>
              <w:ind w:hanging="19"/>
              <w:jc w:val="center"/>
            </w:pPr>
            <w:r>
              <w:t xml:space="preserve">100</w:t>
            </w:r>
            <w:r/>
          </w:p>
        </w:tc>
      </w:tr>
    </w:tbl>
    <w:p>
      <w:pPr>
        <w:pStyle w:val="715"/>
        <w:ind w:right="-1" w:firstLine="426"/>
        <w:tabs>
          <w:tab w:val="left" w:pos="9923" w:leader="none"/>
        </w:tabs>
      </w:pPr>
      <w:r>
        <w:t xml:space="preserve">Перечень травм (повреждений), указанных в Таблице страховых выплат, может быть сокращен в </w:t>
      </w:r>
      <w:r>
        <w:t xml:space="preserve">настоящем Контракте</w:t>
      </w:r>
      <w:r>
        <w:t xml:space="preserve"> страхования по соглашению Страховщика и Страхователя.</w:t>
      </w:r>
      <w:r/>
    </w:p>
    <w:p>
      <w:pPr>
        <w:pStyle w:val="715"/>
        <w:ind w:right="-1" w:firstLine="426"/>
        <w:tabs>
          <w:tab w:val="left" w:pos="9923" w:leader="none"/>
        </w:tabs>
      </w:pPr>
      <w:r/>
      <w:r/>
    </w:p>
    <w:tbl>
      <w:tblPr>
        <w:tblW w:w="10204" w:type="dxa"/>
        <w:jc w:val="center"/>
        <w:tblInd w:w="-365" w:type="dxa"/>
        <w:tblLayout w:type="autofit"/>
        <w:tblCellMar>
          <w:left w:w="108" w:type="dxa"/>
          <w:top w:w="0" w:type="dxa"/>
          <w:right w:w="108" w:type="dxa"/>
          <w:bottom w:w="0" w:type="dxa"/>
        </w:tblCellMar>
        <w:tblLook w:val="04A0" w:firstRow="1" w:lastRow="0" w:firstColumn="1" w:lastColumn="0" w:noHBand="0" w:noVBand="1"/>
      </w:tblPr>
      <w:tblGrid>
        <w:gridCol w:w="5102"/>
        <w:gridCol w:w="5102"/>
      </w:tblGrid>
      <w:tr>
        <w:tblPrEx/>
        <w:trPr>
          <w:trHeight w:val="1703"/>
        </w:trPr>
        <w:tc>
          <w:tcPr>
            <w:tcBorders>
              <w:top w:val="none" w:color="000000" w:sz="0" w:space="0"/>
              <w:left w:val="none" w:color="000000" w:sz="0" w:space="0"/>
              <w:bottom w:val="none" w:color="000000" w:sz="0" w:space="0"/>
              <w:right w:val="none" w:color="000000" w:sz="0" w:space="0"/>
            </w:tcBorders>
            <w:tcW w:w="5102" w:type="dxa"/>
            <w:vAlign w:val="top"/>
            <w:textDirection w:val="lrTb"/>
            <w:noWrap w:val="false"/>
          </w:tcPr>
          <w:p>
            <w:pPr>
              <w:pStyle w:val="715"/>
              <w:ind w:firstLine="0"/>
              <w:jc w:val="left"/>
              <w:rPr>
                <w:color w:val="000000"/>
                <w:sz w:val="22"/>
                <w:szCs w:val="22"/>
                <w:u w:val="single"/>
              </w:rPr>
            </w:pPr>
            <w:r>
              <w:rPr>
                <w:color w:val="000000"/>
                <w:sz w:val="22"/>
                <w:szCs w:val="22"/>
                <w:u w:val="single"/>
              </w:rPr>
              <w:t xml:space="preserve">От имени Страхователя:</w:t>
            </w:r>
            <w:r>
              <w:rPr>
                <w:color w:val="000000"/>
                <w:sz w:val="22"/>
                <w:szCs w:val="22"/>
                <w:u w:val="single"/>
              </w:rPr>
            </w:r>
          </w:p>
          <w:p>
            <w:pPr>
              <w:pStyle w:val="715"/>
              <w:ind w:firstLine="0"/>
              <w:jc w:val="left"/>
              <w:rPr>
                <w:color w:val="000000"/>
                <w:sz w:val="22"/>
                <w:szCs w:val="22"/>
              </w:rPr>
            </w:pPr>
            <w:r>
              <w:rPr>
                <w:color w:val="000000"/>
                <w:sz w:val="22"/>
                <w:szCs w:val="22"/>
              </w:rPr>
            </w:r>
            <w:r>
              <w:rPr>
                <w:color w:val="000000"/>
                <w:sz w:val="22"/>
                <w:szCs w:val="22"/>
              </w:rPr>
            </w:r>
          </w:p>
          <w:p>
            <w:pPr>
              <w:pStyle w:val="715"/>
              <w:ind w:firstLine="0"/>
              <w:rPr>
                <w:color w:val="000000"/>
                <w:spacing w:val="-4"/>
                <w:sz w:val="20"/>
                <w:szCs w:val="20"/>
              </w:rPr>
            </w:pPr>
            <w:r>
              <w:rPr>
                <w:color w:val="000000"/>
                <w:spacing w:val="-4"/>
                <w:sz w:val="20"/>
                <w:szCs w:val="20"/>
              </w:rPr>
            </w:r>
            <w:r>
              <w:rPr>
                <w:color w:val="000000"/>
                <w:spacing w:val="-4"/>
                <w:sz w:val="20"/>
                <w:szCs w:val="20"/>
              </w:rPr>
            </w:r>
          </w:p>
          <w:p>
            <w:pPr>
              <w:pStyle w:val="715"/>
              <w:ind w:firstLine="0"/>
              <w:jc w:val="left"/>
              <w:rPr>
                <w:color w:val="000000"/>
                <w:sz w:val="20"/>
                <w:szCs w:val="20"/>
              </w:rPr>
            </w:pPr>
            <w:r>
              <w:rPr>
                <w:color w:val="000000"/>
                <w:spacing w:val="-4"/>
                <w:sz w:val="20"/>
                <w:szCs w:val="20"/>
              </w:rPr>
              <w:t xml:space="preserve">_________________ /</w:t>
            </w:r>
            <w:r>
              <w:rPr>
                <w:color w:val="000000"/>
                <w:spacing w:val="-4"/>
                <w:sz w:val="20"/>
                <w:szCs w:val="20"/>
              </w:rPr>
              <w:t xml:space="preserve">__________________</w:t>
            </w:r>
            <w:r>
              <w:rPr>
                <w:color w:val="000000"/>
                <w:spacing w:val="-4"/>
                <w:sz w:val="20"/>
                <w:szCs w:val="20"/>
              </w:rPr>
              <w:t xml:space="preserve">/</w:t>
            </w:r>
            <w:r>
              <w:rPr>
                <w:color w:val="000000"/>
                <w:sz w:val="20"/>
                <w:szCs w:val="20"/>
              </w:rPr>
            </w:r>
            <w:r>
              <w:rPr>
                <w:color w:val="000000"/>
                <w:sz w:val="20"/>
                <w:szCs w:val="20"/>
              </w:rPr>
            </w:r>
          </w:p>
          <w:p>
            <w:pPr>
              <w:pStyle w:val="715"/>
              <w:ind w:firstLine="0"/>
              <w:jc w:val="left"/>
              <w:rPr>
                <w:color w:val="000000"/>
                <w:sz w:val="22"/>
                <w:szCs w:val="22"/>
                <w:u w:val="single"/>
              </w:rPr>
            </w:pPr>
            <w:r>
              <w:rPr>
                <w:color w:val="000000"/>
                <w:sz w:val="22"/>
                <w:szCs w:val="22"/>
              </w:rPr>
              <w:t xml:space="preserve">М.П.</w:t>
            </w:r>
            <w:r>
              <w:rPr>
                <w:color w:val="000000"/>
                <w:sz w:val="22"/>
                <w:szCs w:val="22"/>
                <w:u w:val="single"/>
              </w:rPr>
            </w:r>
            <w:r>
              <w:rPr>
                <w:color w:val="000000"/>
                <w:sz w:val="22"/>
                <w:szCs w:val="22"/>
                <w:u w:val="single"/>
              </w:rPr>
            </w:r>
          </w:p>
        </w:tc>
        <w:tc>
          <w:tcPr>
            <w:tcBorders>
              <w:top w:val="none" w:color="000000" w:sz="0" w:space="0"/>
              <w:left w:val="none" w:color="000000" w:sz="0" w:space="0"/>
              <w:bottom w:val="none" w:color="000000" w:sz="0" w:space="0"/>
              <w:right w:val="none" w:color="000000" w:sz="0" w:space="0"/>
            </w:tcBorders>
            <w:tcW w:w="5102" w:type="dxa"/>
            <w:vAlign w:val="top"/>
            <w:textDirection w:val="lrTb"/>
            <w:noWrap w:val="false"/>
          </w:tcPr>
          <w:p>
            <w:pPr>
              <w:pStyle w:val="715"/>
              <w:ind w:firstLine="0"/>
              <w:rPr>
                <w:sz w:val="22"/>
                <w:szCs w:val="22"/>
                <w:u w:val="single"/>
              </w:rPr>
            </w:pPr>
            <w:r>
              <w:rPr>
                <w:color w:val="000000"/>
                <w:sz w:val="22"/>
                <w:szCs w:val="22"/>
                <w:u w:val="single"/>
              </w:rPr>
              <w:t xml:space="preserve">От имени Страховщика:</w:t>
            </w:r>
            <w:r>
              <w:rPr>
                <w:sz w:val="22"/>
                <w:szCs w:val="22"/>
                <w:u w:val="single"/>
              </w:rPr>
            </w:r>
            <w:r>
              <w:rPr>
                <w:sz w:val="22"/>
                <w:szCs w:val="22"/>
                <w:u w:val="single"/>
              </w:rPr>
            </w:r>
          </w:p>
          <w:p>
            <w:pPr>
              <w:pStyle w:val="715"/>
              <w:ind w:firstLine="0"/>
              <w:rPr>
                <w:sz w:val="22"/>
                <w:szCs w:val="22"/>
              </w:rPr>
            </w:pPr>
            <w:r>
              <w:rPr>
                <w:sz w:val="22"/>
                <w:szCs w:val="22"/>
              </w:rPr>
            </w:r>
            <w:r>
              <w:rPr>
                <w:sz w:val="22"/>
                <w:szCs w:val="22"/>
              </w:rPr>
            </w:r>
          </w:p>
          <w:p>
            <w:pPr>
              <w:pStyle w:val="715"/>
              <w:ind w:firstLine="0"/>
              <w:rPr>
                <w:color w:val="000000"/>
                <w:spacing w:val="-4"/>
                <w:sz w:val="20"/>
                <w:szCs w:val="20"/>
              </w:rPr>
            </w:pPr>
            <w:r>
              <w:rPr>
                <w:color w:val="000000"/>
                <w:spacing w:val="-4"/>
                <w:sz w:val="20"/>
                <w:szCs w:val="20"/>
              </w:rPr>
            </w:r>
            <w:r>
              <w:rPr>
                <w:color w:val="000000"/>
                <w:spacing w:val="-4"/>
                <w:sz w:val="20"/>
                <w:szCs w:val="20"/>
              </w:rPr>
            </w:r>
          </w:p>
          <w:p>
            <w:pPr>
              <w:pStyle w:val="715"/>
              <w:ind w:firstLine="0"/>
              <w:rPr>
                <w:color w:val="000000"/>
                <w:spacing w:val="-4"/>
                <w:sz w:val="20"/>
                <w:szCs w:val="20"/>
              </w:rPr>
            </w:pPr>
            <w:r>
              <w:rPr>
                <w:color w:val="000000"/>
                <w:spacing w:val="-4"/>
                <w:sz w:val="20"/>
                <w:szCs w:val="20"/>
              </w:rPr>
              <w:t xml:space="preserve">_________________ /</w:t>
            </w:r>
            <w:r>
              <w:rPr>
                <w:color w:val="000000"/>
                <w:spacing w:val="-4"/>
                <w:sz w:val="20"/>
                <w:szCs w:val="20"/>
              </w:rPr>
              <w:t xml:space="preserve">___________________</w:t>
            </w:r>
            <w:r>
              <w:rPr>
                <w:color w:val="000000"/>
                <w:spacing w:val="-4"/>
                <w:sz w:val="20"/>
                <w:szCs w:val="20"/>
              </w:rPr>
              <w:t xml:space="preserve">/</w:t>
            </w:r>
            <w:r>
              <w:rPr>
                <w:color w:val="000000"/>
                <w:spacing w:val="-4"/>
                <w:sz w:val="20"/>
                <w:szCs w:val="20"/>
              </w:rPr>
            </w:r>
          </w:p>
          <w:p>
            <w:pPr>
              <w:pStyle w:val="715"/>
              <w:ind w:firstLine="6"/>
              <w:jc w:val="left"/>
              <w:rPr>
                <w:color w:val="000000"/>
                <w:sz w:val="22"/>
                <w:szCs w:val="22"/>
                <w:u w:val="single"/>
              </w:rPr>
            </w:pPr>
            <w:r>
              <w:rPr>
                <w:sz w:val="22"/>
                <w:szCs w:val="22"/>
              </w:rPr>
              <w:t xml:space="preserve">М.П.</w:t>
            </w:r>
            <w:r>
              <w:rPr>
                <w:color w:val="000000"/>
                <w:sz w:val="22"/>
                <w:szCs w:val="22"/>
                <w:u w:val="single"/>
              </w:rPr>
            </w:r>
            <w:r>
              <w:rPr>
                <w:color w:val="000000"/>
                <w:sz w:val="22"/>
                <w:szCs w:val="22"/>
                <w:u w:val="single"/>
              </w:rPr>
            </w:r>
          </w:p>
        </w:tc>
      </w:tr>
    </w:tbl>
    <w:p>
      <w:pPr>
        <w:pStyle w:val="715"/>
        <w:ind w:right="-1" w:firstLine="426"/>
        <w:tabs>
          <w:tab w:val="left" w:pos="9923" w:leader="none"/>
        </w:tabs>
      </w:pPr>
      <w:r/>
      <w:r/>
    </w:p>
    <w:sectPr>
      <w:footnotePr/>
      <w:endnotePr/>
      <w:type w:val="nextPage"/>
      <w:pgSz w:w="11906" w:h="16838" w:orient="portrait"/>
      <w:pgMar w:top="851" w:right="851" w:bottom="567" w:left="1134" w:header="720" w:footer="709"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Cambria">
    <w:panose1 w:val="02040503050406030204"/>
  </w:font>
  <w:font w:name="SimSun">
    <w:panose1 w:val="02010600030101010101"/>
  </w:font>
  <w:font w:name="Verdana">
    <w:panose1 w:val="020B0604030504040204"/>
  </w:font>
  <w:font w:name="MS Mincho">
    <w:panose1 w:val="02020503050405090304"/>
  </w:font>
  <w:font w:name="Tahoma">
    <w:panose1 w:val="020B0604030504040204"/>
  </w:font>
  <w:font w:name="Wingdings">
    <w:panose1 w:val="05000000000000000000"/>
  </w:font>
  <w:font w:name="OpenSymbol">
    <w:panose1 w:val="05010000000000000000"/>
  </w:font>
  <w:font w:name="Courier New">
    <w:panose1 w:val="02070309020205020404"/>
  </w:font>
  <w:font w:name="Symbol">
    <w:panose1 w:val="05050102010706020507"/>
  </w:font>
  <w:font w:name="Arial Narrow">
    <w:panose1 w:val="020B0604020202020204"/>
  </w:font>
  <w:font w:name="Times New Roman">
    <w:panose1 w:val="02020603050405020304"/>
  </w:font>
  <w:font w:name="Franklin Gothic Medium">
    <w:panose1 w:val="020B06030201020202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1002"/>
      <w:isLgl w:val="false"/>
      <w:suff w:val="tab"/>
      <w:lvlText w:val=""/>
      <w:lvlJc w:val="left"/>
      <w:pPr>
        <w:ind w:left="360" w:hanging="360"/>
        <w:tabs>
          <w:tab w:val="num" w:pos="360"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pStyle w:val="906"/>
      <w:isLgl w:val="false"/>
      <w:suff w:val="space"/>
      <w:lvlText w:val="Раздел %1."/>
      <w:lvlJc w:val="left"/>
      <w:pPr>
        <w:ind w:left="2912" w:hanging="360"/>
      </w:pPr>
      <w:rPr>
        <w:rFonts w:ascii="Times New Roman" w:hAnsi="Times New Roman"/>
        <w:b/>
        <w:bCs/>
      </w:rPr>
    </w:lvl>
    <w:lvl w:ilvl="1">
      <w:start w:val="1"/>
      <w:numFmt w:val="decimal"/>
      <w:pStyle w:val="905"/>
      <w:isLgl w:val="false"/>
      <w:suff w:val="space"/>
      <w:lvlText w:val="%1.%2."/>
      <w:lvlJc w:val="left"/>
      <w:pPr>
        <w:ind w:left="426" w:firstLine="0"/>
      </w:pPr>
      <w:rPr>
        <w:rFonts w:ascii="Times New Roman" w:hAnsi="Times New Roman" w:eastAsia="Times New Roman" w:cs="Times New Roman"/>
        <w:b/>
        <w:i w:val="0"/>
        <w:strike w:val="0"/>
        <w:color w:val="000000"/>
      </w:rPr>
    </w:lvl>
    <w:lvl w:ilvl="2">
      <w:start w:val="1"/>
      <w:numFmt w:val="decimal"/>
      <w:pStyle w:val="909"/>
      <w:isLgl w:val="false"/>
      <w:suff w:val="space"/>
      <w:lvlText w:val="%1.%2.%3."/>
      <w:lvlJc w:val="left"/>
      <w:pPr>
        <w:ind w:left="710" w:firstLine="0"/>
      </w:pPr>
      <w:rPr>
        <w:rFonts w:ascii="Times New Roman" w:hAnsi="Times New Roman"/>
        <w:b w:val="0"/>
        <w:bCs w:val="0"/>
      </w:rPr>
    </w:lvl>
    <w:lvl w:ilvl="3">
      <w:start w:val="1"/>
      <w:numFmt w:val="decimal"/>
      <w:pStyle w:val="719"/>
      <w:isLgl w:val="false"/>
      <w:suff w:val="tab"/>
      <w:lvlText w:val="%1.%2.%3.%4"/>
      <w:lvlJc w:val="left"/>
      <w:pPr>
        <w:ind w:left="325" w:hanging="780"/>
        <w:tabs>
          <w:tab w:val="num" w:pos="325" w:leader="none"/>
        </w:tabs>
      </w:pPr>
    </w:lvl>
    <w:lvl w:ilvl="4">
      <w:start w:val="1"/>
      <w:numFmt w:val="decimal"/>
      <w:isLgl w:val="false"/>
      <w:suff w:val="tab"/>
      <w:lvlText w:val="%1.%2.%3.%4.%5"/>
      <w:lvlJc w:val="left"/>
      <w:pPr>
        <w:ind w:left="625" w:hanging="1080"/>
        <w:tabs>
          <w:tab w:val="num" w:pos="625" w:leader="none"/>
        </w:tabs>
      </w:pPr>
    </w:lvl>
    <w:lvl w:ilvl="5">
      <w:start w:val="1"/>
      <w:numFmt w:val="decimal"/>
      <w:pStyle w:val="721"/>
      <w:isLgl w:val="false"/>
      <w:suff w:val="tab"/>
      <w:lvlText w:val="%1.%2.%3.%4.%5.%6"/>
      <w:lvlJc w:val="left"/>
      <w:pPr>
        <w:ind w:left="625" w:hanging="1080"/>
        <w:tabs>
          <w:tab w:val="num" w:pos="625" w:leader="none"/>
        </w:tabs>
      </w:pPr>
    </w:lvl>
    <w:lvl w:ilvl="6">
      <w:start w:val="1"/>
      <w:numFmt w:val="decimal"/>
      <w:pStyle w:val="722"/>
      <w:isLgl w:val="false"/>
      <w:suff w:val="tab"/>
      <w:lvlText w:val="%1.%2.%3.%4.%5.%6.%7"/>
      <w:lvlJc w:val="left"/>
      <w:pPr>
        <w:ind w:left="985" w:hanging="1440"/>
        <w:tabs>
          <w:tab w:val="num" w:pos="985" w:leader="none"/>
        </w:tabs>
      </w:pPr>
    </w:lvl>
    <w:lvl w:ilvl="7">
      <w:start w:val="1"/>
      <w:numFmt w:val="decimal"/>
      <w:pStyle w:val="723"/>
      <w:isLgl w:val="false"/>
      <w:suff w:val="tab"/>
      <w:lvlText w:val="%1.%2.%3.%4.%5.%6.%7.%8"/>
      <w:lvlJc w:val="left"/>
      <w:pPr>
        <w:ind w:left="985" w:hanging="1440"/>
        <w:tabs>
          <w:tab w:val="num" w:pos="985" w:leader="none"/>
        </w:tabs>
      </w:pPr>
    </w:lvl>
    <w:lvl w:ilvl="8">
      <w:start w:val="1"/>
      <w:numFmt w:val="decimal"/>
      <w:pStyle w:val="724"/>
      <w:isLgl w:val="false"/>
      <w:suff w:val="tab"/>
      <w:lvlText w:val="%1.%2.%3.%4.%5.%6.%7.%8.%9"/>
      <w:lvlJc w:val="left"/>
      <w:pPr>
        <w:ind w:left="1345" w:hanging="1800"/>
        <w:tabs>
          <w:tab w:val="num" w:pos="1345" w:leader="none"/>
        </w:tabs>
      </w:pPr>
    </w:lvl>
  </w:abstractNum>
  <w:abstractNum w:abstractNumId="2">
    <w:multiLevelType w:val="hybridMultilevel"/>
    <w:lvl w:ilvl="0">
      <w:start w:val="1"/>
      <w:numFmt w:val="decimal"/>
      <w:pStyle w:val="929"/>
      <w:isLgl w:val="false"/>
      <w:suff w:val="space"/>
      <w:lvlText w:val="Раздел %1."/>
      <w:lvlJc w:val="left"/>
      <w:pPr>
        <w:ind w:left="644" w:hanging="360"/>
        <w:tabs>
          <w:tab w:val="num" w:pos="-1276" w:leader="none"/>
        </w:tabs>
      </w:pPr>
      <w:rPr>
        <w:rFonts w:ascii="Symbol" w:hAnsi="Symbol"/>
      </w:rPr>
    </w:lvl>
    <w:lvl w:ilvl="1">
      <w:start w:val="1"/>
      <w:numFmt w:val="decimal"/>
      <w:isLgl w:val="false"/>
      <w:suff w:val="tab"/>
      <w:lvlText w:val="%1.%2."/>
      <w:lvlJc w:val="left"/>
      <w:pPr>
        <w:ind w:left="-765" w:hanging="227"/>
        <w:tabs>
          <w:tab w:val="num" w:pos="-311" w:leader="none"/>
        </w:tabs>
      </w:pPr>
      <w:rPr>
        <w:b/>
        <w:i w:val="0"/>
        <w:color w:val="000000"/>
      </w:rPr>
    </w:lvl>
    <w:lvl w:ilvl="2">
      <w:start w:val="1"/>
      <w:numFmt w:val="decimal"/>
      <w:isLgl w:val="false"/>
      <w:suff w:val="tab"/>
      <w:lvlText w:val="%1.%2.%3."/>
      <w:lvlJc w:val="left"/>
      <w:pPr>
        <w:ind w:left="-212" w:hanging="780"/>
        <w:tabs>
          <w:tab w:val="num" w:pos="-212" w:leader="none"/>
        </w:tabs>
      </w:pPr>
      <w:rPr>
        <w:rFonts w:ascii="Times New Roman" w:hAnsi="Times New Roman"/>
      </w:rPr>
    </w:lvl>
    <w:lvl w:ilvl="3">
      <w:start w:val="1"/>
      <w:numFmt w:val="decimal"/>
      <w:isLgl w:val="false"/>
      <w:suff w:val="tab"/>
      <w:lvlText w:val="%1.%2.%3.%4"/>
      <w:lvlJc w:val="left"/>
      <w:pPr>
        <w:ind w:left="-156" w:hanging="780"/>
        <w:tabs>
          <w:tab w:val="num" w:pos="-156" w:leader="none"/>
        </w:tabs>
      </w:pPr>
    </w:lvl>
    <w:lvl w:ilvl="4">
      <w:start w:val="1"/>
      <w:numFmt w:val="decimal"/>
      <w:isLgl w:val="false"/>
      <w:suff w:val="tab"/>
      <w:lvlText w:val="%1.%2.%3.%4.%5"/>
      <w:lvlJc w:val="left"/>
      <w:pPr>
        <w:ind w:left="144" w:hanging="1080"/>
        <w:tabs>
          <w:tab w:val="num" w:pos="144" w:leader="none"/>
        </w:tabs>
      </w:pPr>
    </w:lvl>
    <w:lvl w:ilvl="5">
      <w:start w:val="1"/>
      <w:numFmt w:val="decimal"/>
      <w:isLgl w:val="false"/>
      <w:suff w:val="tab"/>
      <w:lvlText w:val="%1.%2.%3.%4.%5.%6"/>
      <w:lvlJc w:val="left"/>
      <w:pPr>
        <w:ind w:left="144" w:hanging="1080"/>
        <w:tabs>
          <w:tab w:val="num" w:pos="144" w:leader="none"/>
        </w:tabs>
      </w:pPr>
    </w:lvl>
    <w:lvl w:ilvl="6">
      <w:start w:val="1"/>
      <w:numFmt w:val="decimal"/>
      <w:isLgl w:val="false"/>
      <w:suff w:val="tab"/>
      <w:lvlText w:val="%1.%2.%3.%4.%5.%6.%7"/>
      <w:lvlJc w:val="left"/>
      <w:pPr>
        <w:ind w:left="504" w:hanging="1440"/>
        <w:tabs>
          <w:tab w:val="num" w:pos="504" w:leader="none"/>
        </w:tabs>
      </w:pPr>
    </w:lvl>
    <w:lvl w:ilvl="7">
      <w:start w:val="1"/>
      <w:numFmt w:val="decimal"/>
      <w:isLgl w:val="false"/>
      <w:suff w:val="tab"/>
      <w:lvlText w:val="%1.%2.%3.%4.%5.%6.%7.%8"/>
      <w:lvlJc w:val="left"/>
      <w:pPr>
        <w:ind w:left="504" w:hanging="1440"/>
        <w:tabs>
          <w:tab w:val="num" w:pos="504" w:leader="none"/>
        </w:tabs>
      </w:pPr>
    </w:lvl>
    <w:lvl w:ilvl="8">
      <w:start w:val="1"/>
      <w:numFmt w:val="decimal"/>
      <w:isLgl w:val="false"/>
      <w:suff w:val="tab"/>
      <w:lvlText w:val="%1.%2.%3.%4.%5.%6.%7.%8.%9"/>
      <w:lvlJc w:val="left"/>
      <w:pPr>
        <w:ind w:left="864" w:hanging="1800"/>
        <w:tabs>
          <w:tab w:val="num" w:pos="864" w:leader="none"/>
        </w:tabs>
      </w:pPr>
    </w:lvl>
  </w:abstractNum>
  <w:abstractNum w:abstractNumId="3">
    <w:multiLevelType w:val="hybridMultilevel"/>
    <w:lvl w:ilvl="0">
      <w:start w:val="1"/>
      <w:numFmt w:val="bullet"/>
      <w:pStyle w:val="907"/>
      <w:isLgl w:val="false"/>
      <w:suff w:val="tab"/>
      <w:lvlText w:val=""/>
      <w:lvlJc w:val="left"/>
      <w:pPr>
        <w:ind w:left="340" w:hanging="340"/>
        <w:tabs>
          <w:tab w:val="num" w:pos="340" w:leader="none"/>
        </w:tabs>
      </w:pPr>
      <w:rPr>
        <w:rFonts w:ascii="Wingdings" w:hAnsi="Wingdings"/>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decimal"/>
      <w:pStyle w:val="931"/>
      <w:isLgl w:val="false"/>
      <w:suff w:val="tab"/>
      <w:lvlText w:val="%1)"/>
      <w:lvlJc w:val="left"/>
      <w:pPr>
        <w:ind w:left="700" w:hanging="360"/>
        <w:tabs>
          <w:tab w:val="num" w:pos="700" w:leader="none"/>
        </w:tabs>
      </w:pPr>
    </w:lvl>
    <w:lvl w:ilvl="1">
      <w:start w:val="1"/>
      <w:numFmt w:val="bullet"/>
      <w:isLgl w:val="false"/>
      <w:suff w:val="tab"/>
      <w:lvlText w:val="o"/>
      <w:lvlJc w:val="left"/>
      <w:pPr>
        <w:ind w:left="1800" w:hanging="360"/>
        <w:tabs>
          <w:tab w:val="num" w:pos="1800" w:leader="none"/>
        </w:tabs>
      </w:pPr>
      <w:rPr>
        <w:rFonts w:ascii="Courier New" w:hAnsi="Courier New" w:cs="Courier New"/>
      </w:rPr>
    </w:lvl>
    <w:lvl w:ilvl="2">
      <w:start w:val="1"/>
      <w:numFmt w:val="bullet"/>
      <w:isLgl w:val="false"/>
      <w:suff w:val="tab"/>
      <w:lvlText w:val=""/>
      <w:lvlJc w:val="left"/>
      <w:pPr>
        <w:ind w:left="2520" w:hanging="360"/>
        <w:tabs>
          <w:tab w:val="num" w:pos="2520" w:leader="none"/>
        </w:tabs>
      </w:pPr>
      <w:rPr>
        <w:rFonts w:ascii="Wingdings" w:hAnsi="Wingdings"/>
      </w:rPr>
    </w:lvl>
    <w:lvl w:ilvl="3">
      <w:start w:val="1"/>
      <w:numFmt w:val="bullet"/>
      <w:isLgl w:val="false"/>
      <w:suff w:val="tab"/>
      <w:lvlText w:val=""/>
      <w:lvlJc w:val="left"/>
      <w:pPr>
        <w:ind w:left="3240" w:hanging="360"/>
        <w:tabs>
          <w:tab w:val="num" w:pos="3240" w:leader="none"/>
        </w:tabs>
      </w:pPr>
      <w:rPr>
        <w:rFonts w:ascii="Symbol" w:hAnsi="Symbol"/>
      </w:rPr>
    </w:lvl>
    <w:lvl w:ilvl="4">
      <w:start w:val="1"/>
      <w:numFmt w:val="bullet"/>
      <w:isLgl w:val="false"/>
      <w:suff w:val="tab"/>
      <w:lvlText w:val="o"/>
      <w:lvlJc w:val="left"/>
      <w:pPr>
        <w:ind w:left="3960" w:hanging="360"/>
        <w:tabs>
          <w:tab w:val="num" w:pos="3960" w:leader="none"/>
        </w:tabs>
      </w:pPr>
      <w:rPr>
        <w:rFonts w:ascii="Courier New" w:hAnsi="Courier New" w:cs="Courier New"/>
      </w:rPr>
    </w:lvl>
    <w:lvl w:ilvl="5">
      <w:start w:val="1"/>
      <w:numFmt w:val="bullet"/>
      <w:isLgl w:val="false"/>
      <w:suff w:val="tab"/>
      <w:lvlText w:val=""/>
      <w:lvlJc w:val="left"/>
      <w:pPr>
        <w:ind w:left="4680" w:hanging="360"/>
        <w:tabs>
          <w:tab w:val="num" w:pos="4680" w:leader="none"/>
        </w:tabs>
      </w:pPr>
      <w:rPr>
        <w:rFonts w:ascii="Wingdings" w:hAnsi="Wingdings"/>
      </w:rPr>
    </w:lvl>
    <w:lvl w:ilvl="6">
      <w:start w:val="1"/>
      <w:numFmt w:val="bullet"/>
      <w:isLgl w:val="false"/>
      <w:suff w:val="tab"/>
      <w:lvlText w:val=""/>
      <w:lvlJc w:val="left"/>
      <w:pPr>
        <w:ind w:left="5400" w:hanging="360"/>
        <w:tabs>
          <w:tab w:val="num" w:pos="5400" w:leader="none"/>
        </w:tabs>
      </w:pPr>
      <w:rPr>
        <w:rFonts w:ascii="Symbol" w:hAnsi="Symbol"/>
      </w:rPr>
    </w:lvl>
    <w:lvl w:ilvl="7">
      <w:start w:val="1"/>
      <w:numFmt w:val="bullet"/>
      <w:isLgl w:val="false"/>
      <w:suff w:val="tab"/>
      <w:lvlText w:val="o"/>
      <w:lvlJc w:val="left"/>
      <w:pPr>
        <w:ind w:left="6120" w:hanging="360"/>
        <w:tabs>
          <w:tab w:val="num" w:pos="6120" w:leader="none"/>
        </w:tabs>
      </w:pPr>
      <w:rPr>
        <w:rFonts w:ascii="Courier New" w:hAnsi="Courier New" w:cs="Courier New"/>
      </w:rPr>
    </w:lvl>
    <w:lvl w:ilvl="8">
      <w:start w:val="1"/>
      <w:numFmt w:val="bullet"/>
      <w:isLgl w:val="false"/>
      <w:suff w:val="tab"/>
      <w:lvlText w:val=""/>
      <w:lvlJc w:val="left"/>
      <w:pPr>
        <w:ind w:left="6840" w:hanging="360"/>
        <w:tabs>
          <w:tab w:val="num" w:pos="6840" w:leader="none"/>
        </w:tabs>
      </w:pPr>
      <w:rPr>
        <w:rFonts w:ascii="Wingdings" w:hAnsi="Wingdings"/>
      </w:rPr>
    </w:lvl>
  </w:abstractNum>
  <w:abstractNum w:abstractNumId="5">
    <w:multiLevelType w:val="hybridMultilevel"/>
    <w:lvl w:ilvl="0">
      <w:start w:val="5"/>
      <w:numFmt w:val="decimal"/>
      <w:isLgl w:val="false"/>
      <w:suff w:val="tab"/>
      <w:lvlText w:val="%1."/>
      <w:lvlJc w:val="left"/>
      <w:pPr>
        <w:ind w:left="480" w:hanging="480"/>
      </w:pPr>
    </w:lvl>
    <w:lvl w:ilvl="1">
      <w:start w:val="18"/>
      <w:numFmt w:val="decimal"/>
      <w:isLgl w:val="false"/>
      <w:suff w:val="tab"/>
      <w:lvlText w:val="%1.%2."/>
      <w:lvlJc w:val="left"/>
      <w:pPr>
        <w:ind w:left="1760" w:hanging="720"/>
      </w:pPr>
    </w:lvl>
    <w:lvl w:ilvl="2">
      <w:start w:val="1"/>
      <w:numFmt w:val="decimal"/>
      <w:isLgl w:val="false"/>
      <w:suff w:val="tab"/>
      <w:lvlText w:val="%1.%2.%3."/>
      <w:lvlJc w:val="left"/>
      <w:pPr>
        <w:ind w:left="2800" w:hanging="720"/>
      </w:pPr>
    </w:lvl>
    <w:lvl w:ilvl="3">
      <w:start w:val="1"/>
      <w:numFmt w:val="decimal"/>
      <w:isLgl w:val="false"/>
      <w:suff w:val="tab"/>
      <w:lvlText w:val="%1.%2.%3.%4."/>
      <w:lvlJc w:val="left"/>
      <w:pPr>
        <w:ind w:left="4200" w:hanging="1080"/>
      </w:pPr>
    </w:lvl>
    <w:lvl w:ilvl="4">
      <w:start w:val="1"/>
      <w:numFmt w:val="decimal"/>
      <w:isLgl w:val="false"/>
      <w:suff w:val="tab"/>
      <w:lvlText w:val="%1.%2.%3.%4.%5."/>
      <w:lvlJc w:val="left"/>
      <w:pPr>
        <w:ind w:left="5240" w:hanging="1080"/>
      </w:pPr>
    </w:lvl>
    <w:lvl w:ilvl="5">
      <w:start w:val="1"/>
      <w:numFmt w:val="decimal"/>
      <w:isLgl w:val="false"/>
      <w:suff w:val="tab"/>
      <w:lvlText w:val="%1.%2.%3.%4.%5.%6."/>
      <w:lvlJc w:val="left"/>
      <w:pPr>
        <w:ind w:left="6640" w:hanging="1440"/>
      </w:pPr>
    </w:lvl>
    <w:lvl w:ilvl="6">
      <w:start w:val="1"/>
      <w:numFmt w:val="decimal"/>
      <w:isLgl w:val="false"/>
      <w:suff w:val="tab"/>
      <w:lvlText w:val="%1.%2.%3.%4.%5.%6.%7."/>
      <w:lvlJc w:val="left"/>
      <w:pPr>
        <w:ind w:left="8040" w:hanging="1800"/>
      </w:pPr>
    </w:lvl>
    <w:lvl w:ilvl="7">
      <w:start w:val="1"/>
      <w:numFmt w:val="decimal"/>
      <w:isLgl w:val="false"/>
      <w:suff w:val="tab"/>
      <w:lvlText w:val="%1.%2.%3.%4.%5.%6.%7.%8."/>
      <w:lvlJc w:val="left"/>
      <w:pPr>
        <w:ind w:left="9080" w:hanging="1800"/>
      </w:pPr>
    </w:lvl>
    <w:lvl w:ilvl="8">
      <w:start w:val="1"/>
      <w:numFmt w:val="decimal"/>
      <w:isLgl w:val="false"/>
      <w:suff w:val="tab"/>
      <w:lvlText w:val="%1.%2.%3.%4.%5.%6.%7.%8.%9."/>
      <w:lvlJc w:val="left"/>
      <w:pPr>
        <w:ind w:left="10480" w:hanging="2160"/>
      </w:pPr>
    </w:lvl>
  </w:abstractNum>
  <w:abstractNum w:abstractNumId="6">
    <w:multiLevelType w:val="hybridMultilevel"/>
    <w:lvl w:ilvl="0">
      <w:start w:val="3"/>
      <w:numFmt w:val="decimal"/>
      <w:isLgl w:val="false"/>
      <w:suff w:val="tab"/>
      <w:lvlText w:val="%1."/>
      <w:lvlJc w:val="left"/>
      <w:pPr>
        <w:ind w:left="1080" w:hanging="360"/>
        <w:tabs>
          <w:tab w:val="num" w:pos="1080" w:leader="none"/>
        </w:tabs>
      </w:pPr>
      <w:rPr>
        <w:b/>
      </w:rPr>
    </w:lvl>
    <w:lvl w:ilvl="1">
      <w:start w:val="0"/>
      <w:numFmt w:val="decimal"/>
      <w:isLgl w:val="false"/>
      <w:suff w:val="tab"/>
      <w:lvlText w:val=""/>
      <w:lvlJc w:val="left"/>
      <w:pPr>
        <w:tabs>
          <w:tab w:val="num" w:pos="360" w:leader="none"/>
        </w:tabs>
      </w:pPr>
    </w:lvl>
    <w:lvl w:ilvl="2">
      <w:start w:val="0"/>
      <w:numFmt w:val="decimal"/>
      <w:isLgl w:val="false"/>
      <w:suff w:val="tab"/>
      <w:lvlText w:val=""/>
      <w:lvlJc w:val="left"/>
      <w:pPr>
        <w:tabs>
          <w:tab w:val="num" w:pos="360" w:leader="none"/>
        </w:tabs>
      </w:pPr>
    </w:lvl>
    <w:lvl w:ilvl="3">
      <w:start w:val="0"/>
      <w:numFmt w:val="decimal"/>
      <w:isLgl w:val="false"/>
      <w:suff w:val="tab"/>
      <w:lvlText w:val=""/>
      <w:lvlJc w:val="left"/>
      <w:pPr>
        <w:tabs>
          <w:tab w:val="num" w:pos="360" w:leader="none"/>
        </w:tabs>
      </w:pPr>
    </w:lvl>
    <w:lvl w:ilvl="4">
      <w:start w:val="0"/>
      <w:numFmt w:val="decimal"/>
      <w:isLgl w:val="false"/>
      <w:suff w:val="tab"/>
      <w:lvlText w:val=""/>
      <w:lvlJc w:val="left"/>
      <w:pPr>
        <w:tabs>
          <w:tab w:val="num" w:pos="360" w:leader="none"/>
        </w:tabs>
      </w:pPr>
    </w:lvl>
    <w:lvl w:ilvl="5">
      <w:start w:val="0"/>
      <w:numFmt w:val="decimal"/>
      <w:isLgl w:val="false"/>
      <w:suff w:val="tab"/>
      <w:lvlText w:val=""/>
      <w:lvlJc w:val="left"/>
      <w:pPr>
        <w:tabs>
          <w:tab w:val="num" w:pos="360" w:leader="none"/>
        </w:tabs>
      </w:pPr>
    </w:lvl>
    <w:lvl w:ilvl="6">
      <w:start w:val="0"/>
      <w:numFmt w:val="decimal"/>
      <w:isLgl w:val="false"/>
      <w:suff w:val="tab"/>
      <w:lvlText w:val=""/>
      <w:lvlJc w:val="left"/>
      <w:pPr>
        <w:tabs>
          <w:tab w:val="num" w:pos="360" w:leader="none"/>
        </w:tabs>
      </w:pPr>
    </w:lvl>
    <w:lvl w:ilvl="7">
      <w:start w:val="0"/>
      <w:numFmt w:val="decimal"/>
      <w:isLgl w:val="false"/>
      <w:suff w:val="tab"/>
      <w:lvlText w:val=""/>
      <w:lvlJc w:val="left"/>
      <w:pPr>
        <w:tabs>
          <w:tab w:val="num" w:pos="360" w:leader="none"/>
        </w:tabs>
      </w:pPr>
    </w:lvl>
    <w:lvl w:ilvl="8">
      <w:start w:val="0"/>
      <w:numFmt w:val="decimal"/>
      <w:isLgl w:val="false"/>
      <w:suff w:val="tab"/>
      <w:lvlText w:val=""/>
      <w:lvlJc w:val="left"/>
      <w:pPr>
        <w:tabs>
          <w:tab w:val="num" w:pos="360" w:leader="none"/>
        </w:tabs>
      </w:pPr>
    </w:lvl>
  </w:abstractNum>
  <w:abstractNum w:abstractNumId="7">
    <w:multiLevelType w:val="hybridMultilevel"/>
    <w:lvl w:ilvl="0">
      <w:start w:val="2"/>
      <w:numFmt w:val="decimal"/>
      <w:isLgl w:val="false"/>
      <w:suff w:val="tab"/>
      <w:lvlText w:val="%1."/>
      <w:lvlJc w:val="left"/>
      <w:pPr>
        <w:ind w:left="540" w:hanging="540"/>
      </w:pPr>
    </w:lvl>
    <w:lvl w:ilvl="1">
      <w:start w:val="2"/>
      <w:numFmt w:val="decimal"/>
      <w:isLgl w:val="false"/>
      <w:suff w:val="tab"/>
      <w:lvlText w:val="%1.%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8">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9">
    <w:multiLevelType w:val="hybridMultilevel"/>
    <w:lvl w:ilvl="0">
      <w:start w:val="1"/>
      <w:numFmt w:val="bullet"/>
      <w:isLgl w:val="false"/>
      <w:suff w:val="tab"/>
      <w:lvlText w:val="-"/>
      <w:lvlJc w:val="left"/>
      <w:pPr>
        <w:ind w:left="1440" w:hanging="360"/>
        <w:tabs>
          <w:tab w:val="num" w:pos="1440" w:leader="none"/>
        </w:tabs>
      </w:pPr>
      <w:rPr>
        <w:rFonts w:ascii="Times New Roman" w:hAnsi="Times New Roman" w:cs="Times New Roman"/>
      </w:rPr>
    </w:lvl>
    <w:lvl w:ilvl="1">
      <w:start w:val="1"/>
      <w:numFmt w:val="bullet"/>
      <w:isLgl w:val="false"/>
      <w:suff w:val="tab"/>
      <w:lvlText w:val=""/>
      <w:lvlJc w:val="left"/>
      <w:pPr>
        <w:ind w:left="2160" w:hanging="360"/>
        <w:tabs>
          <w:tab w:val="num" w:pos="2160" w:leader="none"/>
        </w:tabs>
      </w:pPr>
      <w:rPr>
        <w:rFonts w:ascii="Symbol" w:hAnsi="Symbol"/>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cs="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cs="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10">
    <w:multiLevelType w:val="hybridMultilevel"/>
    <w:lvl w:ilvl="0">
      <w:start w:val="1"/>
      <w:numFmt w:val="decimal"/>
      <w:isLgl w:val="false"/>
      <w:suff w:val="tab"/>
      <w:lvlText w:val="%1."/>
      <w:lvlJc w:val="left"/>
      <w:pPr>
        <w:ind w:left="1400" w:hanging="360"/>
      </w:pPr>
    </w:lvl>
    <w:lvl w:ilvl="1">
      <w:start w:val="1"/>
      <w:numFmt w:val="lowerLetter"/>
      <w:isLgl w:val="false"/>
      <w:suff w:val="tab"/>
      <w:lvlText w:val="%2."/>
      <w:lvlJc w:val="left"/>
      <w:pPr>
        <w:ind w:left="2120" w:hanging="360"/>
      </w:pPr>
    </w:lvl>
    <w:lvl w:ilvl="2">
      <w:start w:val="1"/>
      <w:numFmt w:val="lowerRoman"/>
      <w:isLgl w:val="false"/>
      <w:suff w:val="tab"/>
      <w:lvlText w:val="%3."/>
      <w:lvlJc w:val="right"/>
      <w:pPr>
        <w:ind w:left="2840" w:hanging="180"/>
      </w:pPr>
    </w:lvl>
    <w:lvl w:ilvl="3">
      <w:start w:val="1"/>
      <w:numFmt w:val="decimal"/>
      <w:isLgl w:val="false"/>
      <w:suff w:val="tab"/>
      <w:lvlText w:val="%4."/>
      <w:lvlJc w:val="left"/>
      <w:pPr>
        <w:ind w:left="3560" w:hanging="360"/>
      </w:pPr>
    </w:lvl>
    <w:lvl w:ilvl="4">
      <w:start w:val="1"/>
      <w:numFmt w:val="lowerLetter"/>
      <w:isLgl w:val="false"/>
      <w:suff w:val="tab"/>
      <w:lvlText w:val="%5."/>
      <w:lvlJc w:val="left"/>
      <w:pPr>
        <w:ind w:left="4280" w:hanging="360"/>
      </w:pPr>
    </w:lvl>
    <w:lvl w:ilvl="5">
      <w:start w:val="1"/>
      <w:numFmt w:val="lowerRoman"/>
      <w:isLgl w:val="false"/>
      <w:suff w:val="tab"/>
      <w:lvlText w:val="%6."/>
      <w:lvlJc w:val="right"/>
      <w:pPr>
        <w:ind w:left="5000" w:hanging="180"/>
      </w:pPr>
    </w:lvl>
    <w:lvl w:ilvl="6">
      <w:start w:val="1"/>
      <w:numFmt w:val="decimal"/>
      <w:isLgl w:val="false"/>
      <w:suff w:val="tab"/>
      <w:lvlText w:val="%7."/>
      <w:lvlJc w:val="left"/>
      <w:pPr>
        <w:ind w:left="5720" w:hanging="360"/>
      </w:pPr>
    </w:lvl>
    <w:lvl w:ilvl="7">
      <w:start w:val="1"/>
      <w:numFmt w:val="lowerLetter"/>
      <w:isLgl w:val="false"/>
      <w:suff w:val="tab"/>
      <w:lvlText w:val="%8."/>
      <w:lvlJc w:val="left"/>
      <w:pPr>
        <w:ind w:left="6440" w:hanging="360"/>
      </w:pPr>
    </w:lvl>
    <w:lvl w:ilvl="8">
      <w:start w:val="1"/>
      <w:numFmt w:val="lowerRoman"/>
      <w:isLgl w:val="false"/>
      <w:suff w:val="tab"/>
      <w:lvlText w:val="%9."/>
      <w:lvlJc w:val="right"/>
      <w:pPr>
        <w:ind w:left="7160" w:hanging="180"/>
      </w:pPr>
    </w:lvl>
  </w:abstractNum>
  <w:abstractNum w:abstractNumId="11">
    <w:multiLevelType w:val="hybridMultilevel"/>
    <w:lvl w:ilvl="0">
      <w:start w:val="1"/>
      <w:numFmt w:val="decimal"/>
      <w:isLgl w:val="false"/>
      <w:suff w:val="tab"/>
      <w:lvlText w:val="8.4.%1."/>
      <w:lvlJc w:val="left"/>
      <w:pPr>
        <w:ind w:left="2340" w:hanging="360"/>
        <w:tabs>
          <w:tab w:val="num" w:pos="2700" w:leader="none"/>
        </w:tabs>
      </w:pPr>
      <w:rPr>
        <w:b w:val="0"/>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2">
    <w:multiLevelType w:val="hybridMultilevel"/>
    <w:lvl w:ilvl="0">
      <w:start w:val="1"/>
      <w:numFmt w:val="decimal"/>
      <w:isLgl w:val="false"/>
      <w:suff w:val="tab"/>
      <w:lvlText w:val="4.%1."/>
      <w:lvlJc w:val="left"/>
      <w:pPr>
        <w:ind w:left="720" w:hanging="360"/>
        <w:tabs>
          <w:tab w:val="num" w:pos="720" w:leader="none"/>
        </w:tabs>
      </w:pPr>
    </w:lvl>
    <w:lvl w:ilvl="1">
      <w:start w:val="1"/>
      <w:numFmt w:val="decimal"/>
      <w:isLgl w:val="false"/>
      <w:suff w:val="tab"/>
      <w:lvlText w:val="4.%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3">
    <w:multiLevelType w:val="hybridMultilevel"/>
    <w:lvl w:ilvl="0">
      <w:start w:val="5"/>
      <w:numFmt w:val="decimal"/>
      <w:isLgl w:val="false"/>
      <w:suff w:val="tab"/>
      <w:lvlText w:val="1.%1."/>
      <w:lvlJc w:val="left"/>
      <w:pPr>
        <w:ind w:left="0" w:firstLine="0"/>
      </w:pPr>
      <w:rPr>
        <w:rFonts w:ascii="Arial" w:hAnsi="Arial" w:eastAsia="Arial" w:cs="Arial"/>
        <w:b w:val="0"/>
        <w:bCs w:val="0"/>
        <w:i w:val="0"/>
        <w:iCs w:val="0"/>
        <w:smallCaps w:val="0"/>
        <w:strike w:val="0"/>
        <w:color w:val="000000"/>
        <w:spacing w:val="0"/>
        <w:position w:val="0"/>
        <w:sz w:val="22"/>
        <w:szCs w:val="22"/>
        <w:u w:val="none"/>
        <w:lang w:val="ru-RU"/>
      </w:rPr>
    </w:lvl>
    <w:lvl w:ilvl="1">
      <w:start w:val="0"/>
      <w:numFmt w:val="decimal"/>
      <w:isLgl w:val="false"/>
      <w:suff w:val="tab"/>
      <w:lvlText w:val=""/>
      <w:lvlJc w:val="left"/>
      <w:pPr>
        <w:ind w:left="0" w:firstLine="0"/>
      </w:pPr>
    </w:lvl>
    <w:lvl w:ilvl="2">
      <w:start w:val="0"/>
      <w:numFmt w:val="decimal"/>
      <w:isLgl w:val="false"/>
      <w:suff w:val="tab"/>
      <w:lvlText w:val=""/>
      <w:lvlJc w:val="left"/>
      <w:pPr>
        <w:ind w:left="0" w:firstLine="0"/>
      </w:pPr>
    </w:lvl>
    <w:lvl w:ilvl="3">
      <w:start w:val="0"/>
      <w:numFmt w:val="decimal"/>
      <w:isLgl w:val="false"/>
      <w:suff w:val="tab"/>
      <w:lvlText w:val=""/>
      <w:lvlJc w:val="left"/>
      <w:pPr>
        <w:ind w:left="0" w:firstLine="0"/>
      </w:pPr>
    </w:lvl>
    <w:lvl w:ilvl="4">
      <w:start w:val="0"/>
      <w:numFmt w:val="decimal"/>
      <w:isLgl w:val="false"/>
      <w:suff w:val="tab"/>
      <w:lvlText w:val=""/>
      <w:lvlJc w:val="left"/>
      <w:pPr>
        <w:ind w:left="0" w:firstLine="0"/>
      </w:pPr>
    </w:lvl>
    <w:lvl w:ilvl="5">
      <w:start w:val="0"/>
      <w:numFmt w:val="decimal"/>
      <w:isLgl w:val="false"/>
      <w:suff w:val="tab"/>
      <w:lvlText w:val=""/>
      <w:lvlJc w:val="left"/>
      <w:pPr>
        <w:ind w:left="0" w:firstLine="0"/>
      </w:pPr>
    </w:lvl>
    <w:lvl w:ilvl="6">
      <w:start w:val="0"/>
      <w:numFmt w:val="decimal"/>
      <w:isLgl w:val="false"/>
      <w:suff w:val="tab"/>
      <w:lvlText w:val=""/>
      <w:lvlJc w:val="left"/>
      <w:pPr>
        <w:ind w:left="0" w:firstLine="0"/>
      </w:pPr>
    </w:lvl>
    <w:lvl w:ilvl="7">
      <w:start w:val="0"/>
      <w:numFmt w:val="decimal"/>
      <w:isLgl w:val="false"/>
      <w:suff w:val="tab"/>
      <w:lvlText w:val=""/>
      <w:lvlJc w:val="left"/>
      <w:pPr>
        <w:ind w:left="0" w:firstLine="0"/>
      </w:pPr>
    </w:lvl>
    <w:lvl w:ilvl="8">
      <w:start w:val="0"/>
      <w:numFmt w:val="decimal"/>
      <w:isLgl w:val="false"/>
      <w:suff w:val="tab"/>
      <w:lvlText w:val=""/>
      <w:lvlJc w:val="left"/>
      <w:pPr>
        <w:ind w:left="0" w:firstLine="0"/>
      </w:pPr>
    </w:lvl>
  </w:abstractNum>
  <w:abstractNum w:abstractNumId="14">
    <w:multiLevelType w:val="hybridMultilevel"/>
    <w:lvl w:ilvl="0">
      <w:start w:val="1"/>
      <w:numFmt w:val="decimal"/>
      <w:isLgl w:val="false"/>
      <w:suff w:val="tab"/>
      <w:lvlText w:val="%1."/>
      <w:lvlJc w:val="left"/>
      <w:pPr>
        <w:ind w:left="1400" w:hanging="360"/>
      </w:pPr>
    </w:lvl>
    <w:lvl w:ilvl="1">
      <w:start w:val="1"/>
      <w:numFmt w:val="lowerLetter"/>
      <w:isLgl w:val="false"/>
      <w:suff w:val="tab"/>
      <w:lvlText w:val="%2."/>
      <w:lvlJc w:val="left"/>
      <w:pPr>
        <w:ind w:left="2120" w:hanging="360"/>
      </w:pPr>
    </w:lvl>
    <w:lvl w:ilvl="2">
      <w:start w:val="1"/>
      <w:numFmt w:val="lowerRoman"/>
      <w:isLgl w:val="false"/>
      <w:suff w:val="tab"/>
      <w:lvlText w:val="%3."/>
      <w:lvlJc w:val="right"/>
      <w:pPr>
        <w:ind w:left="2840" w:hanging="180"/>
      </w:pPr>
    </w:lvl>
    <w:lvl w:ilvl="3">
      <w:start w:val="1"/>
      <w:numFmt w:val="decimal"/>
      <w:isLgl w:val="false"/>
      <w:suff w:val="tab"/>
      <w:lvlText w:val="%4."/>
      <w:lvlJc w:val="left"/>
      <w:pPr>
        <w:ind w:left="3560" w:hanging="360"/>
      </w:pPr>
    </w:lvl>
    <w:lvl w:ilvl="4">
      <w:start w:val="1"/>
      <w:numFmt w:val="lowerLetter"/>
      <w:isLgl w:val="false"/>
      <w:suff w:val="tab"/>
      <w:lvlText w:val="%5."/>
      <w:lvlJc w:val="left"/>
      <w:pPr>
        <w:ind w:left="4280" w:hanging="360"/>
      </w:pPr>
    </w:lvl>
    <w:lvl w:ilvl="5">
      <w:start w:val="1"/>
      <w:numFmt w:val="lowerRoman"/>
      <w:isLgl w:val="false"/>
      <w:suff w:val="tab"/>
      <w:lvlText w:val="%6."/>
      <w:lvlJc w:val="right"/>
      <w:pPr>
        <w:ind w:left="5000" w:hanging="180"/>
      </w:pPr>
    </w:lvl>
    <w:lvl w:ilvl="6">
      <w:start w:val="1"/>
      <w:numFmt w:val="decimal"/>
      <w:isLgl w:val="false"/>
      <w:suff w:val="tab"/>
      <w:lvlText w:val="%7."/>
      <w:lvlJc w:val="left"/>
      <w:pPr>
        <w:ind w:left="5720" w:hanging="360"/>
      </w:pPr>
    </w:lvl>
    <w:lvl w:ilvl="7">
      <w:start w:val="1"/>
      <w:numFmt w:val="lowerLetter"/>
      <w:isLgl w:val="false"/>
      <w:suff w:val="tab"/>
      <w:lvlText w:val="%8."/>
      <w:lvlJc w:val="left"/>
      <w:pPr>
        <w:ind w:left="6440" w:hanging="360"/>
      </w:pPr>
    </w:lvl>
    <w:lvl w:ilvl="8">
      <w:start w:val="1"/>
      <w:numFmt w:val="lowerRoman"/>
      <w:isLgl w:val="false"/>
      <w:suff w:val="tab"/>
      <w:lvlText w:val="%9."/>
      <w:lvlJc w:val="right"/>
      <w:pPr>
        <w:ind w:left="7160" w:hanging="180"/>
      </w:pPr>
    </w:lvl>
  </w:abstractNum>
  <w:abstractNum w:abstractNumId="15">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6">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17">
    <w:multiLevelType w:val="hybridMultilevel"/>
    <w:lvl w:ilvl="0">
      <w:start w:val="2"/>
      <w:numFmt w:val="decimal"/>
      <w:isLgl w:val="false"/>
      <w:suff w:val="tab"/>
      <w:lvlText w:val="%1."/>
      <w:lvlJc w:val="left"/>
      <w:pPr>
        <w:ind w:left="540" w:hanging="540"/>
      </w:pPr>
    </w:lvl>
    <w:lvl w:ilvl="1">
      <w:start w:val="3"/>
      <w:numFmt w:val="decimal"/>
      <w:isLgl w:val="false"/>
      <w:suff w:val="tab"/>
      <w:lvlText w:val="%1.%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18">
    <w:multiLevelType w:val="hybridMultilevel"/>
    <w:lvl w:ilvl="0">
      <w:start w:val="2"/>
      <w:numFmt w:val="decimal"/>
      <w:isLgl w:val="false"/>
      <w:suff w:val="tab"/>
      <w:lvlText w:val="%1."/>
      <w:lvlJc w:val="left"/>
      <w:pPr>
        <w:ind w:left="540" w:hanging="540"/>
      </w:pPr>
    </w:lvl>
    <w:lvl w:ilvl="1">
      <w:start w:val="3"/>
      <w:numFmt w:val="decimal"/>
      <w:isLgl w:val="false"/>
      <w:suff w:val="tab"/>
      <w:lvlText w:val="%1.%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19">
    <w:multiLevelType w:val="hybridMultilevel"/>
    <w:lvl w:ilvl="0">
      <w:start w:val="1"/>
      <w:numFmt w:val="decimal"/>
      <w:isLgl w:val="false"/>
      <w:suff w:val="tab"/>
      <w:lvlText w:val="8.%1."/>
      <w:lvlJc w:val="left"/>
      <w:pPr>
        <w:ind w:left="2340" w:hanging="360"/>
        <w:tabs>
          <w:tab w:val="num" w:pos="2700" w:leader="none"/>
        </w:tabs>
      </w:pPr>
      <w:rPr>
        <w:b w:val="0"/>
        <w:i w:val="0"/>
        <w:color w:val="000000"/>
        <w:sz w:val="18"/>
        <w:szCs w:val="24"/>
        <w:u w:val="none"/>
      </w:rPr>
    </w:lvl>
    <w:lvl w:ilvl="1">
      <w:start w:val="1"/>
      <w:numFmt w:val="decimal"/>
      <w:isLgl w:val="false"/>
      <w:suff w:val="tab"/>
      <w:lvlText w:val="8.1.%2."/>
      <w:lvlJc w:val="left"/>
      <w:pPr>
        <w:ind w:left="1080" w:firstLine="0"/>
        <w:tabs>
          <w:tab w:val="num" w:pos="1800" w:leader="none"/>
        </w:tabs>
      </w:pPr>
      <w:rPr>
        <w:rFonts w:ascii="Verdana" w:hAnsi="Verdana"/>
        <w:b w:val="0"/>
        <w:i w:val="0"/>
        <w:color w:val="000000"/>
        <w:sz w:val="18"/>
        <w:szCs w:val="18"/>
        <w:u w:val="none"/>
      </w:rPr>
    </w:lvl>
    <w:lvl w:ilvl="2">
      <w:start w:val="1"/>
      <w:numFmt w:val="decimal"/>
      <w:isLgl w:val="false"/>
      <w:suff w:val="tab"/>
      <w:lvlText w:val="8.2.%3."/>
      <w:lvlJc w:val="left"/>
      <w:pPr>
        <w:ind w:left="2340" w:hanging="360"/>
        <w:tabs>
          <w:tab w:val="num" w:pos="2700" w:leader="none"/>
        </w:tabs>
      </w:pPr>
      <w:rPr>
        <w:b w:val="0"/>
        <w:i w:val="0"/>
        <w:color w:val="000000"/>
        <w:sz w:val="18"/>
        <w:szCs w:val="18"/>
        <w:u w:val="none"/>
      </w:r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0">
    <w:multiLevelType w:val="hybridMultilevel"/>
    <w:lvl w:ilvl="0">
      <w:start w:val="1"/>
      <w:numFmt w:val="decimal"/>
      <w:isLgl w:val="false"/>
      <w:suff w:val="tab"/>
      <w:lvlText w:val="8.3.%1."/>
      <w:lvlJc w:val="left"/>
      <w:pPr>
        <w:ind w:left="2340" w:hanging="360"/>
        <w:tabs>
          <w:tab w:val="num" w:pos="2700" w:leader="none"/>
        </w:tabs>
      </w:pPr>
      <w:rPr>
        <w:b w:val="0"/>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1">
    <w:multiLevelType w:val="hybridMultilevel"/>
    <w:lvl w:ilvl="0">
      <w:start w:val="1"/>
      <w:numFmt w:val="decimal"/>
      <w:isLgl w:val="false"/>
      <w:suff w:val="tab"/>
      <w:lvlText w:val="1.%1."/>
      <w:lvlJc w:val="left"/>
      <w:pPr>
        <w:ind w:left="0" w:firstLine="0"/>
      </w:pPr>
      <w:rPr>
        <w:rFonts w:ascii="Times New Roman" w:hAnsi="Times New Roman" w:eastAsia="Arial" w:cs="Times New Roman"/>
        <w:b w:val="0"/>
        <w:bCs w:val="0"/>
        <w:i w:val="0"/>
        <w:iCs w:val="0"/>
        <w:smallCaps w:val="0"/>
        <w:strike w:val="0"/>
        <w:color w:val="000000"/>
        <w:spacing w:val="0"/>
        <w:position w:val="0"/>
        <w:sz w:val="24"/>
        <w:szCs w:val="24"/>
        <w:u w:val="none"/>
        <w:lang w:val="ru-RU"/>
      </w:rPr>
    </w:lvl>
    <w:lvl w:ilvl="1">
      <w:start w:val="0"/>
      <w:numFmt w:val="decimal"/>
      <w:isLgl w:val="false"/>
      <w:suff w:val="tab"/>
      <w:lvlText w:val=""/>
      <w:lvlJc w:val="left"/>
      <w:pPr>
        <w:ind w:left="0" w:firstLine="0"/>
      </w:pPr>
    </w:lvl>
    <w:lvl w:ilvl="2">
      <w:start w:val="0"/>
      <w:numFmt w:val="decimal"/>
      <w:isLgl w:val="false"/>
      <w:suff w:val="tab"/>
      <w:lvlText w:val=""/>
      <w:lvlJc w:val="left"/>
      <w:pPr>
        <w:ind w:left="0" w:firstLine="0"/>
      </w:pPr>
    </w:lvl>
    <w:lvl w:ilvl="3">
      <w:start w:val="0"/>
      <w:numFmt w:val="decimal"/>
      <w:isLgl w:val="false"/>
      <w:suff w:val="tab"/>
      <w:lvlText w:val=""/>
      <w:lvlJc w:val="left"/>
      <w:pPr>
        <w:ind w:left="0" w:firstLine="0"/>
      </w:pPr>
    </w:lvl>
    <w:lvl w:ilvl="4">
      <w:start w:val="0"/>
      <w:numFmt w:val="decimal"/>
      <w:isLgl w:val="false"/>
      <w:suff w:val="tab"/>
      <w:lvlText w:val=""/>
      <w:lvlJc w:val="left"/>
      <w:pPr>
        <w:ind w:left="0" w:firstLine="0"/>
      </w:pPr>
    </w:lvl>
    <w:lvl w:ilvl="5">
      <w:start w:val="0"/>
      <w:numFmt w:val="decimal"/>
      <w:isLgl w:val="false"/>
      <w:suff w:val="tab"/>
      <w:lvlText w:val=""/>
      <w:lvlJc w:val="left"/>
      <w:pPr>
        <w:ind w:left="0" w:firstLine="0"/>
      </w:pPr>
    </w:lvl>
    <w:lvl w:ilvl="6">
      <w:start w:val="0"/>
      <w:numFmt w:val="decimal"/>
      <w:isLgl w:val="false"/>
      <w:suff w:val="tab"/>
      <w:lvlText w:val=""/>
      <w:lvlJc w:val="left"/>
      <w:pPr>
        <w:ind w:left="0" w:firstLine="0"/>
      </w:pPr>
    </w:lvl>
    <w:lvl w:ilvl="7">
      <w:start w:val="0"/>
      <w:numFmt w:val="decimal"/>
      <w:isLgl w:val="false"/>
      <w:suff w:val="tab"/>
      <w:lvlText w:val=""/>
      <w:lvlJc w:val="left"/>
      <w:pPr>
        <w:ind w:left="0" w:firstLine="0"/>
      </w:pPr>
    </w:lvl>
    <w:lvl w:ilvl="8">
      <w:start w:val="0"/>
      <w:numFmt w:val="decimal"/>
      <w:isLgl w:val="false"/>
      <w:suff w:val="tab"/>
      <w:lvlText w:val=""/>
      <w:lvlJc w:val="left"/>
      <w:pPr>
        <w:ind w:left="0" w:firstLine="0"/>
      </w:pPr>
    </w:lvl>
  </w:abstractNum>
  <w:abstractNum w:abstractNumId="22">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3">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24">
    <w:multiLevelType w:val="hybridMultilevel"/>
    <w:lvl w:ilvl="0">
      <w:start w:val="1"/>
      <w:numFmt w:val="decimal"/>
      <w:isLgl w:val="false"/>
      <w:suff w:val="tab"/>
      <w:lvlText w:val="5.1.%1."/>
      <w:lvlJc w:val="left"/>
      <w:pPr/>
      <w:rPr>
        <w:rFonts w:ascii="Times New Roman" w:hAnsi="Times New Roman" w:eastAsia="Times New Roman" w:cs="Times New Roman"/>
        <w:b w:val="0"/>
        <w:bCs w:val="0"/>
        <w:i w:val="0"/>
        <w:iCs w:val="0"/>
        <w:smallCaps w:val="0"/>
        <w:strike w:val="0"/>
        <w:color w:val="000000"/>
        <w:spacing w:val="0"/>
        <w:position w:val="0"/>
        <w:sz w:val="19"/>
        <w:szCs w:val="19"/>
        <w:u w:val="none"/>
      </w:r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25">
    <w:multiLevelType w:val="hybridMultilevel"/>
    <w:lvl w:ilvl="0">
      <w:start w:val="1"/>
      <w:numFmt w:val="upperRoman"/>
      <w:isLgl w:val="false"/>
      <w:suff w:val="tab"/>
      <w:lvlText w:val="%1."/>
      <w:lvlJc w:val="left"/>
      <w:pPr>
        <w:ind w:left="1080" w:hanging="720"/>
        <w:tabs>
          <w:tab w:val="num" w:pos="108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6">
    <w:multiLevelType w:val="hybridMultilevel"/>
    <w:lvl w:ilvl="0">
      <w:start w:val="1"/>
      <w:numFmt w:val="decimal"/>
      <w:isLgl w:val="false"/>
      <w:suff w:val="tab"/>
      <w:lvlText w:val="2.%1."/>
      <w:lvlJc w:val="left"/>
      <w:pPr>
        <w:ind w:left="1070" w:hanging="360"/>
        <w:tabs>
          <w:tab w:val="num" w:pos="1070" w:leader="none"/>
        </w:tabs>
      </w:pPr>
      <w:rPr>
        <w:b w:val="0"/>
      </w:rPr>
    </w:lvl>
    <w:lvl w:ilvl="1">
      <w:start w:val="1"/>
      <w:numFmt w:val="decimal"/>
      <w:isLgl w:val="false"/>
      <w:suff w:val="tab"/>
      <w:lvlText w:val="3.%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7">
    <w:multiLevelType w:val="hybridMultilevel"/>
    <w:lvl w:ilvl="0">
      <w:start w:val="1"/>
      <w:numFmt w:val="decimal"/>
      <w:isLgl w:val="false"/>
      <w:suff w:val="tab"/>
      <w:lvlText w:val="5.1.%1."/>
      <w:lvlJc w:val="left"/>
      <w:pPr/>
      <w:rPr>
        <w:rFonts w:ascii="Times New Roman" w:hAnsi="Times New Roman" w:eastAsia="Times New Roman" w:cs="Times New Roman"/>
        <w:b w:val="0"/>
        <w:bCs w:val="0"/>
        <w:i w:val="0"/>
        <w:iCs w:val="0"/>
        <w:smallCaps w:val="0"/>
        <w:strike w:val="0"/>
        <w:color w:val="000000"/>
        <w:spacing w:val="0"/>
        <w:position w:val="0"/>
        <w:sz w:val="19"/>
        <w:szCs w:val="19"/>
        <w:u w:val="none"/>
      </w:r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28">
    <w:multiLevelType w:val="hybridMultilevel"/>
    <w:lvl w:ilvl="0">
      <w:start w:val="1"/>
      <w:numFmt w:val="decimal"/>
      <w:isLgl w:val="false"/>
      <w:suff w:val="tab"/>
      <w:lvlText w:val="%1."/>
      <w:lvlJc w:val="left"/>
      <w:pPr>
        <w:ind w:left="360" w:hanging="360"/>
      </w:pPr>
    </w:lvl>
    <w:lvl w:ilvl="1">
      <w:start w:val="2"/>
      <w:numFmt w:val="decimal"/>
      <w:isLgl w:val="false"/>
      <w:suff w:val="tab"/>
      <w:lvlText w:val="%1.%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29">
    <w:multiLevelType w:val="hybridMultilevel"/>
    <w:lvl w:ilvl="0">
      <w:start w:val="1"/>
      <w:numFmt w:val="decimal"/>
      <w:isLgl w:val="false"/>
      <w:suff w:val="tab"/>
      <w:lvlText w:val="7.%1."/>
      <w:lvlJc w:val="left"/>
      <w:pPr>
        <w:ind w:left="0" w:firstLine="0"/>
        <w:tabs>
          <w:tab w:val="num" w:pos="360" w:leader="none"/>
        </w:tabs>
      </w:pPr>
      <w:rPr>
        <w:rFonts w:ascii="Times New Roman" w:hAnsi="Times New Roman"/>
        <w:b w:val="0"/>
        <w:i w:val="0"/>
        <w:color w:val="000000"/>
        <w:sz w:val="24"/>
        <w:szCs w:val="24"/>
        <w:u w:val="none"/>
      </w:rPr>
    </w:lvl>
    <w:lvl w:ilvl="1">
      <w:start w:val="1"/>
      <w:numFmt w:val="decimal"/>
      <w:isLgl w:val="false"/>
      <w:suff w:val="tab"/>
      <w:lvlText w:val="7.4.%2."/>
      <w:lvlJc w:val="left"/>
      <w:pPr>
        <w:ind w:left="1440" w:hanging="360"/>
        <w:tabs>
          <w:tab w:val="num" w:pos="1800" w:leader="none"/>
        </w:tabs>
      </w:pPr>
      <w:rPr>
        <w:b w:val="0"/>
        <w:i w:val="0"/>
        <w:color w:val="000000"/>
        <w:sz w:val="24"/>
        <w:szCs w:val="24"/>
        <w:u w:val="none"/>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0">
    <w:multiLevelType w:val="hybridMultilevel"/>
    <w:lvl w:ilvl="0">
      <w:start w:val="1"/>
      <w:numFmt w:val="decimal"/>
      <w:isLgl w:val="false"/>
      <w:suff w:val="tab"/>
      <w:lvlText w:val="7.%1"/>
      <w:lvlJc w:val="left"/>
      <w:pPr>
        <w:ind w:left="0" w:firstLine="0"/>
        <w:tabs>
          <w:tab w:val="num" w:pos="680" w:leader="none"/>
        </w:tabs>
      </w:pPr>
      <w:rPr>
        <w:rFonts w:ascii="Times New Roman" w:hAnsi="Times New Roman"/>
        <w:b w:val="0"/>
        <w:i w:val="0"/>
        <w:color w:val="000000"/>
        <w:sz w:val="24"/>
        <w:szCs w:val="24"/>
        <w:u w:val="none"/>
      </w:rPr>
    </w:lvl>
    <w:lvl w:ilvl="1">
      <w:start w:val="1"/>
      <w:numFmt w:val="decimal"/>
      <w:isLgl w:val="false"/>
      <w:suff w:val="tab"/>
      <w:lvlText w:val="7.%2"/>
      <w:lvlJc w:val="left"/>
      <w:pPr>
        <w:ind w:left="1080" w:firstLine="0"/>
        <w:tabs>
          <w:tab w:val="num" w:pos="1760" w:leader="none"/>
        </w:tabs>
      </w:pPr>
      <w:rPr>
        <w:rFonts w:ascii="Times New Roman" w:hAnsi="Times New Roman"/>
        <w:b w:val="0"/>
        <w:i w:val="0"/>
        <w:color w:val="000000"/>
        <w:sz w:val="24"/>
        <w:szCs w:val="24"/>
        <w:u w:val="none"/>
      </w:rPr>
    </w:lvl>
    <w:lvl w:ilvl="2">
      <w:start w:val="1"/>
      <w:numFmt w:val="decimal"/>
      <w:isLgl w:val="false"/>
      <w:suff w:val="tab"/>
      <w:lvlText w:val="7.1.%3."/>
      <w:lvlJc w:val="left"/>
      <w:pPr>
        <w:ind w:left="2340" w:hanging="360"/>
        <w:tabs>
          <w:tab w:val="num" w:pos="2700" w:leader="none"/>
        </w:tabs>
      </w:pPr>
      <w:rPr>
        <w:b w:val="0"/>
        <w:i w:val="0"/>
        <w:color w:val="000000"/>
        <w:sz w:val="24"/>
        <w:szCs w:val="24"/>
        <w:u w:val="none"/>
      </w:rPr>
    </w:lvl>
    <w:lvl w:ilvl="3">
      <w:start w:val="1"/>
      <w:numFmt w:val="bullet"/>
      <w:isLgl w:val="false"/>
      <w:suff w:val="tab"/>
      <w:lvlText w:val=""/>
      <w:lvlJc w:val="left"/>
      <w:pPr>
        <w:ind w:left="2880" w:hanging="360"/>
        <w:tabs>
          <w:tab w:val="num" w:pos="2880" w:leader="none"/>
        </w:tabs>
      </w:pPr>
      <w:rPr>
        <w:rFonts w:ascii="Symbol" w:hAnsi="Symbol"/>
        <w:b w:val="0"/>
        <w:i w:val="0"/>
        <w:color w:val="000000"/>
        <w:sz w:val="24"/>
        <w:szCs w:val="24"/>
        <w:u w:val="none"/>
      </w:r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1">
    <w:multiLevelType w:val="hybridMultilevel"/>
    <w:lvl w:ilvl="0">
      <w:start w:val="1"/>
      <w:numFmt w:val="decimal"/>
      <w:isLgl w:val="false"/>
      <w:suff w:val="tab"/>
      <w:lvlText w:val="3.1.%1."/>
      <w:lvlJc w:val="left"/>
      <w:pPr>
        <w:ind w:left="0" w:firstLine="0"/>
      </w:pPr>
      <w:rPr>
        <w:rFonts w:ascii="Times New Roman" w:hAnsi="Times New Roman" w:eastAsia="Arial" w:cs="Times New Roman"/>
        <w:b w:val="0"/>
        <w:bCs w:val="0"/>
        <w:i w:val="0"/>
        <w:iCs w:val="0"/>
        <w:smallCaps w:val="0"/>
        <w:strike w:val="0"/>
        <w:color w:val="000000"/>
        <w:spacing w:val="0"/>
        <w:position w:val="0"/>
        <w:sz w:val="24"/>
        <w:szCs w:val="24"/>
        <w:u w:val="none"/>
        <w:lang w:val="ru-RU"/>
      </w:rPr>
    </w:lvl>
    <w:lvl w:ilvl="1">
      <w:start w:val="0"/>
      <w:numFmt w:val="decimal"/>
      <w:isLgl w:val="false"/>
      <w:suff w:val="tab"/>
      <w:lvlText w:val=""/>
      <w:lvlJc w:val="left"/>
      <w:pPr>
        <w:ind w:left="0" w:firstLine="0"/>
      </w:pPr>
    </w:lvl>
    <w:lvl w:ilvl="2">
      <w:start w:val="0"/>
      <w:numFmt w:val="decimal"/>
      <w:isLgl w:val="false"/>
      <w:suff w:val="tab"/>
      <w:lvlText w:val=""/>
      <w:lvlJc w:val="left"/>
      <w:pPr>
        <w:ind w:left="0" w:firstLine="0"/>
      </w:pPr>
    </w:lvl>
    <w:lvl w:ilvl="3">
      <w:start w:val="0"/>
      <w:numFmt w:val="decimal"/>
      <w:isLgl w:val="false"/>
      <w:suff w:val="tab"/>
      <w:lvlText w:val=""/>
      <w:lvlJc w:val="left"/>
      <w:pPr>
        <w:ind w:left="0" w:firstLine="0"/>
      </w:pPr>
    </w:lvl>
    <w:lvl w:ilvl="4">
      <w:start w:val="0"/>
      <w:numFmt w:val="decimal"/>
      <w:isLgl w:val="false"/>
      <w:suff w:val="tab"/>
      <w:lvlText w:val=""/>
      <w:lvlJc w:val="left"/>
      <w:pPr>
        <w:ind w:left="0" w:firstLine="0"/>
      </w:pPr>
    </w:lvl>
    <w:lvl w:ilvl="5">
      <w:start w:val="0"/>
      <w:numFmt w:val="decimal"/>
      <w:isLgl w:val="false"/>
      <w:suff w:val="tab"/>
      <w:lvlText w:val=""/>
      <w:lvlJc w:val="left"/>
      <w:pPr>
        <w:ind w:left="0" w:firstLine="0"/>
      </w:pPr>
    </w:lvl>
    <w:lvl w:ilvl="6">
      <w:start w:val="0"/>
      <w:numFmt w:val="decimal"/>
      <w:isLgl w:val="false"/>
      <w:suff w:val="tab"/>
      <w:lvlText w:val=""/>
      <w:lvlJc w:val="left"/>
      <w:pPr>
        <w:ind w:left="0" w:firstLine="0"/>
      </w:pPr>
    </w:lvl>
    <w:lvl w:ilvl="7">
      <w:start w:val="0"/>
      <w:numFmt w:val="decimal"/>
      <w:isLgl w:val="false"/>
      <w:suff w:val="tab"/>
      <w:lvlText w:val=""/>
      <w:lvlJc w:val="left"/>
      <w:pPr>
        <w:ind w:left="0" w:firstLine="0"/>
      </w:pPr>
    </w:lvl>
    <w:lvl w:ilvl="8">
      <w:start w:val="0"/>
      <w:numFmt w:val="decimal"/>
      <w:isLgl w:val="false"/>
      <w:suff w:val="tab"/>
      <w:lvlText w:val=""/>
      <w:lvlJc w:val="left"/>
      <w:pPr>
        <w:ind w:left="0" w:firstLine="0"/>
      </w:pPr>
    </w:lvl>
  </w:abstractNum>
  <w:abstractNum w:abstractNumId="32">
    <w:multiLevelType w:val="hybridMultilevel"/>
    <w:lvl w:ilvl="0">
      <w:start w:val="1"/>
      <w:numFmt w:val="decimal"/>
      <w:isLgl w:val="false"/>
      <w:suff w:val="tab"/>
      <w:lvlText w:val="3.1.%1."/>
      <w:lvlJc w:val="left"/>
      <w:pPr>
        <w:ind w:left="1070" w:hanging="360"/>
        <w:tabs>
          <w:tab w:val="num" w:pos="1430" w:leader="none"/>
        </w:tabs>
      </w:pPr>
      <w:rPr>
        <w:b w:val="0"/>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3">
    <w:multiLevelType w:val="hybridMultilevel"/>
    <w:lvl w:ilvl="0">
      <w:start w:val="4"/>
      <w:numFmt w:val="decimal"/>
      <w:isLgl w:val="false"/>
      <w:suff w:val="tab"/>
      <w:lvlText w:val="%1."/>
      <w:lvlJc w:val="left"/>
      <w:pPr>
        <w:ind w:left="360" w:hanging="360"/>
      </w:pPr>
    </w:lvl>
    <w:lvl w:ilvl="1">
      <w:start w:val="1"/>
      <w:numFmt w:val="decimal"/>
      <w:isLgl w:val="false"/>
      <w:suff w:val="tab"/>
      <w:lvlText w:val="%1.%2."/>
      <w:lvlJc w:val="left"/>
      <w:pPr>
        <w:ind w:left="760" w:hanging="720"/>
      </w:pPr>
    </w:lvl>
    <w:lvl w:ilvl="2">
      <w:start w:val="1"/>
      <w:numFmt w:val="decimal"/>
      <w:isLgl w:val="false"/>
      <w:suff w:val="tab"/>
      <w:lvlText w:val="%1.%2.%3."/>
      <w:lvlJc w:val="left"/>
      <w:pPr>
        <w:ind w:left="800" w:hanging="720"/>
      </w:pPr>
    </w:lvl>
    <w:lvl w:ilvl="3">
      <w:start w:val="1"/>
      <w:numFmt w:val="decimal"/>
      <w:isLgl w:val="false"/>
      <w:suff w:val="tab"/>
      <w:lvlText w:val="%1.%2.%3.%4."/>
      <w:lvlJc w:val="left"/>
      <w:pPr>
        <w:ind w:left="1200" w:hanging="1080"/>
      </w:pPr>
    </w:lvl>
    <w:lvl w:ilvl="4">
      <w:start w:val="1"/>
      <w:numFmt w:val="decimal"/>
      <w:isLgl w:val="false"/>
      <w:suff w:val="tab"/>
      <w:lvlText w:val="%1.%2.%3.%4.%5."/>
      <w:lvlJc w:val="left"/>
      <w:pPr>
        <w:ind w:left="1240" w:hanging="1080"/>
      </w:pPr>
    </w:lvl>
    <w:lvl w:ilvl="5">
      <w:start w:val="1"/>
      <w:numFmt w:val="decimal"/>
      <w:isLgl w:val="false"/>
      <w:suff w:val="tab"/>
      <w:lvlText w:val="%1.%2.%3.%4.%5.%6."/>
      <w:lvlJc w:val="left"/>
      <w:pPr>
        <w:ind w:left="1640" w:hanging="1440"/>
      </w:pPr>
    </w:lvl>
    <w:lvl w:ilvl="6">
      <w:start w:val="1"/>
      <w:numFmt w:val="decimal"/>
      <w:isLgl w:val="false"/>
      <w:suff w:val="tab"/>
      <w:lvlText w:val="%1.%2.%3.%4.%5.%6.%7."/>
      <w:lvlJc w:val="left"/>
      <w:pPr>
        <w:ind w:left="1680" w:hanging="1440"/>
      </w:pPr>
    </w:lvl>
    <w:lvl w:ilvl="7">
      <w:start w:val="1"/>
      <w:numFmt w:val="decimal"/>
      <w:isLgl w:val="false"/>
      <w:suff w:val="tab"/>
      <w:lvlText w:val="%1.%2.%3.%4.%5.%6.%7.%8."/>
      <w:lvlJc w:val="left"/>
      <w:pPr>
        <w:ind w:left="2080" w:hanging="1800"/>
      </w:pPr>
    </w:lvl>
    <w:lvl w:ilvl="8">
      <w:start w:val="1"/>
      <w:numFmt w:val="decimal"/>
      <w:isLgl w:val="false"/>
      <w:suff w:val="tab"/>
      <w:lvlText w:val="%1.%2.%3.%4.%5.%6.%7.%8.%9."/>
      <w:lvlJc w:val="left"/>
      <w:pPr>
        <w:ind w:left="2120" w:hanging="1800"/>
      </w:pPr>
    </w:lvl>
  </w:abstractNum>
  <w:abstractNum w:abstractNumId="34">
    <w:multiLevelType w:val="hybridMultilevel"/>
    <w:lvl w:ilvl="0">
      <w:start w:val="1"/>
      <w:numFmt w:val="bullet"/>
      <w:isLgl w:val="false"/>
      <w:suff w:val="tab"/>
      <w:lvlText w:val="-"/>
      <w:lvlJc w:val="left"/>
      <w:pPr>
        <w:ind w:left="1440" w:hanging="360"/>
        <w:tabs>
          <w:tab w:val="num" w:pos="1440" w:leader="none"/>
        </w:tabs>
      </w:pPr>
      <w:rPr>
        <w:rFonts w:ascii="Times New Roman" w:hAnsi="Times New Roman" w:cs="Times New Roman"/>
      </w:rPr>
    </w:lvl>
    <w:lvl w:ilvl="1">
      <w:start w:val="1"/>
      <w:numFmt w:val="bullet"/>
      <w:isLgl w:val="false"/>
      <w:suff w:val="tab"/>
      <w:lvlText w:val="o"/>
      <w:lvlJc w:val="left"/>
      <w:pPr>
        <w:ind w:left="2160" w:hanging="360"/>
        <w:tabs>
          <w:tab w:val="num" w:pos="2160" w:leader="none"/>
        </w:tabs>
      </w:pPr>
      <w:rPr>
        <w:rFonts w:ascii="Courier New" w:hAnsi="Courier New" w:cs="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cs="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cs="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35">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6">
    <w:multiLevelType w:val="hybridMultilevel"/>
    <w:lvl w:ilvl="0">
      <w:start w:val="7"/>
      <w:numFmt w:val="decimal"/>
      <w:isLgl w:val="false"/>
      <w:suff w:val="tab"/>
      <w:lvlText w:val="%1."/>
      <w:lvlJc w:val="left"/>
      <w:pPr>
        <w:ind w:left="390" w:hanging="390"/>
        <w:tabs>
          <w:tab w:val="num" w:pos="390" w:leader="none"/>
        </w:tabs>
      </w:pPr>
    </w:lvl>
    <w:lvl w:ilvl="1">
      <w:start w:val="2"/>
      <w:numFmt w:val="decimal"/>
      <w:isLgl w:val="false"/>
      <w:suff w:val="tab"/>
      <w:lvlText w:val="%1.%2."/>
      <w:lvlJc w:val="left"/>
      <w:pPr>
        <w:ind w:left="720" w:hanging="720"/>
        <w:tabs>
          <w:tab w:val="num" w:pos="720"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1080" w:hanging="1080"/>
        <w:tabs>
          <w:tab w:val="num" w:pos="1080" w:leader="none"/>
        </w:tabs>
      </w:pPr>
    </w:lvl>
    <w:lvl w:ilvl="4">
      <w:start w:val="1"/>
      <w:numFmt w:val="decimal"/>
      <w:isLgl w:val="false"/>
      <w:suff w:val="tab"/>
      <w:lvlText w:val="%1.%2.%3.%4.%5."/>
      <w:lvlJc w:val="left"/>
      <w:pPr>
        <w:ind w:left="1440" w:hanging="1440"/>
        <w:tabs>
          <w:tab w:val="num" w:pos="1440" w:leader="none"/>
        </w:tabs>
      </w:pPr>
    </w:lvl>
    <w:lvl w:ilvl="5">
      <w:start w:val="1"/>
      <w:numFmt w:val="decimal"/>
      <w:isLgl w:val="false"/>
      <w:suff w:val="tab"/>
      <w:lvlText w:val="%1.%2.%3.%4.%5.%6."/>
      <w:lvlJc w:val="left"/>
      <w:pPr>
        <w:ind w:left="1440" w:hanging="1440"/>
        <w:tabs>
          <w:tab w:val="num" w:pos="1440" w:leader="none"/>
        </w:tabs>
      </w:pPr>
    </w:lvl>
    <w:lvl w:ilvl="6">
      <w:start w:val="1"/>
      <w:numFmt w:val="decimal"/>
      <w:isLgl w:val="false"/>
      <w:suff w:val="tab"/>
      <w:lvlText w:val="%1.%2.%3.%4.%5.%6.%7."/>
      <w:lvlJc w:val="left"/>
      <w:pPr>
        <w:ind w:left="1800" w:hanging="1800"/>
        <w:tabs>
          <w:tab w:val="num" w:pos="1800" w:leader="none"/>
        </w:tabs>
      </w:pPr>
    </w:lvl>
    <w:lvl w:ilvl="7">
      <w:start w:val="1"/>
      <w:numFmt w:val="decimal"/>
      <w:isLgl w:val="false"/>
      <w:suff w:val="tab"/>
      <w:lvlText w:val="%1.%2.%3.%4.%5.%6.%7.%8."/>
      <w:lvlJc w:val="left"/>
      <w:pPr>
        <w:ind w:left="2160" w:hanging="2160"/>
        <w:tabs>
          <w:tab w:val="num" w:pos="2160" w:leader="none"/>
        </w:tabs>
      </w:pPr>
    </w:lvl>
    <w:lvl w:ilvl="8">
      <w:start w:val="1"/>
      <w:numFmt w:val="decimal"/>
      <w:isLgl w:val="false"/>
      <w:suff w:val="tab"/>
      <w:lvlText w:val="%1.%2.%3.%4.%5.%6.%7.%8.%9."/>
      <w:lvlJc w:val="left"/>
      <w:pPr>
        <w:ind w:left="2160" w:hanging="2160"/>
        <w:tabs>
          <w:tab w:val="num" w:pos="2160" w:leader="none"/>
        </w:tabs>
      </w:pPr>
    </w:lvl>
  </w:abstractNum>
  <w:abstractNum w:abstractNumId="37">
    <w:multiLevelType w:val="hybridMultilevel"/>
    <w:lvl w:ilvl="0">
      <w:start w:val="1"/>
      <w:numFmt w:val="bullet"/>
      <w:isLgl w:val="false"/>
      <w:suff w:val="tab"/>
      <w:lvlText w:val=""/>
      <w:lvlJc w:val="left"/>
      <w:pPr>
        <w:ind w:left="1146" w:hanging="360"/>
      </w:pPr>
      <w:rPr>
        <w:rFonts w:ascii="Symbol" w:hAnsi="Symbol"/>
      </w:rPr>
    </w:lvl>
    <w:lvl w:ilvl="1">
      <w:start w:val="1"/>
      <w:numFmt w:val="bullet"/>
      <w:isLgl w:val="false"/>
      <w:suff w:val="tab"/>
      <w:lvlText w:val="o"/>
      <w:lvlJc w:val="left"/>
      <w:pPr>
        <w:ind w:left="1866" w:hanging="360"/>
      </w:pPr>
      <w:rPr>
        <w:rFonts w:ascii="Courier New" w:hAnsi="Courier New" w:cs="Courier New"/>
      </w:rPr>
    </w:lvl>
    <w:lvl w:ilvl="2">
      <w:start w:val="1"/>
      <w:numFmt w:val="bullet"/>
      <w:isLgl w:val="false"/>
      <w:suff w:val="tab"/>
      <w:lvlText w:val=""/>
      <w:lvlJc w:val="left"/>
      <w:pPr>
        <w:ind w:left="2586" w:hanging="360"/>
      </w:pPr>
      <w:rPr>
        <w:rFonts w:ascii="Wingdings" w:hAnsi="Wingdings"/>
      </w:rPr>
    </w:lvl>
    <w:lvl w:ilvl="3">
      <w:start w:val="1"/>
      <w:numFmt w:val="bullet"/>
      <w:isLgl w:val="false"/>
      <w:suff w:val="tab"/>
      <w:lvlText w:val=""/>
      <w:lvlJc w:val="left"/>
      <w:pPr>
        <w:ind w:left="3306" w:hanging="360"/>
      </w:pPr>
      <w:rPr>
        <w:rFonts w:ascii="Symbol" w:hAnsi="Symbol"/>
      </w:rPr>
    </w:lvl>
    <w:lvl w:ilvl="4">
      <w:start w:val="1"/>
      <w:numFmt w:val="bullet"/>
      <w:isLgl w:val="false"/>
      <w:suff w:val="tab"/>
      <w:lvlText w:val="o"/>
      <w:lvlJc w:val="left"/>
      <w:pPr>
        <w:ind w:left="4026" w:hanging="360"/>
      </w:pPr>
      <w:rPr>
        <w:rFonts w:ascii="Courier New" w:hAnsi="Courier New" w:cs="Courier New"/>
      </w:rPr>
    </w:lvl>
    <w:lvl w:ilvl="5">
      <w:start w:val="1"/>
      <w:numFmt w:val="bullet"/>
      <w:isLgl w:val="false"/>
      <w:suff w:val="tab"/>
      <w:lvlText w:val=""/>
      <w:lvlJc w:val="left"/>
      <w:pPr>
        <w:ind w:left="4746" w:hanging="360"/>
      </w:pPr>
      <w:rPr>
        <w:rFonts w:ascii="Wingdings" w:hAnsi="Wingdings"/>
      </w:rPr>
    </w:lvl>
    <w:lvl w:ilvl="6">
      <w:start w:val="1"/>
      <w:numFmt w:val="bullet"/>
      <w:isLgl w:val="false"/>
      <w:suff w:val="tab"/>
      <w:lvlText w:val=""/>
      <w:lvlJc w:val="left"/>
      <w:pPr>
        <w:ind w:left="5466" w:hanging="360"/>
      </w:pPr>
      <w:rPr>
        <w:rFonts w:ascii="Symbol" w:hAnsi="Symbol"/>
      </w:rPr>
    </w:lvl>
    <w:lvl w:ilvl="7">
      <w:start w:val="1"/>
      <w:numFmt w:val="bullet"/>
      <w:isLgl w:val="false"/>
      <w:suff w:val="tab"/>
      <w:lvlText w:val="o"/>
      <w:lvlJc w:val="left"/>
      <w:pPr>
        <w:ind w:left="6186" w:hanging="360"/>
      </w:pPr>
      <w:rPr>
        <w:rFonts w:ascii="Courier New" w:hAnsi="Courier New" w:cs="Courier New"/>
      </w:rPr>
    </w:lvl>
    <w:lvl w:ilvl="8">
      <w:start w:val="1"/>
      <w:numFmt w:val="bullet"/>
      <w:isLgl w:val="false"/>
      <w:suff w:val="tab"/>
      <w:lvlText w:val=""/>
      <w:lvlJc w:val="left"/>
      <w:pPr>
        <w:ind w:left="6906" w:hanging="360"/>
      </w:pPr>
      <w:rPr>
        <w:rFonts w:ascii="Wingdings" w:hAnsi="Wingdings"/>
      </w:rPr>
    </w:lvl>
  </w:abstractNum>
  <w:abstractNum w:abstractNumId="38">
    <w:multiLevelType w:val="hybridMultilevel"/>
    <w:lvl w:ilvl="0">
      <w:start w:val="1"/>
      <w:numFmt w:val="decimal"/>
      <w:isLgl w:val="false"/>
      <w:suff w:val="tab"/>
      <w:lvlText w:val="5.1.%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9">
    <w:multiLevelType w:val="hybridMultilevel"/>
    <w:lvl w:ilvl="0">
      <w:start w:val="5"/>
      <w:numFmt w:val="decimal"/>
      <w:isLgl w:val="false"/>
      <w:suff w:val="tab"/>
      <w:lvlText w:val="%1."/>
      <w:lvlJc w:val="left"/>
      <w:pPr>
        <w:ind w:left="360" w:hanging="360"/>
        <w:tabs>
          <w:tab w:val="num" w:pos="360" w:leader="none"/>
        </w:tabs>
      </w:pPr>
      <w:rPr>
        <w:b/>
      </w:rPr>
    </w:lvl>
    <w:lvl w:ilvl="1">
      <w:start w:val="0"/>
      <w:numFmt w:val="decimal"/>
      <w:isLgl w:val="false"/>
      <w:suff w:val="tab"/>
      <w:lvlText w:val=""/>
      <w:lvlJc w:val="left"/>
      <w:pPr>
        <w:tabs>
          <w:tab w:val="num" w:pos="360" w:leader="none"/>
        </w:tabs>
      </w:pPr>
    </w:lvl>
    <w:lvl w:ilvl="2">
      <w:start w:val="0"/>
      <w:numFmt w:val="decimal"/>
      <w:isLgl w:val="false"/>
      <w:suff w:val="tab"/>
      <w:lvlText w:val=""/>
      <w:lvlJc w:val="left"/>
      <w:pPr>
        <w:tabs>
          <w:tab w:val="num" w:pos="360" w:leader="none"/>
        </w:tabs>
      </w:pPr>
    </w:lvl>
    <w:lvl w:ilvl="3">
      <w:start w:val="0"/>
      <w:numFmt w:val="decimal"/>
      <w:isLgl w:val="false"/>
      <w:suff w:val="tab"/>
      <w:lvlText w:val=""/>
      <w:lvlJc w:val="left"/>
      <w:pPr>
        <w:tabs>
          <w:tab w:val="num" w:pos="360" w:leader="none"/>
        </w:tabs>
      </w:pPr>
    </w:lvl>
    <w:lvl w:ilvl="4">
      <w:start w:val="0"/>
      <w:numFmt w:val="decimal"/>
      <w:isLgl w:val="false"/>
      <w:suff w:val="tab"/>
      <w:lvlText w:val=""/>
      <w:lvlJc w:val="left"/>
      <w:pPr>
        <w:tabs>
          <w:tab w:val="num" w:pos="360" w:leader="none"/>
        </w:tabs>
      </w:pPr>
    </w:lvl>
    <w:lvl w:ilvl="5">
      <w:start w:val="0"/>
      <w:numFmt w:val="decimal"/>
      <w:isLgl w:val="false"/>
      <w:suff w:val="tab"/>
      <w:lvlText w:val=""/>
      <w:lvlJc w:val="left"/>
      <w:pPr>
        <w:tabs>
          <w:tab w:val="num" w:pos="360" w:leader="none"/>
        </w:tabs>
      </w:pPr>
    </w:lvl>
    <w:lvl w:ilvl="6">
      <w:start w:val="0"/>
      <w:numFmt w:val="decimal"/>
      <w:isLgl w:val="false"/>
      <w:suff w:val="tab"/>
      <w:lvlText w:val=""/>
      <w:lvlJc w:val="left"/>
      <w:pPr>
        <w:tabs>
          <w:tab w:val="num" w:pos="360" w:leader="none"/>
        </w:tabs>
      </w:pPr>
    </w:lvl>
    <w:lvl w:ilvl="7">
      <w:start w:val="0"/>
      <w:numFmt w:val="decimal"/>
      <w:isLgl w:val="false"/>
      <w:suff w:val="tab"/>
      <w:lvlText w:val=""/>
      <w:lvlJc w:val="left"/>
      <w:pPr>
        <w:tabs>
          <w:tab w:val="num" w:pos="360" w:leader="none"/>
        </w:tabs>
      </w:pPr>
    </w:lvl>
    <w:lvl w:ilvl="8">
      <w:start w:val="0"/>
      <w:numFmt w:val="decimal"/>
      <w:isLgl w:val="false"/>
      <w:suff w:val="tab"/>
      <w:lvlText w:val=""/>
      <w:lvlJc w:val="left"/>
      <w:pPr>
        <w:tabs>
          <w:tab w:val="num" w:pos="360" w:leader="none"/>
        </w:tabs>
      </w:pPr>
    </w:lvl>
  </w:abstractNum>
  <w:abstractNum w:abstractNumId="40">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41">
    <w:multiLevelType w:val="hybridMultilevel"/>
    <w:lvl w:ilvl="0">
      <w:start w:val="3"/>
      <w:numFmt w:val="decimal"/>
      <w:isLgl w:val="false"/>
      <w:suff w:val="tab"/>
      <w:lvlText w:val="%1."/>
      <w:lvlJc w:val="left"/>
      <w:pPr>
        <w:ind w:left="360" w:hanging="360"/>
      </w:pPr>
      <w:rPr>
        <w:color w:val="000000"/>
      </w:rPr>
    </w:lvl>
    <w:lvl w:ilvl="1">
      <w:start w:val="2"/>
      <w:numFmt w:val="decimal"/>
      <w:isLgl w:val="false"/>
      <w:suff w:val="tab"/>
      <w:lvlText w:val="%1.%2."/>
      <w:lvlJc w:val="left"/>
      <w:pPr>
        <w:ind w:left="1000" w:hanging="720"/>
      </w:pPr>
      <w:rPr>
        <w:color w:val="000000"/>
      </w:rPr>
    </w:lvl>
    <w:lvl w:ilvl="2">
      <w:start w:val="1"/>
      <w:numFmt w:val="decimal"/>
      <w:isLgl w:val="false"/>
      <w:suff w:val="tab"/>
      <w:lvlText w:val="%1.%2.%3."/>
      <w:lvlJc w:val="left"/>
      <w:pPr>
        <w:ind w:left="1280" w:hanging="720"/>
      </w:pPr>
      <w:rPr>
        <w:b w:val="0"/>
        <w:color w:val="000000"/>
      </w:rPr>
    </w:lvl>
    <w:lvl w:ilvl="3">
      <w:start w:val="1"/>
      <w:numFmt w:val="decimal"/>
      <w:isLgl w:val="false"/>
      <w:suff w:val="tab"/>
      <w:lvlText w:val="%1.%2.%3.%4."/>
      <w:lvlJc w:val="left"/>
      <w:pPr>
        <w:ind w:left="1920" w:hanging="1080"/>
      </w:pPr>
      <w:rPr>
        <w:color w:val="000000"/>
      </w:rPr>
    </w:lvl>
    <w:lvl w:ilvl="4">
      <w:start w:val="1"/>
      <w:numFmt w:val="decimal"/>
      <w:isLgl w:val="false"/>
      <w:suff w:val="tab"/>
      <w:lvlText w:val="%1.%2.%3.%4.%5."/>
      <w:lvlJc w:val="left"/>
      <w:pPr>
        <w:ind w:left="2200" w:hanging="1080"/>
      </w:pPr>
      <w:rPr>
        <w:color w:val="000000"/>
      </w:rPr>
    </w:lvl>
    <w:lvl w:ilvl="5">
      <w:start w:val="1"/>
      <w:numFmt w:val="decimal"/>
      <w:isLgl w:val="false"/>
      <w:suff w:val="tab"/>
      <w:lvlText w:val="%1.%2.%3.%4.%5.%6."/>
      <w:lvlJc w:val="left"/>
      <w:pPr>
        <w:ind w:left="2840" w:hanging="1440"/>
      </w:pPr>
      <w:rPr>
        <w:color w:val="000000"/>
      </w:rPr>
    </w:lvl>
    <w:lvl w:ilvl="6">
      <w:start w:val="1"/>
      <w:numFmt w:val="decimal"/>
      <w:isLgl w:val="false"/>
      <w:suff w:val="tab"/>
      <w:lvlText w:val="%1.%2.%3.%4.%5.%6.%7."/>
      <w:lvlJc w:val="left"/>
      <w:pPr>
        <w:ind w:left="3120" w:hanging="1440"/>
      </w:pPr>
      <w:rPr>
        <w:color w:val="000000"/>
      </w:rPr>
    </w:lvl>
    <w:lvl w:ilvl="7">
      <w:start w:val="1"/>
      <w:numFmt w:val="decimal"/>
      <w:isLgl w:val="false"/>
      <w:suff w:val="tab"/>
      <w:lvlText w:val="%1.%2.%3.%4.%5.%6.%7.%8."/>
      <w:lvlJc w:val="left"/>
      <w:pPr>
        <w:ind w:left="3760" w:hanging="1800"/>
      </w:pPr>
      <w:rPr>
        <w:color w:val="000000"/>
      </w:rPr>
    </w:lvl>
    <w:lvl w:ilvl="8">
      <w:start w:val="1"/>
      <w:numFmt w:val="decimal"/>
      <w:isLgl w:val="false"/>
      <w:suff w:val="tab"/>
      <w:lvlText w:val="%1.%2.%3.%4.%5.%6.%7.%8.%9."/>
      <w:lvlJc w:val="left"/>
      <w:pPr>
        <w:ind w:left="4040" w:hanging="1800"/>
      </w:pPr>
      <w:rPr>
        <w:color w:val="000000"/>
      </w:rPr>
    </w:lvl>
  </w:abstractNum>
  <w:abstractNum w:abstractNumId="42">
    <w:multiLevelType w:val="hybridMultilevel"/>
    <w:lvl w:ilvl="0">
      <w:start w:val="1"/>
      <w:numFmt w:val="decimal"/>
      <w:isLgl w:val="false"/>
      <w:suff w:val="tab"/>
      <w:lvlText w:val="3.%1."/>
      <w:lvlJc w:val="left"/>
      <w:pPr>
        <w:ind w:left="1070" w:hanging="360"/>
        <w:tabs>
          <w:tab w:val="num" w:pos="1070" w:leader="none"/>
        </w:tabs>
      </w:pPr>
      <w:rPr>
        <w:b w:val="0"/>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3">
    <w:multiLevelType w:val="hybridMultilevel"/>
    <w:lvl w:ilvl="0">
      <w:start w:val="2"/>
      <w:numFmt w:val="decimal"/>
      <w:isLgl w:val="false"/>
      <w:suff w:val="tab"/>
      <w:lvlText w:val="%1."/>
      <w:lvlJc w:val="left"/>
      <w:pPr>
        <w:ind w:left="0" w:firstLine="0"/>
      </w:pPr>
      <w:rPr>
        <w:rFonts w:ascii="Times New Roman" w:hAnsi="Times New Roman" w:eastAsia="Arial" w:cs="Times New Roman"/>
        <w:b/>
        <w:bCs/>
        <w:i w:val="0"/>
        <w:iCs w:val="0"/>
        <w:smallCaps w:val="0"/>
        <w:strike w:val="0"/>
        <w:color w:val="000000"/>
        <w:spacing w:val="0"/>
        <w:position w:val="0"/>
        <w:sz w:val="24"/>
        <w:szCs w:val="24"/>
        <w:u w:val="none"/>
        <w:lang w:val="ru-RU"/>
      </w:rPr>
    </w:lvl>
    <w:lvl w:ilvl="1">
      <w:start w:val="1"/>
      <w:numFmt w:val="decimal"/>
      <w:isLgl w:val="false"/>
      <w:suff w:val="tab"/>
      <w:lvlText w:val="%1.%2."/>
      <w:lvlJc w:val="left"/>
      <w:pPr>
        <w:ind w:left="0" w:firstLine="0"/>
      </w:pPr>
      <w:rPr>
        <w:rFonts w:ascii="Times New Roman" w:hAnsi="Times New Roman" w:eastAsia="Arial" w:cs="Times New Roman"/>
        <w:b w:val="0"/>
        <w:bCs w:val="0"/>
        <w:i w:val="0"/>
        <w:iCs w:val="0"/>
        <w:smallCaps w:val="0"/>
        <w:strike w:val="0"/>
        <w:color w:val="000000"/>
        <w:spacing w:val="0"/>
        <w:position w:val="0"/>
        <w:sz w:val="24"/>
        <w:szCs w:val="24"/>
        <w:u w:val="none"/>
        <w:lang w:val="ru-RU"/>
      </w:rPr>
    </w:lvl>
    <w:lvl w:ilvl="2">
      <w:start w:val="0"/>
      <w:numFmt w:val="decimal"/>
      <w:isLgl w:val="false"/>
      <w:suff w:val="tab"/>
      <w:lvlText w:val=""/>
      <w:lvlJc w:val="left"/>
      <w:pPr>
        <w:ind w:left="0" w:firstLine="0"/>
      </w:pPr>
    </w:lvl>
    <w:lvl w:ilvl="3">
      <w:start w:val="0"/>
      <w:numFmt w:val="decimal"/>
      <w:isLgl w:val="false"/>
      <w:suff w:val="tab"/>
      <w:lvlText w:val=""/>
      <w:lvlJc w:val="left"/>
      <w:pPr>
        <w:ind w:left="0" w:firstLine="0"/>
      </w:pPr>
    </w:lvl>
    <w:lvl w:ilvl="4">
      <w:start w:val="0"/>
      <w:numFmt w:val="decimal"/>
      <w:isLgl w:val="false"/>
      <w:suff w:val="tab"/>
      <w:lvlText w:val=""/>
      <w:lvlJc w:val="left"/>
      <w:pPr>
        <w:ind w:left="0" w:firstLine="0"/>
      </w:pPr>
    </w:lvl>
    <w:lvl w:ilvl="5">
      <w:start w:val="0"/>
      <w:numFmt w:val="decimal"/>
      <w:isLgl w:val="false"/>
      <w:suff w:val="tab"/>
      <w:lvlText w:val=""/>
      <w:lvlJc w:val="left"/>
      <w:pPr>
        <w:ind w:left="0" w:firstLine="0"/>
      </w:pPr>
    </w:lvl>
    <w:lvl w:ilvl="6">
      <w:start w:val="0"/>
      <w:numFmt w:val="decimal"/>
      <w:isLgl w:val="false"/>
      <w:suff w:val="tab"/>
      <w:lvlText w:val=""/>
      <w:lvlJc w:val="left"/>
      <w:pPr>
        <w:ind w:left="0" w:firstLine="0"/>
      </w:pPr>
    </w:lvl>
    <w:lvl w:ilvl="7">
      <w:start w:val="0"/>
      <w:numFmt w:val="decimal"/>
      <w:isLgl w:val="false"/>
      <w:suff w:val="tab"/>
      <w:lvlText w:val=""/>
      <w:lvlJc w:val="left"/>
      <w:pPr>
        <w:ind w:left="0" w:firstLine="0"/>
      </w:pPr>
    </w:lvl>
    <w:lvl w:ilvl="8">
      <w:start w:val="0"/>
      <w:numFmt w:val="decimal"/>
      <w:isLgl w:val="false"/>
      <w:suff w:val="tab"/>
      <w:lvlText w:val=""/>
      <w:lvlJc w:val="left"/>
      <w:pPr>
        <w:ind w:left="0" w:firstLine="0"/>
      </w:pPr>
    </w:lvl>
  </w:abstractNum>
  <w:abstractNum w:abstractNumId="4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1.%2."/>
      <w:lvlJc w:val="left"/>
      <w:pPr>
        <w:ind w:left="720" w:hanging="360"/>
        <w:tabs>
          <w:tab w:val="num" w:pos="720" w:leader="none"/>
        </w:tabs>
      </w:pPr>
    </w:lvl>
    <w:lvl w:ilvl="2">
      <w:start w:val="1"/>
      <w:numFmt w:val="lowerRoman"/>
      <w:isLgl w:val="false"/>
      <w:suff w:val="tab"/>
      <w:lvlText w:val="%3."/>
      <w:lvlJc w:val="right"/>
      <w:pPr>
        <w:ind w:left="720" w:hanging="360"/>
        <w:tabs>
          <w:tab w:val="num" w:pos="720" w:leader="none"/>
        </w:tabs>
      </w:pPr>
    </w:lvl>
    <w:lvl w:ilvl="3">
      <w:start w:val="0"/>
      <w:numFmt w:val="decimal"/>
      <w:isLgl w:val="false"/>
      <w:suff w:val="tab"/>
      <w:lvlText w:val=""/>
      <w:lvlJc w:val="left"/>
      <w:pPr>
        <w:tabs>
          <w:tab w:val="num" w:pos="360" w:leader="none"/>
        </w:tabs>
      </w:pPr>
    </w:lvl>
    <w:lvl w:ilvl="4">
      <w:start w:val="0"/>
      <w:numFmt w:val="decimal"/>
      <w:isLgl w:val="false"/>
      <w:suff w:val="tab"/>
      <w:lvlText w:val=""/>
      <w:lvlJc w:val="left"/>
      <w:pPr>
        <w:tabs>
          <w:tab w:val="num" w:pos="360" w:leader="none"/>
        </w:tabs>
      </w:pPr>
    </w:lvl>
    <w:lvl w:ilvl="5">
      <w:start w:val="0"/>
      <w:numFmt w:val="decimal"/>
      <w:isLgl w:val="false"/>
      <w:suff w:val="tab"/>
      <w:lvlText w:val=""/>
      <w:lvlJc w:val="left"/>
      <w:pPr>
        <w:tabs>
          <w:tab w:val="num" w:pos="360" w:leader="none"/>
        </w:tabs>
      </w:pPr>
    </w:lvl>
    <w:lvl w:ilvl="6">
      <w:start w:val="0"/>
      <w:numFmt w:val="decimal"/>
      <w:isLgl w:val="false"/>
      <w:suff w:val="tab"/>
      <w:lvlText w:val=""/>
      <w:lvlJc w:val="left"/>
      <w:pPr>
        <w:tabs>
          <w:tab w:val="num" w:pos="360" w:leader="none"/>
        </w:tabs>
      </w:pPr>
    </w:lvl>
    <w:lvl w:ilvl="7">
      <w:start w:val="0"/>
      <w:numFmt w:val="decimal"/>
      <w:isLgl w:val="false"/>
      <w:suff w:val="tab"/>
      <w:lvlText w:val=""/>
      <w:lvlJc w:val="left"/>
      <w:pPr>
        <w:tabs>
          <w:tab w:val="num" w:pos="360" w:leader="none"/>
        </w:tabs>
      </w:pPr>
    </w:lvl>
    <w:lvl w:ilvl="8">
      <w:start w:val="0"/>
      <w:numFmt w:val="decimal"/>
      <w:isLgl w:val="false"/>
      <w:suff w:val="tab"/>
      <w:lvlText w:val=""/>
      <w:lvlJc w:val="left"/>
      <w:pPr>
        <w:tabs>
          <w:tab w:val="num" w:pos="360" w:leader="none"/>
        </w:tabs>
      </w:pPr>
    </w:lvl>
  </w:abstractNum>
  <w:abstractNum w:abstractNumId="45">
    <w:multiLevelType w:val="hybridMultilevel"/>
    <w:lvl w:ilvl="0">
      <w:start w:val="5"/>
      <w:numFmt w:val="decimal"/>
      <w:isLgl w:val="false"/>
      <w:suff w:val="tab"/>
      <w:lvlText w:val="4.%1."/>
      <w:lvlJc w:val="left"/>
      <w:pPr>
        <w:ind w:left="720" w:hanging="360"/>
        <w:tabs>
          <w:tab w:val="num" w:pos="720" w:leader="none"/>
        </w:tabs>
      </w:pPr>
    </w:lvl>
    <w:lvl w:ilvl="1">
      <w:start w:val="1"/>
      <w:numFmt w:val="decimal"/>
      <w:isLgl w:val="false"/>
      <w:suff w:val="tab"/>
      <w:lvlText w:val="5.%2."/>
      <w:lvlJc w:val="left"/>
      <w:pPr>
        <w:ind w:left="0" w:firstLine="284"/>
        <w:tabs>
          <w:tab w:val="num" w:pos="644" w:leader="none"/>
        </w:tabs>
      </w:pPr>
    </w:lvl>
    <w:lvl w:ilvl="2">
      <w:start w:val="1"/>
      <w:numFmt w:val="decimal"/>
      <w:isLgl w:val="false"/>
      <w:suff w:val="tab"/>
      <w:lvlText w:val="5.1.%3."/>
      <w:lvlJc w:val="left"/>
      <w:pPr>
        <w:ind w:left="2340" w:hanging="360"/>
        <w:tabs>
          <w:tab w:val="num" w:pos="2700" w:leader="none"/>
        </w:tabs>
      </w:pPr>
    </w:lvl>
    <w:lvl w:ilvl="3">
      <w:start w:val="2"/>
      <w:numFmt w:val="decimal"/>
      <w:isLgl w:val="false"/>
      <w:suff w:val="tab"/>
      <w:lvlText w:val="5.%4"/>
      <w:lvlJc w:val="left"/>
      <w:pPr>
        <w:ind w:left="2803" w:hanging="283"/>
        <w:tabs>
          <w:tab w:val="num" w:pos="3240" w:leader="none"/>
        </w:tabs>
      </w:pPr>
      <w:rPr>
        <w:rFonts w:ascii="Times New Roman" w:hAnsi="Times New Roman"/>
        <w:b w:val="0"/>
        <w:i w:val="0"/>
        <w:color w:val="000000"/>
        <w:sz w:val="24"/>
        <w:szCs w:val="24"/>
        <w:u w:val="none"/>
      </w:rPr>
    </w:lvl>
    <w:lvl w:ilvl="4">
      <w:start w:val="5"/>
      <w:numFmt w:val="decimal"/>
      <w:isLgl w:val="false"/>
      <w:suff w:val="tab"/>
      <w:lvlText w:val="%5."/>
      <w:lvlJc w:val="left"/>
      <w:pPr>
        <w:ind w:left="3600" w:hanging="360"/>
        <w:tabs>
          <w:tab w:val="num" w:pos="3600" w:leader="none"/>
        </w:tabs>
      </w:pPr>
      <w:rPr>
        <w:b/>
      </w:r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6">
    <w:multiLevelType w:val="hybridMultilevel"/>
    <w:lvl w:ilvl="0">
      <w:start w:val="6"/>
      <w:numFmt w:val="decimal"/>
      <w:isLgl w:val="false"/>
      <w:suff w:val="tab"/>
      <w:lvlText w:val="%1."/>
      <w:lvlJc w:val="left"/>
      <w:pPr>
        <w:ind w:left="360" w:hanging="360"/>
        <w:tabs>
          <w:tab w:val="num" w:pos="360" w:leader="none"/>
        </w:tabs>
      </w:pPr>
      <w:rPr>
        <w:b/>
      </w:rPr>
    </w:lvl>
    <w:lvl w:ilvl="1">
      <w:start w:val="1"/>
      <w:numFmt w:val="decimal"/>
      <w:isLgl w:val="false"/>
      <w:suff w:val="tab"/>
      <w:lvlText w:val="6.%2."/>
      <w:lvlJc w:val="left"/>
      <w:pPr>
        <w:ind w:left="0" w:firstLine="0"/>
        <w:tabs>
          <w:tab w:val="num" w:pos="360" w:leader="none"/>
        </w:tabs>
      </w:pPr>
      <w:rPr>
        <w:rFonts w:ascii="Verdana" w:hAnsi="Verdana"/>
        <w:b w:val="0"/>
        <w:i w:val="0"/>
        <w:color w:val="000000"/>
        <w:sz w:val="18"/>
        <w:szCs w:val="18"/>
        <w:u w:val="none"/>
      </w:rPr>
    </w:lvl>
    <w:lvl w:ilvl="2">
      <w:start w:val="7"/>
      <w:numFmt w:val="decimal"/>
      <w:isLgl w:val="false"/>
      <w:suff w:val="tab"/>
      <w:lvlText w:val="%3."/>
      <w:lvlJc w:val="left"/>
      <w:pPr>
        <w:ind w:left="360" w:hanging="360"/>
        <w:tabs>
          <w:tab w:val="num" w:pos="360" w:leader="none"/>
        </w:tabs>
      </w:pPr>
      <w:rPr>
        <w:b/>
      </w:rPr>
    </w:lvl>
    <w:lvl w:ilvl="3">
      <w:start w:val="1"/>
      <w:numFmt w:val="decimal"/>
      <w:isLgl w:val="false"/>
      <w:suff w:val="tab"/>
      <w:lvlText w:val="9.%4."/>
      <w:lvlJc w:val="left"/>
      <w:pPr>
        <w:ind w:left="0" w:firstLine="0"/>
        <w:tabs>
          <w:tab w:val="num" w:pos="720" w:leader="none"/>
        </w:tabs>
      </w:pPr>
      <w:rPr>
        <w:rFonts w:ascii="Verdana" w:hAnsi="Verdana"/>
        <w:b w:val="0"/>
        <w:i w:val="0"/>
        <w:color w:val="000000"/>
        <w:sz w:val="18"/>
        <w:szCs w:val="18"/>
        <w:u w:val="none"/>
      </w:rPr>
    </w:lvl>
    <w:lvl w:ilvl="4">
      <w:start w:val="1"/>
      <w:numFmt w:val="decimal"/>
      <w:isLgl w:val="false"/>
      <w:suff w:val="tab"/>
      <w:lvlText w:val="9.7.%5."/>
      <w:lvlJc w:val="left"/>
      <w:pPr>
        <w:ind w:left="3600" w:hanging="360"/>
        <w:tabs>
          <w:tab w:val="num" w:pos="3960" w:leader="none"/>
        </w:tabs>
      </w:pPr>
      <w:rPr>
        <w:b w:val="0"/>
      </w:r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num w:numId="1">
    <w:abstractNumId w:val="1"/>
  </w:num>
  <w:num w:numId="2">
    <w:abstractNumId w:val="2"/>
  </w:num>
  <w:num w:numId="3">
    <w:abstractNumId w:val="3"/>
  </w:num>
  <w:num w:numId="4">
    <w:abstractNumId w:val="4"/>
  </w:num>
  <w:num w:numId="5">
    <w:abstractNumId w:val="37"/>
  </w:num>
  <w:num w:numId="6">
    <w:abstractNumId w:val="1"/>
    <w:lvlOverride w:ilvl="0">
      <w:startOverride w:val="7"/>
    </w:lvlOverride>
    <w:lvlOverride w:ilvl="1">
      <w:startOverride w:val="6"/>
    </w:lvlOverride>
    <w:lvlOverride w:ilvl="2">
      <w:startOverride w:val="2"/>
    </w:lvlOverride>
  </w:num>
  <w:num w:numId="7">
    <w:abstractNumId w:val="23"/>
  </w:num>
  <w:num w:numId="8">
    <w:abstractNumId w:val="44"/>
  </w:num>
  <w:num w:numId="9">
    <w:abstractNumId w:val="12"/>
  </w:num>
  <w:num w:numId="10">
    <w:abstractNumId w:val="45"/>
  </w:num>
  <w:num w:numId="11">
    <w:abstractNumId w:val="26"/>
  </w:num>
  <w:num w:numId="12">
    <w:abstractNumId w:val="6"/>
  </w:num>
  <w:num w:numId="13">
    <w:abstractNumId w:val="39"/>
  </w:num>
  <w:num w:numId="14">
    <w:abstractNumId w:val="46"/>
  </w:num>
  <w:num w:numId="15">
    <w:abstractNumId w:val="30"/>
  </w:num>
  <w:num w:numId="16">
    <w:abstractNumId w:val="19"/>
  </w:num>
  <w:num w:numId="17">
    <w:abstractNumId w:val="20"/>
  </w:num>
  <w:num w:numId="18">
    <w:abstractNumId w:val="11"/>
  </w:num>
  <w:num w:numId="19">
    <w:abstractNumId w:val="42"/>
  </w:num>
  <w:num w:numId="20">
    <w:abstractNumId w:val="29"/>
  </w:num>
  <w:num w:numId="21">
    <w:abstractNumId w:val="34"/>
  </w:num>
  <w:num w:numId="22">
    <w:abstractNumId w:val="22"/>
  </w:num>
  <w:num w:numId="23">
    <w:abstractNumId w:val="35"/>
  </w:num>
  <w:num w:numId="24">
    <w:abstractNumId w:val="9"/>
  </w:num>
  <w:num w:numId="25">
    <w:abstractNumId w:val="15"/>
  </w:num>
  <w:num w:numId="26">
    <w:abstractNumId w:val="8"/>
  </w:num>
  <w:num w:numId="27">
    <w:abstractNumId w:val="25"/>
  </w:num>
  <w:num w:numId="28">
    <w:abstractNumId w:val="16"/>
  </w:num>
  <w:num w:numId="29">
    <w:abstractNumId w:val="38"/>
  </w:num>
  <w:num w:numId="30">
    <w:abstractNumId w:val="32"/>
  </w:num>
  <w:num w:numId="31">
    <w:abstractNumId w:val="36"/>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10"/>
  </w:num>
  <w:num w:numId="34">
    <w:abstractNumId w:val="5"/>
  </w:num>
  <w:num w:numId="35">
    <w:abstractNumId w:val="21"/>
    <w:lvlOverride w:ilvl="0">
      <w:startOverride w:val="1"/>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36">
    <w:abstractNumId w:val="13"/>
  </w:num>
  <w:num w:numId="37">
    <w:abstractNumId w:val="43"/>
    <w:lvlOverride w:ilvl="0">
      <w:startOverride w:val="2"/>
    </w:lvlOverride>
    <w:lvlOverride w:ilvl="1">
      <w:startOverride w:val="1"/>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38">
    <w:abstractNumId w:val="31"/>
  </w:num>
  <w:num w:numId="39">
    <w:abstractNumId w:val="41"/>
  </w:num>
  <w:num w:numId="40">
    <w:abstractNumId w:val="33"/>
  </w:num>
  <w:num w:numId="41">
    <w:abstractNumId w:val="28"/>
  </w:num>
  <w:num w:numId="42">
    <w:abstractNumId w:val="17"/>
  </w:num>
  <w:num w:numId="43">
    <w:abstractNumId w:val="7"/>
  </w:num>
  <w:num w:numId="44">
    <w:abstractNumId w:val="18"/>
  </w:num>
  <w:num w:numId="45">
    <w:abstractNumId w:val="40"/>
  </w:num>
  <w:num w:numId="46">
    <w:abstractNumId w:val="27"/>
  </w:num>
  <w:num w:numId="47">
    <w:abstractNumId w:val="24"/>
  </w:num>
  <w:num w:numId="48">
    <w:abstractNumId w:val="1"/>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715"/>
    <w:next w:val="715"/>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715"/>
    <w:next w:val="715"/>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715"/>
    <w:next w:val="715"/>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715"/>
    <w:next w:val="715"/>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715"/>
    <w:next w:val="715"/>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715"/>
    <w:next w:val="715"/>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715"/>
    <w:next w:val="715"/>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715"/>
    <w:next w:val="715"/>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715"/>
    <w:next w:val="715"/>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715"/>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715"/>
    <w:next w:val="715"/>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715"/>
    <w:next w:val="715"/>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715"/>
    <w:next w:val="715"/>
    <w:link w:val="39"/>
    <w:uiPriority w:val="29"/>
    <w:qFormat/>
    <w:pPr>
      <w:ind w:left="720" w:right="720"/>
    </w:pPr>
    <w:rPr>
      <w:i/>
    </w:rPr>
  </w:style>
  <w:style w:type="character" w:styleId="39">
    <w:name w:val="Quote Char"/>
    <w:link w:val="38"/>
    <w:uiPriority w:val="29"/>
    <w:rPr>
      <w:i/>
    </w:rPr>
  </w:style>
  <w:style w:type="paragraph" w:styleId="40">
    <w:name w:val="Intense Quote"/>
    <w:basedOn w:val="715"/>
    <w:next w:val="715"/>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715"/>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715"/>
    <w:link w:val="45"/>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715"/>
    <w:next w:val="715"/>
    <w:link w:val="47"/>
    <w:uiPriority w:val="35"/>
    <w:semiHidden/>
    <w:unhideWhenUsed/>
    <w:qFormat/>
    <w:pPr>
      <w:spacing w:line="276" w:lineRule="auto"/>
    </w:pPr>
    <w:rPr>
      <w:b/>
      <w:bCs/>
      <w:color w:val="4f81bd" w:themeColor="accent1"/>
      <w:sz w:val="18"/>
      <w:szCs w:val="18"/>
    </w:rPr>
  </w:style>
  <w:style w:type="character" w:styleId="47">
    <w:name w:val="Caption Char"/>
    <w:basedOn w:val="11"/>
    <w:link w:val="46"/>
    <w:uiPriority w:val="35"/>
    <w:rPr>
      <w:b/>
      <w:bCs/>
      <w:color w:val="4f81bd" w:themeColor="accent1"/>
      <w:sz w:val="18"/>
      <w:szCs w:val="18"/>
    </w:rPr>
  </w:style>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715"/>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715"/>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715"/>
    <w:next w:val="715"/>
    <w:uiPriority w:val="39"/>
    <w:unhideWhenUsed/>
    <w:pPr>
      <w:ind w:left="0" w:right="0" w:firstLine="0"/>
      <w:spacing w:after="57"/>
    </w:pPr>
  </w:style>
  <w:style w:type="paragraph" w:styleId="182">
    <w:name w:val="toc 2"/>
    <w:basedOn w:val="715"/>
    <w:next w:val="715"/>
    <w:uiPriority w:val="39"/>
    <w:unhideWhenUsed/>
    <w:pPr>
      <w:ind w:left="283" w:right="0" w:firstLine="0"/>
      <w:spacing w:after="57"/>
    </w:pPr>
  </w:style>
  <w:style w:type="paragraph" w:styleId="183">
    <w:name w:val="toc 3"/>
    <w:basedOn w:val="715"/>
    <w:next w:val="715"/>
    <w:uiPriority w:val="39"/>
    <w:unhideWhenUsed/>
    <w:pPr>
      <w:ind w:left="567" w:right="0" w:firstLine="0"/>
      <w:spacing w:after="57"/>
    </w:pPr>
  </w:style>
  <w:style w:type="paragraph" w:styleId="184">
    <w:name w:val="toc 4"/>
    <w:basedOn w:val="715"/>
    <w:next w:val="715"/>
    <w:uiPriority w:val="39"/>
    <w:unhideWhenUsed/>
    <w:pPr>
      <w:ind w:left="850" w:right="0" w:firstLine="0"/>
      <w:spacing w:after="57"/>
    </w:pPr>
  </w:style>
  <w:style w:type="paragraph" w:styleId="185">
    <w:name w:val="toc 5"/>
    <w:basedOn w:val="715"/>
    <w:next w:val="715"/>
    <w:uiPriority w:val="39"/>
    <w:unhideWhenUsed/>
    <w:pPr>
      <w:ind w:left="1134" w:right="0" w:firstLine="0"/>
      <w:spacing w:after="57"/>
    </w:pPr>
  </w:style>
  <w:style w:type="paragraph" w:styleId="186">
    <w:name w:val="toc 6"/>
    <w:basedOn w:val="715"/>
    <w:next w:val="715"/>
    <w:uiPriority w:val="39"/>
    <w:unhideWhenUsed/>
    <w:pPr>
      <w:ind w:left="1417" w:right="0" w:firstLine="0"/>
      <w:spacing w:after="57"/>
    </w:pPr>
  </w:style>
  <w:style w:type="paragraph" w:styleId="187">
    <w:name w:val="toc 7"/>
    <w:basedOn w:val="715"/>
    <w:next w:val="715"/>
    <w:uiPriority w:val="39"/>
    <w:unhideWhenUsed/>
    <w:pPr>
      <w:ind w:left="1701" w:right="0" w:firstLine="0"/>
      <w:spacing w:after="57"/>
    </w:pPr>
  </w:style>
  <w:style w:type="paragraph" w:styleId="188">
    <w:name w:val="toc 8"/>
    <w:basedOn w:val="715"/>
    <w:next w:val="715"/>
    <w:uiPriority w:val="39"/>
    <w:unhideWhenUsed/>
    <w:pPr>
      <w:ind w:left="1984" w:right="0" w:firstLine="0"/>
      <w:spacing w:after="57"/>
    </w:pPr>
  </w:style>
  <w:style w:type="paragraph" w:styleId="189">
    <w:name w:val="toc 9"/>
    <w:basedOn w:val="715"/>
    <w:next w:val="715"/>
    <w:uiPriority w:val="39"/>
    <w:unhideWhenUsed/>
    <w:pPr>
      <w:ind w:left="2268" w:right="0" w:firstLine="0"/>
      <w:spacing w:after="57"/>
    </w:pPr>
  </w:style>
  <w:style w:type="paragraph" w:styleId="190">
    <w:name w:val="TOC Heading"/>
    <w:uiPriority w:val="39"/>
    <w:unhideWhenUsed/>
  </w:style>
  <w:style w:type="paragraph" w:styleId="191">
    <w:name w:val="table of figures"/>
    <w:basedOn w:val="715"/>
    <w:next w:val="715"/>
    <w:uiPriority w:val="99"/>
    <w:unhideWhenUsed/>
    <w:pPr>
      <w:spacing w:after="0" w:afterAutospacing="0"/>
    </w:pPr>
  </w:style>
  <w:style w:type="paragraph" w:styleId="715" w:default="1">
    <w:name w:val="Normal"/>
    <w:next w:val="715"/>
    <w:link w:val="715"/>
    <w:qFormat/>
    <w:pPr>
      <w:ind w:firstLine="340"/>
      <w:jc w:val="both"/>
    </w:pPr>
    <w:rPr>
      <w:color w:val="000000"/>
      <w:sz w:val="24"/>
      <w:szCs w:val="24"/>
      <w:lang w:val="ru-RU" w:eastAsia="ar-SA" w:bidi="ar-SA"/>
    </w:rPr>
  </w:style>
  <w:style w:type="paragraph" w:styleId="716">
    <w:name w:val="Заголовок 1"/>
    <w:basedOn w:val="715"/>
    <w:next w:val="715"/>
    <w:link w:val="715"/>
    <w:qFormat/>
    <w:pPr>
      <w:keepNext/>
      <w:spacing w:before="240" w:after="60"/>
    </w:pPr>
    <w:rPr>
      <w:rFonts w:ascii="Arial" w:hAnsi="Arial" w:cs="Arial"/>
      <w:b/>
      <w:bCs/>
      <w:sz w:val="32"/>
      <w:szCs w:val="32"/>
    </w:rPr>
  </w:style>
  <w:style w:type="paragraph" w:styleId="717">
    <w:name w:val="Заголовок 2"/>
    <w:basedOn w:val="715"/>
    <w:next w:val="715"/>
    <w:link w:val="715"/>
    <w:qFormat/>
    <w:pPr>
      <w:keepNext/>
      <w:spacing w:before="240" w:after="60"/>
    </w:pPr>
    <w:rPr>
      <w:rFonts w:ascii="Arial" w:hAnsi="Arial" w:cs="Arial"/>
      <w:b/>
      <w:bCs/>
      <w:i/>
      <w:iCs/>
      <w:sz w:val="28"/>
      <w:szCs w:val="28"/>
    </w:rPr>
  </w:style>
  <w:style w:type="paragraph" w:styleId="718">
    <w:name w:val="Заголовок 3"/>
    <w:basedOn w:val="715"/>
    <w:next w:val="715"/>
    <w:link w:val="715"/>
    <w:qFormat/>
    <w:pPr>
      <w:keepNext/>
      <w:spacing w:before="240" w:after="60"/>
    </w:pPr>
    <w:rPr>
      <w:rFonts w:ascii="Arial" w:hAnsi="Arial" w:cs="Arial"/>
      <w:b/>
      <w:bCs/>
      <w:sz w:val="26"/>
      <w:szCs w:val="26"/>
    </w:rPr>
  </w:style>
  <w:style w:type="paragraph" w:styleId="719">
    <w:name w:val="Заголовок 4"/>
    <w:basedOn w:val="890"/>
    <w:next w:val="864"/>
    <w:link w:val="715"/>
    <w:qFormat/>
    <w:pPr>
      <w:numPr>
        <w:ilvl w:val="3"/>
        <w:numId w:val="1"/>
      </w:numPr>
      <w:outlineLvl w:val="3"/>
    </w:pPr>
    <w:rPr>
      <w:b/>
      <w:bCs/>
      <w:i/>
      <w:iCs/>
      <w:sz w:val="24"/>
      <w:szCs w:val="24"/>
    </w:rPr>
  </w:style>
  <w:style w:type="paragraph" w:styleId="720">
    <w:name w:val="Заголовок 5, Знак Знак Знак"/>
    <w:basedOn w:val="890"/>
    <w:next w:val="864"/>
    <w:link w:val="715"/>
    <w:qFormat/>
    <w:pPr>
      <w:ind w:firstLine="0"/>
      <w:outlineLvl w:val="4"/>
    </w:pPr>
    <w:rPr>
      <w:b/>
      <w:bCs/>
      <w:sz w:val="24"/>
      <w:szCs w:val="24"/>
    </w:rPr>
  </w:style>
  <w:style w:type="paragraph" w:styleId="721">
    <w:name w:val="Заголовок 6"/>
    <w:basedOn w:val="890"/>
    <w:next w:val="864"/>
    <w:link w:val="971"/>
    <w:qFormat/>
    <w:pPr>
      <w:numPr>
        <w:ilvl w:val="5"/>
        <w:numId w:val="1"/>
      </w:numPr>
      <w:outlineLvl w:val="5"/>
    </w:pPr>
    <w:rPr>
      <w:rFonts w:cs="Times New Roman"/>
      <w:b/>
      <w:bCs/>
      <w:sz w:val="21"/>
      <w:szCs w:val="21"/>
      <w:lang w:val="en-US"/>
    </w:rPr>
  </w:style>
  <w:style w:type="paragraph" w:styleId="722">
    <w:name w:val="Заголовок 7"/>
    <w:basedOn w:val="890"/>
    <w:next w:val="864"/>
    <w:link w:val="972"/>
    <w:qFormat/>
    <w:pPr>
      <w:numPr>
        <w:ilvl w:val="6"/>
        <w:numId w:val="1"/>
      </w:numPr>
      <w:outlineLvl w:val="6"/>
    </w:pPr>
    <w:rPr>
      <w:rFonts w:cs="Times New Roman"/>
      <w:b/>
      <w:bCs/>
      <w:sz w:val="21"/>
      <w:szCs w:val="21"/>
      <w:lang w:val="en-US"/>
    </w:rPr>
  </w:style>
  <w:style w:type="paragraph" w:styleId="723">
    <w:name w:val="Заголовок 8"/>
    <w:basedOn w:val="890"/>
    <w:next w:val="864"/>
    <w:link w:val="973"/>
    <w:qFormat/>
    <w:pPr>
      <w:numPr>
        <w:ilvl w:val="7"/>
        <w:numId w:val="1"/>
      </w:numPr>
      <w:outlineLvl w:val="7"/>
    </w:pPr>
    <w:rPr>
      <w:rFonts w:cs="Times New Roman"/>
      <w:b/>
      <w:bCs/>
      <w:sz w:val="21"/>
      <w:szCs w:val="21"/>
      <w:lang w:val="en-US"/>
    </w:rPr>
  </w:style>
  <w:style w:type="paragraph" w:styleId="724">
    <w:name w:val="Заголовок 9"/>
    <w:basedOn w:val="890"/>
    <w:next w:val="864"/>
    <w:link w:val="974"/>
    <w:qFormat/>
    <w:pPr>
      <w:numPr>
        <w:ilvl w:val="8"/>
        <w:numId w:val="1"/>
      </w:numPr>
      <w:outlineLvl w:val="8"/>
    </w:pPr>
    <w:rPr>
      <w:rFonts w:cs="Times New Roman"/>
      <w:b/>
      <w:bCs/>
      <w:sz w:val="21"/>
      <w:szCs w:val="21"/>
      <w:lang w:val="en-US"/>
    </w:rPr>
  </w:style>
  <w:style w:type="character" w:styleId="725">
    <w:name w:val="Основной шрифт абзаца"/>
    <w:next w:val="725"/>
    <w:link w:val="715"/>
  </w:style>
  <w:style w:type="table" w:styleId="726">
    <w:name w:val="Обычная таблица"/>
    <w:next w:val="726"/>
    <w:link w:val="715"/>
    <w:semiHidden/>
    <w:tblPr/>
  </w:style>
  <w:style w:type="numbering" w:styleId="727">
    <w:name w:val="Нет списка"/>
    <w:next w:val="727"/>
    <w:link w:val="715"/>
    <w:uiPriority w:val="99"/>
    <w:semiHidden/>
  </w:style>
  <w:style w:type="character" w:styleId="728">
    <w:name w:val="WW8Num1z0"/>
    <w:next w:val="728"/>
    <w:link w:val="715"/>
    <w:rPr>
      <w:rFonts w:ascii="Times New Roman" w:hAnsi="Times New Roman"/>
      <w:b/>
      <w:bCs/>
    </w:rPr>
  </w:style>
  <w:style w:type="character" w:styleId="729">
    <w:name w:val="WW8Num1z1"/>
    <w:next w:val="729"/>
    <w:link w:val="715"/>
    <w:rPr>
      <w:rFonts w:ascii="Times New Roman" w:hAnsi="Times New Roman"/>
      <w:b/>
      <w:i w:val="0"/>
      <w:color w:val="000000"/>
    </w:rPr>
  </w:style>
  <w:style w:type="character" w:styleId="730">
    <w:name w:val="WW8Num2z0"/>
    <w:next w:val="730"/>
    <w:link w:val="715"/>
    <w:rPr>
      <w:rFonts w:ascii="Symbol" w:hAnsi="Symbol"/>
    </w:rPr>
  </w:style>
  <w:style w:type="character" w:styleId="731">
    <w:name w:val="WW8Num2z1"/>
    <w:next w:val="731"/>
    <w:link w:val="715"/>
    <w:rPr>
      <w:b/>
      <w:i w:val="0"/>
      <w:color w:val="000000"/>
    </w:rPr>
  </w:style>
  <w:style w:type="character" w:styleId="732">
    <w:name w:val="WW8Num2z2"/>
    <w:next w:val="732"/>
    <w:link w:val="715"/>
    <w:rPr>
      <w:rFonts w:ascii="Times New Roman" w:hAnsi="Times New Roman"/>
    </w:rPr>
  </w:style>
  <w:style w:type="character" w:styleId="733">
    <w:name w:val="WW8Num3z0"/>
    <w:next w:val="733"/>
    <w:link w:val="715"/>
    <w:rPr>
      <w:rFonts w:ascii="Symbol" w:hAnsi="Symbol"/>
    </w:rPr>
  </w:style>
  <w:style w:type="character" w:styleId="734">
    <w:name w:val="WW8Num4z1"/>
    <w:next w:val="734"/>
    <w:link w:val="715"/>
    <w:rPr>
      <w:rFonts w:ascii="Courier New" w:hAnsi="Courier New" w:cs="Courier New"/>
    </w:rPr>
  </w:style>
  <w:style w:type="character" w:styleId="735">
    <w:name w:val="WW8Num4z2"/>
    <w:next w:val="735"/>
    <w:link w:val="715"/>
    <w:rPr>
      <w:rFonts w:ascii="Wingdings" w:hAnsi="Wingdings"/>
    </w:rPr>
  </w:style>
  <w:style w:type="character" w:styleId="736">
    <w:name w:val="WW8Num4z3"/>
    <w:next w:val="736"/>
    <w:link w:val="715"/>
    <w:rPr>
      <w:rFonts w:ascii="Symbol" w:hAnsi="Symbol"/>
    </w:rPr>
  </w:style>
  <w:style w:type="character" w:styleId="737">
    <w:name w:val="WW8Num7z0"/>
    <w:next w:val="737"/>
    <w:link w:val="715"/>
    <w:rPr>
      <w:b/>
      <w:bCs/>
    </w:rPr>
  </w:style>
  <w:style w:type="character" w:styleId="738">
    <w:name w:val="Absatz-Standardschriftart"/>
    <w:next w:val="738"/>
    <w:link w:val="715"/>
  </w:style>
  <w:style w:type="character" w:styleId="739">
    <w:name w:val="Основной шрифт абзаца17"/>
    <w:next w:val="739"/>
    <w:link w:val="715"/>
  </w:style>
  <w:style w:type="character" w:styleId="740">
    <w:name w:val="Основной шрифт абзаца16"/>
    <w:next w:val="740"/>
    <w:link w:val="715"/>
  </w:style>
  <w:style w:type="character" w:styleId="741">
    <w:name w:val="WW8Num1z2"/>
    <w:next w:val="741"/>
    <w:link w:val="715"/>
    <w:rPr>
      <w:rFonts w:ascii="Times New Roman" w:hAnsi="Times New Roman"/>
    </w:rPr>
  </w:style>
  <w:style w:type="character" w:styleId="742">
    <w:name w:val="Основной шрифт абзаца15"/>
    <w:next w:val="742"/>
    <w:link w:val="715"/>
  </w:style>
  <w:style w:type="character" w:styleId="743">
    <w:name w:val="Основной шрифт абзаца14"/>
    <w:next w:val="743"/>
    <w:link w:val="715"/>
  </w:style>
  <w:style w:type="character" w:styleId="744">
    <w:name w:val="Основной шрифт абзаца13"/>
    <w:next w:val="744"/>
    <w:link w:val="715"/>
  </w:style>
  <w:style w:type="character" w:styleId="745">
    <w:name w:val="WW8Num8z0"/>
    <w:next w:val="745"/>
    <w:link w:val="715"/>
    <w:rPr>
      <w:rFonts w:ascii="Wingdings" w:hAnsi="Wingdings"/>
    </w:rPr>
  </w:style>
  <w:style w:type="character" w:styleId="746">
    <w:name w:val="WW8Num8z1"/>
    <w:next w:val="746"/>
    <w:link w:val="715"/>
    <w:rPr>
      <w:rFonts w:ascii="Courier New" w:hAnsi="Courier New" w:cs="Courier New"/>
    </w:rPr>
  </w:style>
  <w:style w:type="character" w:styleId="747">
    <w:name w:val="Основной шрифт абзаца12"/>
    <w:next w:val="747"/>
    <w:link w:val="715"/>
  </w:style>
  <w:style w:type="character" w:styleId="748">
    <w:name w:val="WW-Absatz-Standardschriftart"/>
    <w:next w:val="748"/>
    <w:link w:val="715"/>
  </w:style>
  <w:style w:type="character" w:styleId="749">
    <w:name w:val="WW-Absatz-Standardschriftart1"/>
    <w:next w:val="749"/>
    <w:link w:val="715"/>
  </w:style>
  <w:style w:type="character" w:styleId="750">
    <w:name w:val="Основной шрифт абзаца11"/>
    <w:next w:val="750"/>
    <w:link w:val="715"/>
  </w:style>
  <w:style w:type="character" w:styleId="751">
    <w:name w:val="WW-Absatz-Standardschriftart11"/>
    <w:next w:val="751"/>
    <w:link w:val="715"/>
  </w:style>
  <w:style w:type="character" w:styleId="752">
    <w:name w:val="Основной шрифт абзаца10"/>
    <w:next w:val="752"/>
    <w:link w:val="715"/>
  </w:style>
  <w:style w:type="character" w:styleId="753">
    <w:name w:val="Основной шрифт абзаца9"/>
    <w:next w:val="753"/>
    <w:link w:val="715"/>
  </w:style>
  <w:style w:type="character" w:styleId="754">
    <w:name w:val="Основной шрифт абзаца8"/>
    <w:next w:val="754"/>
    <w:link w:val="715"/>
  </w:style>
  <w:style w:type="character" w:styleId="755">
    <w:name w:val="WW-Absatz-Standardschriftart111"/>
    <w:next w:val="755"/>
    <w:link w:val="715"/>
  </w:style>
  <w:style w:type="character" w:styleId="756">
    <w:name w:val="WW8Num9z0"/>
    <w:next w:val="756"/>
    <w:link w:val="715"/>
    <w:rPr>
      <w:rFonts w:ascii="Symbol" w:hAnsi="Symbol"/>
    </w:rPr>
  </w:style>
  <w:style w:type="character" w:styleId="757">
    <w:name w:val="WW8Num9z1"/>
    <w:next w:val="757"/>
    <w:link w:val="715"/>
    <w:rPr>
      <w:rFonts w:ascii="Courier New" w:hAnsi="Courier New" w:cs="Courier New"/>
    </w:rPr>
  </w:style>
  <w:style w:type="character" w:styleId="758">
    <w:name w:val="WW8Num10z0"/>
    <w:next w:val="758"/>
    <w:link w:val="715"/>
    <w:rPr>
      <w:rFonts w:ascii="Symbol" w:hAnsi="Symbol"/>
    </w:rPr>
  </w:style>
  <w:style w:type="character" w:styleId="759">
    <w:name w:val="WW8Num10z1"/>
    <w:next w:val="759"/>
    <w:link w:val="715"/>
    <w:rPr>
      <w:rFonts w:ascii="Courier New" w:hAnsi="Courier New" w:cs="Courier New"/>
    </w:rPr>
  </w:style>
  <w:style w:type="character" w:styleId="760">
    <w:name w:val="WW8Num11z0"/>
    <w:next w:val="760"/>
    <w:link w:val="715"/>
    <w:rPr>
      <w:rFonts w:ascii="Symbol" w:hAnsi="Symbol"/>
    </w:rPr>
  </w:style>
  <w:style w:type="character" w:styleId="761">
    <w:name w:val="WW8Num11z1"/>
    <w:next w:val="761"/>
    <w:link w:val="715"/>
    <w:rPr>
      <w:rFonts w:ascii="Courier New" w:hAnsi="Courier New" w:cs="Courier New"/>
    </w:rPr>
  </w:style>
  <w:style w:type="character" w:styleId="762">
    <w:name w:val="WW8Num12z0"/>
    <w:next w:val="762"/>
    <w:link w:val="715"/>
    <w:rPr>
      <w:rFonts w:ascii="Symbol" w:hAnsi="Symbol"/>
      <w:sz w:val="20"/>
    </w:rPr>
  </w:style>
  <w:style w:type="character" w:styleId="763">
    <w:name w:val="WW8Num12z1"/>
    <w:next w:val="763"/>
    <w:link w:val="715"/>
    <w:rPr>
      <w:rFonts w:ascii="Courier New" w:hAnsi="Courier New" w:cs="Courier New"/>
    </w:rPr>
  </w:style>
  <w:style w:type="character" w:styleId="764">
    <w:name w:val="WW8Num13z0"/>
    <w:next w:val="764"/>
    <w:link w:val="715"/>
    <w:rPr>
      <w:rFonts w:ascii="Symbol" w:hAnsi="Symbol"/>
    </w:rPr>
  </w:style>
  <w:style w:type="character" w:styleId="765">
    <w:name w:val="WW8Num13z1"/>
    <w:next w:val="765"/>
    <w:link w:val="715"/>
    <w:rPr>
      <w:rFonts w:ascii="Courier New" w:hAnsi="Courier New" w:cs="Courier New"/>
    </w:rPr>
  </w:style>
  <w:style w:type="character" w:styleId="766">
    <w:name w:val="Основной шрифт абзаца7"/>
    <w:next w:val="766"/>
    <w:link w:val="715"/>
  </w:style>
  <w:style w:type="character" w:styleId="767">
    <w:name w:val="WW-Absatz-Standardschriftart1111"/>
    <w:next w:val="767"/>
    <w:link w:val="715"/>
  </w:style>
  <w:style w:type="character" w:styleId="768">
    <w:name w:val="WW-Absatz-Standardschriftart11111"/>
    <w:next w:val="768"/>
    <w:link w:val="715"/>
  </w:style>
  <w:style w:type="character" w:styleId="769">
    <w:name w:val="WW-Absatz-Standardschriftart111111"/>
    <w:next w:val="769"/>
    <w:link w:val="715"/>
  </w:style>
  <w:style w:type="character" w:styleId="770">
    <w:name w:val="Основной шрифт абзаца6"/>
    <w:next w:val="770"/>
    <w:link w:val="715"/>
  </w:style>
  <w:style w:type="character" w:styleId="771">
    <w:name w:val="WW8Num5z0"/>
    <w:next w:val="771"/>
    <w:link w:val="715"/>
    <w:rPr>
      <w:rFonts w:ascii="Symbol" w:hAnsi="Symbol"/>
    </w:rPr>
  </w:style>
  <w:style w:type="character" w:styleId="772">
    <w:name w:val="WW8Num6z0"/>
    <w:next w:val="772"/>
    <w:link w:val="715"/>
    <w:rPr>
      <w:rFonts w:ascii="Symbol" w:hAnsi="Symbol"/>
    </w:rPr>
  </w:style>
  <w:style w:type="character" w:styleId="773">
    <w:name w:val="WW8Num11z2"/>
    <w:next w:val="773"/>
    <w:link w:val="715"/>
    <w:rPr>
      <w:rFonts w:ascii="Wingdings" w:hAnsi="Wingdings"/>
    </w:rPr>
  </w:style>
  <w:style w:type="character" w:styleId="774">
    <w:name w:val="WW8Num12z2"/>
    <w:next w:val="774"/>
    <w:link w:val="715"/>
    <w:rPr>
      <w:rFonts w:ascii="Wingdings" w:hAnsi="Wingdings"/>
    </w:rPr>
  </w:style>
  <w:style w:type="character" w:styleId="775">
    <w:name w:val="WW8Num14z0"/>
    <w:next w:val="775"/>
    <w:link w:val="715"/>
    <w:rPr>
      <w:rFonts w:ascii="Wingdings" w:hAnsi="Wingdings"/>
      <w:b/>
      <w:bCs/>
    </w:rPr>
  </w:style>
  <w:style w:type="character" w:styleId="776">
    <w:name w:val="WW8Num15z1"/>
    <w:next w:val="776"/>
    <w:link w:val="715"/>
    <w:rPr>
      <w:rFonts w:ascii="Courier New" w:hAnsi="Courier New"/>
      <w:sz w:val="24"/>
      <w:szCs w:val="24"/>
    </w:rPr>
  </w:style>
  <w:style w:type="character" w:styleId="777">
    <w:name w:val="WW8Num15z2"/>
    <w:next w:val="777"/>
    <w:link w:val="715"/>
    <w:rPr>
      <w:rFonts w:ascii="Wingdings" w:hAnsi="Wingdings"/>
    </w:rPr>
  </w:style>
  <w:style w:type="character" w:styleId="778">
    <w:name w:val="WW8Num15z3"/>
    <w:next w:val="778"/>
    <w:link w:val="715"/>
    <w:rPr>
      <w:rFonts w:ascii="Symbol" w:hAnsi="Symbol"/>
    </w:rPr>
  </w:style>
  <w:style w:type="character" w:styleId="779">
    <w:name w:val="WW8Num16z1"/>
    <w:next w:val="779"/>
    <w:link w:val="715"/>
    <w:rPr>
      <w:rFonts w:ascii="Courier New" w:hAnsi="Courier New" w:cs="Courier New"/>
    </w:rPr>
  </w:style>
  <w:style w:type="character" w:styleId="780">
    <w:name w:val="WW8Num16z2"/>
    <w:next w:val="780"/>
    <w:link w:val="715"/>
    <w:rPr>
      <w:rFonts w:ascii="Wingdings" w:hAnsi="Wingdings"/>
    </w:rPr>
  </w:style>
  <w:style w:type="character" w:styleId="781">
    <w:name w:val="WW8Num16z3"/>
    <w:next w:val="781"/>
    <w:link w:val="715"/>
    <w:rPr>
      <w:rFonts w:ascii="Symbol" w:hAnsi="Symbol"/>
    </w:rPr>
  </w:style>
  <w:style w:type="character" w:styleId="782">
    <w:name w:val="WW8Num17z0"/>
    <w:next w:val="782"/>
    <w:link w:val="715"/>
    <w:rPr>
      <w:rFonts w:ascii="Symbol" w:hAnsi="Symbol" w:cs="OpenSymbol"/>
    </w:rPr>
  </w:style>
  <w:style w:type="character" w:styleId="783">
    <w:name w:val="WW8Num18z0"/>
    <w:next w:val="783"/>
    <w:link w:val="715"/>
    <w:rPr>
      <w:rFonts w:ascii="Symbol" w:hAnsi="Symbol" w:cs="OpenSymbol"/>
    </w:rPr>
  </w:style>
  <w:style w:type="character" w:styleId="784">
    <w:name w:val="WW8Num19z0"/>
    <w:next w:val="784"/>
    <w:link w:val="715"/>
    <w:rPr>
      <w:rFonts w:ascii="Symbol" w:hAnsi="Symbol" w:cs="OpenSymbol"/>
    </w:rPr>
  </w:style>
  <w:style w:type="character" w:styleId="785">
    <w:name w:val="WW8Num20z0"/>
    <w:next w:val="785"/>
    <w:link w:val="715"/>
    <w:rPr>
      <w:rFonts w:ascii="Symbol" w:hAnsi="Symbol"/>
    </w:rPr>
  </w:style>
  <w:style w:type="character" w:styleId="786">
    <w:name w:val="WW8Num21z0"/>
    <w:next w:val="786"/>
    <w:link w:val="715"/>
    <w:rPr>
      <w:rFonts w:ascii="Symbol" w:hAnsi="Symbol"/>
    </w:rPr>
  </w:style>
  <w:style w:type="character" w:styleId="787">
    <w:name w:val="WW8Num22z0"/>
    <w:next w:val="787"/>
    <w:link w:val="715"/>
    <w:rPr>
      <w:rFonts w:ascii="Symbol" w:hAnsi="Symbol"/>
    </w:rPr>
  </w:style>
  <w:style w:type="character" w:styleId="788">
    <w:name w:val="WW8Num23z1"/>
    <w:next w:val="788"/>
    <w:link w:val="715"/>
    <w:rPr>
      <w:rFonts w:ascii="Courier New" w:hAnsi="Courier New" w:cs="Courier New"/>
    </w:rPr>
  </w:style>
  <w:style w:type="character" w:styleId="789">
    <w:name w:val="WW8Num23z2"/>
    <w:next w:val="789"/>
    <w:link w:val="715"/>
    <w:rPr>
      <w:rFonts w:ascii="Wingdings" w:hAnsi="Wingdings"/>
    </w:rPr>
  </w:style>
  <w:style w:type="character" w:styleId="790">
    <w:name w:val="WW8Num23z3"/>
    <w:next w:val="790"/>
    <w:link w:val="715"/>
    <w:rPr>
      <w:rFonts w:ascii="Symbol" w:hAnsi="Symbol"/>
    </w:rPr>
  </w:style>
  <w:style w:type="character" w:styleId="791">
    <w:name w:val="WW8Num26z0"/>
    <w:next w:val="791"/>
    <w:link w:val="715"/>
    <w:rPr>
      <w:rFonts w:ascii="Times New Roman" w:hAnsi="Times New Roman" w:cs="Times New Roman"/>
    </w:rPr>
  </w:style>
  <w:style w:type="character" w:styleId="792">
    <w:name w:val="WW8Num26z1"/>
    <w:next w:val="792"/>
    <w:link w:val="715"/>
    <w:rPr>
      <w:rFonts w:ascii="Courier New" w:hAnsi="Courier New" w:cs="Courier New"/>
    </w:rPr>
  </w:style>
  <w:style w:type="character" w:styleId="793">
    <w:name w:val="WW8Num26z2"/>
    <w:next w:val="793"/>
    <w:link w:val="715"/>
    <w:rPr>
      <w:rFonts w:ascii="Wingdings" w:hAnsi="Wingdings"/>
    </w:rPr>
  </w:style>
  <w:style w:type="character" w:styleId="794">
    <w:name w:val="WW8Num28z0"/>
    <w:next w:val="794"/>
    <w:link w:val="715"/>
    <w:rPr>
      <w:b/>
      <w:i/>
      <w:sz w:val="24"/>
    </w:rPr>
  </w:style>
  <w:style w:type="character" w:styleId="795">
    <w:name w:val="WW8Num29z0"/>
    <w:next w:val="795"/>
    <w:link w:val="715"/>
    <w:rPr>
      <w:rFonts w:ascii="Wingdings" w:hAnsi="Wingdings"/>
    </w:rPr>
  </w:style>
  <w:style w:type="character" w:styleId="796">
    <w:name w:val="WW8Num29z1"/>
    <w:next w:val="796"/>
    <w:link w:val="715"/>
    <w:rPr>
      <w:rFonts w:ascii="Courier New" w:hAnsi="Courier New" w:cs="Courier New"/>
    </w:rPr>
  </w:style>
  <w:style w:type="character" w:styleId="797">
    <w:name w:val="WW8Num29z2"/>
    <w:next w:val="797"/>
    <w:link w:val="715"/>
    <w:rPr>
      <w:rFonts w:ascii="Times New Roman" w:hAnsi="Times New Roman"/>
    </w:rPr>
  </w:style>
  <w:style w:type="character" w:styleId="798">
    <w:name w:val="Основной шрифт абзаца5"/>
    <w:next w:val="798"/>
    <w:link w:val="715"/>
  </w:style>
  <w:style w:type="character" w:styleId="799">
    <w:name w:val="WW8Num4z0"/>
    <w:next w:val="799"/>
    <w:link w:val="715"/>
    <w:rPr>
      <w:b/>
      <w:bCs/>
    </w:rPr>
  </w:style>
  <w:style w:type="character" w:styleId="800">
    <w:name w:val="WW8Num5z1"/>
    <w:next w:val="800"/>
    <w:link w:val="715"/>
    <w:rPr>
      <w:rFonts w:ascii="Wingdings" w:hAnsi="Wingdings"/>
      <w:sz w:val="24"/>
      <w:szCs w:val="24"/>
    </w:rPr>
  </w:style>
  <w:style w:type="character" w:styleId="801">
    <w:name w:val="WW8Num5z2"/>
    <w:next w:val="801"/>
    <w:link w:val="715"/>
    <w:rPr>
      <w:rFonts w:ascii="Wingdings" w:hAnsi="Wingdings"/>
    </w:rPr>
  </w:style>
  <w:style w:type="character" w:styleId="802">
    <w:name w:val="WW8Num5z3"/>
    <w:next w:val="802"/>
    <w:link w:val="715"/>
    <w:rPr>
      <w:rFonts w:ascii="Symbol" w:hAnsi="Symbol"/>
    </w:rPr>
  </w:style>
  <w:style w:type="character" w:styleId="803">
    <w:name w:val="WW8Num6z1"/>
    <w:next w:val="803"/>
    <w:link w:val="715"/>
    <w:rPr>
      <w:rFonts w:ascii="Courier New" w:hAnsi="Courier New" w:cs="Courier New"/>
    </w:rPr>
  </w:style>
  <w:style w:type="character" w:styleId="804">
    <w:name w:val="WW8Num6z2"/>
    <w:next w:val="804"/>
    <w:link w:val="715"/>
    <w:rPr>
      <w:rFonts w:ascii="Wingdings" w:hAnsi="Wingdings"/>
    </w:rPr>
  </w:style>
  <w:style w:type="character" w:styleId="805">
    <w:name w:val="WW8Num6z3"/>
    <w:next w:val="805"/>
    <w:link w:val="715"/>
    <w:rPr>
      <w:rFonts w:ascii="Symbol" w:hAnsi="Symbol"/>
    </w:rPr>
  </w:style>
  <w:style w:type="character" w:styleId="806">
    <w:name w:val="WW-Absatz-Standardschriftart1111111"/>
    <w:next w:val="806"/>
    <w:link w:val="715"/>
  </w:style>
  <w:style w:type="character" w:styleId="807">
    <w:name w:val="Основной шрифт абзаца4"/>
    <w:next w:val="807"/>
    <w:link w:val="715"/>
  </w:style>
  <w:style w:type="character" w:styleId="808">
    <w:name w:val="WW8Num8z3"/>
    <w:next w:val="808"/>
    <w:link w:val="715"/>
    <w:rPr>
      <w:rFonts w:ascii="Symbol" w:hAnsi="Symbol"/>
    </w:rPr>
  </w:style>
  <w:style w:type="character" w:styleId="809">
    <w:name w:val="WW8Num9z2"/>
    <w:next w:val="809"/>
    <w:link w:val="715"/>
    <w:rPr>
      <w:rFonts w:ascii="Wingdings" w:hAnsi="Wingdings"/>
    </w:rPr>
  </w:style>
  <w:style w:type="character" w:styleId="810">
    <w:name w:val="WW8Num10z2"/>
    <w:next w:val="810"/>
    <w:link w:val="715"/>
    <w:rPr>
      <w:rFonts w:ascii="Wingdings" w:hAnsi="Wingdings"/>
    </w:rPr>
  </w:style>
  <w:style w:type="character" w:styleId="811">
    <w:name w:val="WW8Num13z2"/>
    <w:next w:val="811"/>
    <w:link w:val="715"/>
    <w:rPr>
      <w:rFonts w:ascii="Wingdings" w:hAnsi="Wingdings"/>
    </w:rPr>
  </w:style>
  <w:style w:type="character" w:styleId="812">
    <w:name w:val="Основной шрифт абзаца3"/>
    <w:next w:val="812"/>
    <w:link w:val="715"/>
  </w:style>
  <w:style w:type="character" w:styleId="813">
    <w:name w:val="Основной шрифт абзаца2"/>
    <w:next w:val="813"/>
    <w:link w:val="715"/>
  </w:style>
  <w:style w:type="character" w:styleId="814">
    <w:name w:val="WW-Absatz-Standardschriftart11111111"/>
    <w:next w:val="814"/>
    <w:link w:val="715"/>
  </w:style>
  <w:style w:type="character" w:styleId="815">
    <w:name w:val="WW8Num1z4"/>
    <w:next w:val="815"/>
    <w:link w:val="715"/>
    <w:rPr>
      <w:rFonts w:ascii="Courier New" w:hAnsi="Courier New" w:cs="Courier New"/>
    </w:rPr>
  </w:style>
  <w:style w:type="character" w:styleId="816">
    <w:name w:val="WW8Num17z1"/>
    <w:next w:val="816"/>
    <w:link w:val="715"/>
    <w:rPr>
      <w:rFonts w:ascii="OpenSymbol" w:hAnsi="OpenSymbol" w:cs="OpenSymbol"/>
    </w:rPr>
  </w:style>
  <w:style w:type="character" w:styleId="817">
    <w:name w:val="WW8Num18z1"/>
    <w:next w:val="817"/>
    <w:link w:val="715"/>
    <w:rPr>
      <w:rFonts w:ascii="OpenSymbol" w:hAnsi="OpenSymbol" w:cs="OpenSymbol"/>
    </w:rPr>
  </w:style>
  <w:style w:type="character" w:styleId="818">
    <w:name w:val="WW8Num19z1"/>
    <w:next w:val="818"/>
    <w:link w:val="715"/>
    <w:rPr>
      <w:rFonts w:ascii="OpenSymbol" w:hAnsi="OpenSymbol" w:cs="OpenSymbol"/>
    </w:rPr>
  </w:style>
  <w:style w:type="character" w:styleId="819">
    <w:name w:val="WW8Num26z3"/>
    <w:next w:val="819"/>
    <w:link w:val="715"/>
    <w:rPr>
      <w:rFonts w:ascii="Symbol" w:hAnsi="Symbol"/>
    </w:rPr>
  </w:style>
  <w:style w:type="character" w:styleId="820">
    <w:name w:val="WW8Num27z0"/>
    <w:next w:val="820"/>
    <w:link w:val="715"/>
    <w:rPr>
      <w:caps w:val="0"/>
      <w:smallCaps w:val="0"/>
    </w:rPr>
  </w:style>
  <w:style w:type="character" w:styleId="821">
    <w:name w:val="WW8Num27z1"/>
    <w:next w:val="821"/>
    <w:link w:val="715"/>
    <w:rPr>
      <w:b/>
      <w:i w:val="0"/>
      <w:color w:val="000000"/>
    </w:rPr>
  </w:style>
  <w:style w:type="character" w:styleId="822">
    <w:name w:val="WW8Num27z2"/>
    <w:next w:val="822"/>
    <w:link w:val="715"/>
    <w:rPr>
      <w:b/>
    </w:rPr>
  </w:style>
  <w:style w:type="character" w:styleId="823">
    <w:name w:val="WW8Num29z3"/>
    <w:next w:val="823"/>
    <w:link w:val="715"/>
    <w:rPr>
      <w:rFonts w:ascii="Symbol" w:hAnsi="Symbol"/>
    </w:rPr>
  </w:style>
  <w:style w:type="character" w:styleId="824">
    <w:name w:val="Основной шрифт абзаца1"/>
    <w:next w:val="824"/>
    <w:link w:val="715"/>
  </w:style>
  <w:style w:type="character" w:styleId="825">
    <w:name w:val="Гиперссылка"/>
    <w:next w:val="825"/>
    <w:link w:val="715"/>
    <w:uiPriority w:val="99"/>
    <w:rPr>
      <w:rFonts w:ascii="Arial" w:hAnsi="Arial" w:cs="Arial"/>
      <w:strike w:val="0"/>
      <w:color w:val="ff6500"/>
      <w:sz w:val="18"/>
      <w:szCs w:val="18"/>
      <w:u w:val="none"/>
    </w:rPr>
  </w:style>
  <w:style w:type="character" w:styleId="826">
    <w:name w:val="Номер страницы"/>
    <w:basedOn w:val="824"/>
    <w:next w:val="826"/>
    <w:link w:val="715"/>
  </w:style>
  <w:style w:type="character" w:styleId="827">
    <w:name w:val="Body1 Char"/>
    <w:next w:val="827"/>
    <w:link w:val="715"/>
    <w:rPr>
      <w:bCs/>
      <w:color w:val="000000"/>
      <w:sz w:val="24"/>
      <w:szCs w:val="24"/>
    </w:rPr>
  </w:style>
  <w:style w:type="character" w:styleId="828">
    <w:name w:val=" Знак Знак4"/>
    <w:next w:val="828"/>
    <w:link w:val="715"/>
    <w:rPr>
      <w:rFonts w:ascii="Arial" w:hAnsi="Arial"/>
      <w:sz w:val="18"/>
    </w:rPr>
  </w:style>
  <w:style w:type="character" w:styleId="829">
    <w:name w:val=" Знак Знак3"/>
    <w:next w:val="829"/>
    <w:link w:val="715"/>
    <w:rPr>
      <w:color w:val="000000"/>
      <w:sz w:val="24"/>
      <w:szCs w:val="24"/>
    </w:rPr>
  </w:style>
  <w:style w:type="character" w:styleId="830">
    <w:name w:val=" Знак Знак2"/>
    <w:next w:val="830"/>
    <w:link w:val="715"/>
    <w:rPr>
      <w:color w:val="000000"/>
      <w:sz w:val="24"/>
      <w:szCs w:val="24"/>
    </w:rPr>
  </w:style>
  <w:style w:type="character" w:styleId="831">
    <w:name w:val="Строгий"/>
    <w:next w:val="831"/>
    <w:link w:val="715"/>
    <w:qFormat/>
    <w:rPr>
      <w:b/>
      <w:bCs/>
    </w:rPr>
  </w:style>
  <w:style w:type="character" w:styleId="832">
    <w:name w:val="Знак примечания1"/>
    <w:next w:val="832"/>
    <w:link w:val="715"/>
    <w:rPr>
      <w:sz w:val="16"/>
      <w:szCs w:val="16"/>
    </w:rPr>
  </w:style>
  <w:style w:type="character" w:styleId="833">
    <w:name w:val=" Знак Знак1"/>
    <w:basedOn w:val="824"/>
    <w:next w:val="833"/>
    <w:link w:val="715"/>
  </w:style>
  <w:style w:type="character" w:styleId="834">
    <w:name w:val=" Знак Знак"/>
    <w:next w:val="834"/>
    <w:link w:val="715"/>
    <w:rPr>
      <w:rFonts w:ascii="Tahoma" w:hAnsi="Tahoma" w:cs="Tahoma"/>
      <w:color w:val="000000"/>
      <w:sz w:val="16"/>
      <w:szCs w:val="16"/>
    </w:rPr>
  </w:style>
  <w:style w:type="character" w:styleId="835">
    <w:name w:val="Символ нумерации"/>
    <w:next w:val="835"/>
    <w:link w:val="715"/>
    <w:rPr>
      <w:b/>
      <w:bCs/>
    </w:rPr>
  </w:style>
  <w:style w:type="character" w:styleId="836">
    <w:name w:val="Символы концевой сноски"/>
    <w:next w:val="836"/>
    <w:link w:val="715"/>
  </w:style>
  <w:style w:type="character" w:styleId="837">
    <w:name w:val="Знак концевой сноски1"/>
    <w:next w:val="837"/>
    <w:link w:val="715"/>
    <w:rPr>
      <w:vertAlign w:val="superscript"/>
    </w:rPr>
  </w:style>
  <w:style w:type="character" w:styleId="838">
    <w:name w:val="Символ сноски"/>
    <w:next w:val="838"/>
    <w:link w:val="715"/>
  </w:style>
  <w:style w:type="character" w:styleId="839">
    <w:name w:val="Знак сноски1"/>
    <w:next w:val="839"/>
    <w:link w:val="715"/>
    <w:rPr>
      <w:vertAlign w:val="superscript"/>
    </w:rPr>
  </w:style>
  <w:style w:type="character" w:styleId="840">
    <w:name w:val=" Знак Знак5"/>
    <w:next w:val="840"/>
    <w:link w:val="715"/>
    <w:rPr>
      <w:color w:val="000000"/>
      <w:sz w:val="24"/>
      <w:szCs w:val="24"/>
    </w:rPr>
  </w:style>
  <w:style w:type="character" w:styleId="841">
    <w:name w:val="Знак сноски2"/>
    <w:next w:val="841"/>
    <w:link w:val="715"/>
    <w:rPr>
      <w:vertAlign w:val="superscript"/>
    </w:rPr>
  </w:style>
  <w:style w:type="character" w:styleId="842">
    <w:name w:val="Знак концевой сноски2"/>
    <w:next w:val="842"/>
    <w:link w:val="715"/>
    <w:rPr>
      <w:vertAlign w:val="superscript"/>
    </w:rPr>
  </w:style>
  <w:style w:type="character" w:styleId="843">
    <w:name w:val="Знак сноски3"/>
    <w:next w:val="843"/>
    <w:link w:val="715"/>
    <w:rPr>
      <w:vertAlign w:val="superscript"/>
    </w:rPr>
  </w:style>
  <w:style w:type="character" w:styleId="844">
    <w:name w:val="Знак концевой сноски3"/>
    <w:next w:val="844"/>
    <w:link w:val="715"/>
    <w:rPr>
      <w:vertAlign w:val="superscript"/>
    </w:rPr>
  </w:style>
  <w:style w:type="character" w:styleId="845">
    <w:name w:val="Знак сноски4"/>
    <w:next w:val="845"/>
    <w:link w:val="715"/>
    <w:rPr>
      <w:vertAlign w:val="superscript"/>
    </w:rPr>
  </w:style>
  <w:style w:type="character" w:styleId="846">
    <w:name w:val="Знак концевой сноски4"/>
    <w:next w:val="846"/>
    <w:link w:val="715"/>
    <w:rPr>
      <w:vertAlign w:val="superscript"/>
    </w:rPr>
  </w:style>
  <w:style w:type="character" w:styleId="847">
    <w:name w:val="Знак сноски5"/>
    <w:next w:val="847"/>
    <w:link w:val="715"/>
    <w:rPr>
      <w:vertAlign w:val="superscript"/>
    </w:rPr>
  </w:style>
  <w:style w:type="character" w:styleId="848">
    <w:name w:val="Знак концевой сноски5"/>
    <w:next w:val="848"/>
    <w:link w:val="715"/>
    <w:rPr>
      <w:vertAlign w:val="superscript"/>
    </w:rPr>
  </w:style>
  <w:style w:type="character" w:styleId="849">
    <w:name w:val="Знак сноски6"/>
    <w:next w:val="849"/>
    <w:link w:val="715"/>
    <w:rPr>
      <w:vertAlign w:val="superscript"/>
    </w:rPr>
  </w:style>
  <w:style w:type="character" w:styleId="850">
    <w:name w:val="Знак концевой сноски6"/>
    <w:next w:val="850"/>
    <w:link w:val="715"/>
    <w:rPr>
      <w:vertAlign w:val="superscript"/>
    </w:rPr>
  </w:style>
  <w:style w:type="character" w:styleId="851">
    <w:name w:val="Знак сноски7"/>
    <w:next w:val="851"/>
    <w:link w:val="715"/>
    <w:rPr>
      <w:vertAlign w:val="superscript"/>
    </w:rPr>
  </w:style>
  <w:style w:type="character" w:styleId="852">
    <w:name w:val="Знак концевой сноски7"/>
    <w:next w:val="852"/>
    <w:link w:val="715"/>
    <w:rPr>
      <w:vertAlign w:val="superscript"/>
    </w:rPr>
  </w:style>
  <w:style w:type="character" w:styleId="853">
    <w:name w:val="Знак сноски8"/>
    <w:next w:val="853"/>
    <w:link w:val="715"/>
    <w:rPr>
      <w:vertAlign w:val="superscript"/>
    </w:rPr>
  </w:style>
  <w:style w:type="character" w:styleId="854">
    <w:name w:val="Знак концевой сноски8"/>
    <w:next w:val="854"/>
    <w:link w:val="715"/>
    <w:rPr>
      <w:vertAlign w:val="superscript"/>
    </w:rPr>
  </w:style>
  <w:style w:type="character" w:styleId="855">
    <w:name w:val="Знак сноски9"/>
    <w:next w:val="855"/>
    <w:link w:val="715"/>
    <w:rPr>
      <w:vertAlign w:val="superscript"/>
    </w:rPr>
  </w:style>
  <w:style w:type="character" w:styleId="856">
    <w:name w:val="Знак концевой сноски9"/>
    <w:next w:val="856"/>
    <w:link w:val="715"/>
    <w:rPr>
      <w:vertAlign w:val="superscript"/>
    </w:rPr>
  </w:style>
  <w:style w:type="character" w:styleId="857">
    <w:name w:val="Знак сноски10"/>
    <w:next w:val="857"/>
    <w:link w:val="715"/>
    <w:rPr>
      <w:vertAlign w:val="superscript"/>
    </w:rPr>
  </w:style>
  <w:style w:type="character" w:styleId="858">
    <w:name w:val="Знак концевой сноски10"/>
    <w:next w:val="858"/>
    <w:link w:val="715"/>
    <w:rPr>
      <w:vertAlign w:val="superscript"/>
    </w:rPr>
  </w:style>
  <w:style w:type="character" w:styleId="859">
    <w:name w:val="Знак сноски11"/>
    <w:next w:val="859"/>
    <w:link w:val="715"/>
    <w:rPr>
      <w:vertAlign w:val="superscript"/>
    </w:rPr>
  </w:style>
  <w:style w:type="character" w:styleId="860">
    <w:name w:val="Знак концевой сноски11"/>
    <w:next w:val="860"/>
    <w:link w:val="715"/>
    <w:rPr>
      <w:vertAlign w:val="superscript"/>
    </w:rPr>
  </w:style>
  <w:style w:type="character" w:styleId="861">
    <w:name w:val="Знак сноски"/>
    <w:next w:val="861"/>
    <w:link w:val="715"/>
    <w:rPr>
      <w:vertAlign w:val="superscript"/>
    </w:rPr>
  </w:style>
  <w:style w:type="character" w:styleId="862">
    <w:name w:val="Знак концевой сноски"/>
    <w:next w:val="862"/>
    <w:link w:val="715"/>
    <w:rPr>
      <w:vertAlign w:val="superscript"/>
    </w:rPr>
  </w:style>
  <w:style w:type="paragraph" w:styleId="864">
    <w:name w:val="Основной текст"/>
    <w:basedOn w:val="715"/>
    <w:next w:val="864"/>
    <w:link w:val="715"/>
    <w:pPr>
      <w:spacing w:before="0" w:after="120"/>
    </w:pPr>
  </w:style>
  <w:style w:type="paragraph" w:styleId="865">
    <w:name w:val="Список"/>
    <w:basedOn w:val="864"/>
    <w:next w:val="865"/>
    <w:link w:val="715"/>
    <w:rPr>
      <w:rFonts w:cs="Tahoma"/>
    </w:rPr>
  </w:style>
  <w:style w:type="paragraph" w:styleId="866">
    <w:name w:val="Название17"/>
    <w:basedOn w:val="715"/>
    <w:next w:val="866"/>
    <w:link w:val="715"/>
    <w:pPr>
      <w:spacing w:before="120" w:after="120"/>
      <w:suppressLineNumbers/>
    </w:pPr>
    <w:rPr>
      <w:rFonts w:cs="Tahoma"/>
      <w:i/>
      <w:iCs/>
      <w:sz w:val="24"/>
      <w:szCs w:val="24"/>
    </w:rPr>
  </w:style>
  <w:style w:type="paragraph" w:styleId="867">
    <w:name w:val="Указатель17"/>
    <w:basedOn w:val="715"/>
    <w:next w:val="867"/>
    <w:link w:val="715"/>
    <w:pPr>
      <w:suppressLineNumbers/>
    </w:pPr>
    <w:rPr>
      <w:rFonts w:cs="Tahoma"/>
    </w:rPr>
  </w:style>
  <w:style w:type="paragraph" w:styleId="868">
    <w:name w:val="Название16"/>
    <w:basedOn w:val="715"/>
    <w:next w:val="868"/>
    <w:link w:val="715"/>
    <w:pPr>
      <w:spacing w:before="120" w:after="120"/>
      <w:suppressLineNumbers/>
    </w:pPr>
    <w:rPr>
      <w:rFonts w:cs="Tahoma"/>
      <w:i/>
      <w:iCs/>
      <w:sz w:val="24"/>
      <w:szCs w:val="24"/>
    </w:rPr>
  </w:style>
  <w:style w:type="paragraph" w:styleId="869">
    <w:name w:val="Указатель16"/>
    <w:basedOn w:val="715"/>
    <w:next w:val="869"/>
    <w:link w:val="715"/>
    <w:pPr>
      <w:suppressLineNumbers/>
    </w:pPr>
    <w:rPr>
      <w:rFonts w:cs="Tahoma"/>
    </w:rPr>
  </w:style>
  <w:style w:type="paragraph" w:styleId="870">
    <w:name w:val="Название15"/>
    <w:basedOn w:val="715"/>
    <w:next w:val="870"/>
    <w:link w:val="715"/>
    <w:pPr>
      <w:spacing w:before="120" w:after="120"/>
      <w:suppressLineNumbers/>
    </w:pPr>
    <w:rPr>
      <w:rFonts w:cs="Tahoma"/>
      <w:i/>
      <w:iCs/>
      <w:sz w:val="24"/>
      <w:szCs w:val="24"/>
    </w:rPr>
  </w:style>
  <w:style w:type="paragraph" w:styleId="871">
    <w:name w:val="Указатель15"/>
    <w:basedOn w:val="715"/>
    <w:next w:val="871"/>
    <w:link w:val="715"/>
    <w:pPr>
      <w:suppressLineNumbers/>
    </w:pPr>
    <w:rPr>
      <w:rFonts w:cs="Tahoma"/>
    </w:rPr>
  </w:style>
  <w:style w:type="paragraph" w:styleId="872">
    <w:name w:val="Название14"/>
    <w:basedOn w:val="715"/>
    <w:next w:val="872"/>
    <w:link w:val="715"/>
    <w:pPr>
      <w:spacing w:before="120" w:after="120"/>
      <w:suppressLineNumbers/>
    </w:pPr>
    <w:rPr>
      <w:rFonts w:cs="Tahoma"/>
      <w:i/>
      <w:iCs/>
      <w:sz w:val="24"/>
      <w:szCs w:val="24"/>
    </w:rPr>
  </w:style>
  <w:style w:type="paragraph" w:styleId="873">
    <w:name w:val="Указатель14"/>
    <w:basedOn w:val="715"/>
    <w:next w:val="873"/>
    <w:link w:val="715"/>
    <w:pPr>
      <w:suppressLineNumbers/>
    </w:pPr>
    <w:rPr>
      <w:rFonts w:cs="Tahoma"/>
    </w:rPr>
  </w:style>
  <w:style w:type="paragraph" w:styleId="874">
    <w:name w:val="Название13"/>
    <w:basedOn w:val="715"/>
    <w:next w:val="874"/>
    <w:link w:val="715"/>
    <w:pPr>
      <w:spacing w:before="120" w:after="120"/>
      <w:suppressLineNumbers/>
    </w:pPr>
    <w:rPr>
      <w:rFonts w:cs="Tahoma"/>
      <w:i/>
      <w:iCs/>
      <w:sz w:val="24"/>
      <w:szCs w:val="24"/>
    </w:rPr>
  </w:style>
  <w:style w:type="paragraph" w:styleId="875">
    <w:name w:val="Указатель13"/>
    <w:basedOn w:val="715"/>
    <w:next w:val="875"/>
    <w:link w:val="715"/>
    <w:pPr>
      <w:suppressLineNumbers/>
    </w:pPr>
    <w:rPr>
      <w:rFonts w:cs="Tahoma"/>
    </w:rPr>
  </w:style>
  <w:style w:type="paragraph" w:styleId="876">
    <w:name w:val="Название12"/>
    <w:basedOn w:val="715"/>
    <w:next w:val="876"/>
    <w:link w:val="715"/>
    <w:pPr>
      <w:spacing w:before="120" w:after="120"/>
      <w:suppressLineNumbers/>
    </w:pPr>
    <w:rPr>
      <w:rFonts w:cs="Tahoma"/>
      <w:i/>
      <w:iCs/>
      <w:sz w:val="24"/>
      <w:szCs w:val="24"/>
    </w:rPr>
  </w:style>
  <w:style w:type="paragraph" w:styleId="877">
    <w:name w:val="Указатель12"/>
    <w:basedOn w:val="715"/>
    <w:next w:val="877"/>
    <w:link w:val="715"/>
    <w:pPr>
      <w:suppressLineNumbers/>
    </w:pPr>
    <w:rPr>
      <w:rFonts w:cs="Tahoma"/>
    </w:rPr>
  </w:style>
  <w:style w:type="paragraph" w:styleId="878">
    <w:name w:val="Название11"/>
    <w:basedOn w:val="715"/>
    <w:next w:val="878"/>
    <w:link w:val="715"/>
    <w:pPr>
      <w:spacing w:before="120" w:after="120"/>
      <w:suppressLineNumbers/>
    </w:pPr>
    <w:rPr>
      <w:rFonts w:cs="Tahoma"/>
      <w:i/>
      <w:iCs/>
      <w:sz w:val="24"/>
      <w:szCs w:val="24"/>
    </w:rPr>
  </w:style>
  <w:style w:type="paragraph" w:styleId="879">
    <w:name w:val="Указатель11"/>
    <w:basedOn w:val="715"/>
    <w:next w:val="879"/>
    <w:link w:val="715"/>
    <w:pPr>
      <w:suppressLineNumbers/>
    </w:pPr>
    <w:rPr>
      <w:rFonts w:cs="Tahoma"/>
    </w:rPr>
  </w:style>
  <w:style w:type="paragraph" w:styleId="880">
    <w:name w:val="Название10"/>
    <w:basedOn w:val="715"/>
    <w:next w:val="880"/>
    <w:link w:val="715"/>
    <w:pPr>
      <w:spacing w:before="120" w:after="120"/>
      <w:suppressLineNumbers/>
    </w:pPr>
    <w:rPr>
      <w:rFonts w:cs="Tahoma"/>
      <w:i/>
      <w:iCs/>
      <w:sz w:val="24"/>
      <w:szCs w:val="24"/>
    </w:rPr>
  </w:style>
  <w:style w:type="paragraph" w:styleId="881">
    <w:name w:val="Указатель10"/>
    <w:basedOn w:val="715"/>
    <w:next w:val="881"/>
    <w:link w:val="715"/>
    <w:pPr>
      <w:suppressLineNumbers/>
    </w:pPr>
    <w:rPr>
      <w:rFonts w:cs="Tahoma"/>
    </w:rPr>
  </w:style>
  <w:style w:type="paragraph" w:styleId="882">
    <w:name w:val="Название9"/>
    <w:basedOn w:val="715"/>
    <w:next w:val="882"/>
    <w:link w:val="715"/>
    <w:pPr>
      <w:spacing w:before="120" w:after="120"/>
      <w:suppressLineNumbers/>
    </w:pPr>
    <w:rPr>
      <w:rFonts w:cs="Tahoma"/>
      <w:i/>
      <w:iCs/>
      <w:sz w:val="24"/>
      <w:szCs w:val="24"/>
    </w:rPr>
  </w:style>
  <w:style w:type="paragraph" w:styleId="883">
    <w:name w:val="Указатель9"/>
    <w:basedOn w:val="715"/>
    <w:next w:val="883"/>
    <w:link w:val="715"/>
    <w:pPr>
      <w:suppressLineNumbers/>
    </w:pPr>
    <w:rPr>
      <w:rFonts w:cs="Tahoma"/>
    </w:rPr>
  </w:style>
  <w:style w:type="paragraph" w:styleId="884">
    <w:name w:val="Название8"/>
    <w:basedOn w:val="715"/>
    <w:next w:val="884"/>
    <w:link w:val="715"/>
    <w:pPr>
      <w:spacing w:before="120" w:after="120"/>
      <w:suppressLineNumbers/>
    </w:pPr>
    <w:rPr>
      <w:rFonts w:cs="Tahoma"/>
      <w:i/>
      <w:iCs/>
      <w:sz w:val="24"/>
      <w:szCs w:val="24"/>
    </w:rPr>
  </w:style>
  <w:style w:type="paragraph" w:styleId="885">
    <w:name w:val="Указатель8"/>
    <w:basedOn w:val="715"/>
    <w:next w:val="885"/>
    <w:link w:val="715"/>
    <w:pPr>
      <w:suppressLineNumbers/>
    </w:pPr>
    <w:rPr>
      <w:rFonts w:cs="Tahoma"/>
    </w:rPr>
  </w:style>
  <w:style w:type="paragraph" w:styleId="886">
    <w:name w:val="Название7"/>
    <w:basedOn w:val="715"/>
    <w:next w:val="886"/>
    <w:link w:val="715"/>
    <w:pPr>
      <w:spacing w:before="120" w:after="120"/>
      <w:suppressLineNumbers/>
    </w:pPr>
    <w:rPr>
      <w:rFonts w:cs="Tahoma"/>
      <w:i/>
      <w:iCs/>
      <w:sz w:val="24"/>
      <w:szCs w:val="24"/>
    </w:rPr>
  </w:style>
  <w:style w:type="paragraph" w:styleId="887">
    <w:name w:val="Указатель7"/>
    <w:basedOn w:val="715"/>
    <w:next w:val="887"/>
    <w:link w:val="715"/>
    <w:pPr>
      <w:suppressLineNumbers/>
    </w:pPr>
    <w:rPr>
      <w:rFonts w:cs="Tahoma"/>
    </w:rPr>
  </w:style>
  <w:style w:type="paragraph" w:styleId="888">
    <w:name w:val="Название6"/>
    <w:basedOn w:val="715"/>
    <w:next w:val="888"/>
    <w:link w:val="715"/>
    <w:pPr>
      <w:spacing w:before="120" w:after="120"/>
      <w:suppressLineNumbers/>
    </w:pPr>
    <w:rPr>
      <w:rFonts w:cs="Tahoma"/>
      <w:i/>
      <w:iCs/>
      <w:sz w:val="24"/>
      <w:szCs w:val="24"/>
    </w:rPr>
  </w:style>
  <w:style w:type="paragraph" w:styleId="889">
    <w:name w:val="Указатель6"/>
    <w:basedOn w:val="715"/>
    <w:next w:val="889"/>
    <w:link w:val="715"/>
    <w:pPr>
      <w:suppressLineNumbers/>
    </w:pPr>
    <w:rPr>
      <w:rFonts w:cs="Tahoma"/>
    </w:rPr>
  </w:style>
  <w:style w:type="paragraph" w:styleId="890">
    <w:name w:val="Название"/>
    <w:next w:val="891"/>
    <w:link w:val="715"/>
    <w:qFormat/>
  </w:style>
  <w:style w:type="paragraph" w:styleId="891">
    <w:name w:val="Подзаголовок"/>
    <w:basedOn w:val="890"/>
    <w:next w:val="864"/>
    <w:link w:val="976"/>
    <w:qFormat/>
    <w:pPr>
      <w:jc w:val="center"/>
    </w:pPr>
    <w:rPr>
      <w:rFonts w:cs="Times New Roman"/>
      <w:i/>
      <w:iCs/>
      <w:lang w:val="en-US"/>
    </w:rPr>
  </w:style>
  <w:style w:type="paragraph" w:styleId="892">
    <w:name w:val="Название5"/>
    <w:basedOn w:val="715"/>
    <w:next w:val="892"/>
    <w:link w:val="715"/>
    <w:pPr>
      <w:spacing w:before="120" w:after="120"/>
      <w:suppressLineNumbers/>
    </w:pPr>
    <w:rPr>
      <w:rFonts w:cs="Tahoma"/>
      <w:i/>
      <w:iCs/>
      <w:sz w:val="24"/>
      <w:szCs w:val="24"/>
    </w:rPr>
  </w:style>
  <w:style w:type="paragraph" w:styleId="893">
    <w:name w:val="Указатель5"/>
    <w:basedOn w:val="715"/>
    <w:next w:val="893"/>
    <w:link w:val="715"/>
    <w:pPr>
      <w:suppressLineNumbers/>
    </w:pPr>
    <w:rPr>
      <w:rFonts w:cs="Tahoma"/>
    </w:rPr>
  </w:style>
  <w:style w:type="paragraph" w:styleId="894">
    <w:name w:val="Название4"/>
    <w:basedOn w:val="715"/>
    <w:next w:val="894"/>
    <w:link w:val="715"/>
    <w:pPr>
      <w:spacing w:before="120" w:after="120"/>
      <w:suppressLineNumbers/>
    </w:pPr>
    <w:rPr>
      <w:rFonts w:cs="Tahoma"/>
      <w:i/>
      <w:iCs/>
      <w:sz w:val="24"/>
      <w:szCs w:val="24"/>
    </w:rPr>
  </w:style>
  <w:style w:type="paragraph" w:styleId="895">
    <w:name w:val="Указатель4"/>
    <w:basedOn w:val="715"/>
    <w:next w:val="895"/>
    <w:link w:val="715"/>
    <w:pPr>
      <w:suppressLineNumbers/>
    </w:pPr>
    <w:rPr>
      <w:rFonts w:cs="Tahoma"/>
    </w:rPr>
  </w:style>
  <w:style w:type="paragraph" w:styleId="896">
    <w:name w:val="Название3"/>
    <w:basedOn w:val="715"/>
    <w:next w:val="896"/>
    <w:link w:val="715"/>
    <w:pPr>
      <w:spacing w:before="120" w:after="120"/>
      <w:suppressLineNumbers/>
    </w:pPr>
    <w:rPr>
      <w:rFonts w:cs="Tahoma"/>
      <w:i/>
      <w:iCs/>
      <w:sz w:val="24"/>
      <w:szCs w:val="24"/>
    </w:rPr>
  </w:style>
  <w:style w:type="paragraph" w:styleId="897">
    <w:name w:val="Указатель3"/>
    <w:basedOn w:val="715"/>
    <w:next w:val="897"/>
    <w:link w:val="715"/>
    <w:pPr>
      <w:suppressLineNumbers/>
    </w:pPr>
    <w:rPr>
      <w:rFonts w:cs="Tahoma"/>
    </w:rPr>
  </w:style>
  <w:style w:type="paragraph" w:styleId="898">
    <w:name w:val="Название2"/>
    <w:basedOn w:val="715"/>
    <w:next w:val="898"/>
    <w:link w:val="715"/>
    <w:pPr>
      <w:spacing w:before="120" w:after="120"/>
      <w:suppressLineNumbers/>
    </w:pPr>
    <w:rPr>
      <w:rFonts w:cs="Tahoma"/>
      <w:i/>
      <w:iCs/>
      <w:sz w:val="24"/>
      <w:szCs w:val="24"/>
    </w:rPr>
  </w:style>
  <w:style w:type="paragraph" w:styleId="899">
    <w:name w:val="Указатель2"/>
    <w:basedOn w:val="715"/>
    <w:next w:val="899"/>
    <w:link w:val="715"/>
    <w:pPr>
      <w:suppressLineNumbers/>
    </w:pPr>
    <w:rPr>
      <w:rFonts w:cs="Tahoma"/>
    </w:rPr>
  </w:style>
  <w:style w:type="paragraph" w:styleId="900">
    <w:name w:val="Название1"/>
    <w:basedOn w:val="715"/>
    <w:next w:val="900"/>
    <w:link w:val="715"/>
    <w:qFormat/>
    <w:pPr>
      <w:spacing w:before="120" w:after="120"/>
      <w:suppressLineNumbers/>
    </w:pPr>
    <w:rPr>
      <w:rFonts w:cs="Tahoma"/>
      <w:i/>
      <w:iCs/>
      <w:sz w:val="24"/>
      <w:szCs w:val="24"/>
    </w:rPr>
  </w:style>
  <w:style w:type="paragraph" w:styleId="901">
    <w:name w:val="Указатель1"/>
    <w:basedOn w:val="715"/>
    <w:next w:val="901"/>
    <w:link w:val="715"/>
    <w:pPr>
      <w:suppressLineNumbers/>
    </w:pPr>
    <w:rPr>
      <w:rFonts w:cs="Tahoma"/>
    </w:rPr>
  </w:style>
  <w:style w:type="paragraph" w:styleId="902">
    <w:name w:val="Верхний колонтитул"/>
    <w:basedOn w:val="715"/>
    <w:next w:val="902"/>
    <w:link w:val="715"/>
    <w:uiPriority w:val="99"/>
    <w:pPr>
      <w:tabs>
        <w:tab w:val="center" w:pos="4677" w:leader="none"/>
        <w:tab w:val="right" w:pos="9355" w:leader="none"/>
      </w:tabs>
    </w:pPr>
  </w:style>
  <w:style w:type="paragraph" w:styleId="903">
    <w:name w:val="Нижний колонтитул"/>
    <w:basedOn w:val="715"/>
    <w:next w:val="903"/>
    <w:link w:val="715"/>
    <w:uiPriority w:val="99"/>
    <w:pPr>
      <w:tabs>
        <w:tab w:val="center" w:pos="4677" w:leader="none"/>
        <w:tab w:val="right" w:pos="9355" w:leader="none"/>
      </w:tabs>
    </w:pPr>
  </w:style>
  <w:style w:type="paragraph" w:styleId="904">
    <w:name w:val="Default"/>
    <w:next w:val="904"/>
    <w:link w:val="715"/>
    <w:rPr>
      <w:rFonts w:ascii="Verdana" w:hAnsi="Verdana" w:eastAsia="Arial" w:cs="Verdana"/>
      <w:color w:val="000000"/>
      <w:sz w:val="24"/>
      <w:szCs w:val="24"/>
      <w:lang w:val="ru-RU" w:eastAsia="ar-SA" w:bidi="ar-SA"/>
    </w:rPr>
  </w:style>
  <w:style w:type="paragraph" w:styleId="905">
    <w:name w:val="Body1"/>
    <w:basedOn w:val="715"/>
    <w:next w:val="905"/>
    <w:link w:val="715"/>
    <w:pPr>
      <w:numPr>
        <w:ilvl w:val="1"/>
        <w:numId w:val="1"/>
      </w:numPr>
      <w:outlineLvl w:val="1"/>
    </w:pPr>
    <w:rPr>
      <w:bCs/>
      <w:sz w:val="24"/>
      <w:szCs w:val="24"/>
      <w:lang w:val="ru-RU" w:eastAsia="ar-SA" w:bidi="ar-SA"/>
    </w:rPr>
  </w:style>
  <w:style w:type="paragraph" w:styleId="906">
    <w:name w:val="Section"/>
    <w:basedOn w:val="715"/>
    <w:next w:val="905"/>
    <w:link w:val="715"/>
    <w:pPr>
      <w:numPr>
        <w:ilvl w:val="0"/>
        <w:numId w:val="1"/>
      </w:numPr>
      <w:jc w:val="center"/>
      <w:keepNext/>
      <w:spacing w:before="600" w:after="120"/>
      <w:outlineLvl w:val="0"/>
    </w:pPr>
    <w:rPr>
      <w:b/>
      <w:bCs/>
      <w:caps/>
      <w:sz w:val="24"/>
      <w:szCs w:val="24"/>
      <w:lang w:val="ru-RU" w:eastAsia="ar-SA" w:bidi="ar-SA"/>
    </w:rPr>
  </w:style>
  <w:style w:type="paragraph" w:styleId="907">
    <w:name w:val="Bullet"/>
    <w:basedOn w:val="715"/>
    <w:next w:val="907"/>
    <w:link w:val="715"/>
    <w:pPr>
      <w:numPr>
        <w:ilvl w:val="0"/>
        <w:numId w:val="3"/>
      </w:numPr>
    </w:pPr>
  </w:style>
  <w:style w:type="paragraph" w:styleId="908">
    <w:name w:val="Numbered"/>
    <w:basedOn w:val="907"/>
    <w:next w:val="908"/>
    <w:link w:val="715"/>
    <w:pPr>
      <w:numPr>
        <w:ilvl w:val="0"/>
        <w:numId w:val="0"/>
      </w:numPr>
      <w:tabs>
        <w:tab w:val="left" w:pos="340" w:leader="none"/>
      </w:tabs>
    </w:pPr>
  </w:style>
  <w:style w:type="paragraph" w:styleId="909">
    <w:name w:val="Body2"/>
    <w:basedOn w:val="905"/>
    <w:next w:val="909"/>
    <w:link w:val="715"/>
    <w:pPr>
      <w:numPr>
        <w:ilvl w:val="2"/>
        <w:numId w:val="1"/>
      </w:numPr>
      <w:outlineLvl w:val="2"/>
    </w:pPr>
  </w:style>
  <w:style w:type="paragraph" w:styleId="910">
    <w:name w:val="Variant"/>
    <w:basedOn w:val="715"/>
    <w:next w:val="910"/>
    <w:link w:val="715"/>
    <w:pPr>
      <w:keepNext/>
      <w:spacing w:before="240" w:after="0"/>
    </w:pPr>
    <w:rPr>
      <w:b/>
    </w:rPr>
  </w:style>
  <w:style w:type="paragraph" w:styleId="911">
    <w:name w:val="Оглавление 2"/>
    <w:basedOn w:val="715"/>
    <w:next w:val="715"/>
    <w:link w:val="715"/>
    <w:pPr>
      <w:jc w:val="left"/>
      <w:spacing w:before="240" w:after="0"/>
    </w:pPr>
    <w:rPr>
      <w:b/>
      <w:bCs/>
      <w:sz w:val="20"/>
      <w:szCs w:val="20"/>
    </w:rPr>
  </w:style>
  <w:style w:type="paragraph" w:styleId="912">
    <w:name w:val="Оглавление 1"/>
    <w:basedOn w:val="715"/>
    <w:next w:val="715"/>
    <w:link w:val="715"/>
    <w:pPr>
      <w:ind w:left="0" w:right="0" w:firstLine="0"/>
      <w:jc w:val="left"/>
      <w:spacing w:before="120" w:after="0"/>
      <w:tabs>
        <w:tab w:val="right" w:pos="9910" w:leader="dot"/>
      </w:tabs>
    </w:pPr>
    <w:rPr>
      <w:rFonts w:cs="Arial"/>
      <w:b/>
      <w:bCs/>
      <w:caps/>
    </w:rPr>
  </w:style>
  <w:style w:type="paragraph" w:styleId="913">
    <w:name w:val="Оглавление 3"/>
    <w:basedOn w:val="715"/>
    <w:next w:val="715"/>
    <w:link w:val="715"/>
    <w:pPr>
      <w:ind w:left="240" w:right="0" w:firstLine="340"/>
      <w:jc w:val="left"/>
    </w:pPr>
    <w:rPr>
      <w:sz w:val="20"/>
      <w:szCs w:val="20"/>
    </w:rPr>
  </w:style>
  <w:style w:type="paragraph" w:styleId="914">
    <w:name w:val="Оглавление 4"/>
    <w:basedOn w:val="715"/>
    <w:next w:val="715"/>
    <w:link w:val="715"/>
    <w:pPr>
      <w:ind w:left="480" w:right="0" w:firstLine="340"/>
      <w:jc w:val="left"/>
    </w:pPr>
    <w:rPr>
      <w:sz w:val="20"/>
      <w:szCs w:val="20"/>
    </w:rPr>
  </w:style>
  <w:style w:type="paragraph" w:styleId="915">
    <w:name w:val="Оглавление 5"/>
    <w:basedOn w:val="715"/>
    <w:next w:val="715"/>
    <w:link w:val="715"/>
    <w:pPr>
      <w:ind w:left="720" w:right="0" w:firstLine="340"/>
      <w:jc w:val="left"/>
    </w:pPr>
    <w:rPr>
      <w:sz w:val="20"/>
      <w:szCs w:val="20"/>
    </w:rPr>
  </w:style>
  <w:style w:type="paragraph" w:styleId="916">
    <w:name w:val="Оглавление 6"/>
    <w:basedOn w:val="715"/>
    <w:next w:val="715"/>
    <w:link w:val="715"/>
    <w:pPr>
      <w:ind w:left="960" w:right="0" w:firstLine="340"/>
      <w:jc w:val="left"/>
    </w:pPr>
    <w:rPr>
      <w:sz w:val="20"/>
      <w:szCs w:val="20"/>
    </w:rPr>
  </w:style>
  <w:style w:type="paragraph" w:styleId="917">
    <w:name w:val="Оглавление 7"/>
    <w:basedOn w:val="715"/>
    <w:next w:val="715"/>
    <w:link w:val="715"/>
    <w:pPr>
      <w:ind w:left="1200" w:right="0" w:firstLine="340"/>
      <w:jc w:val="left"/>
    </w:pPr>
    <w:rPr>
      <w:sz w:val="20"/>
      <w:szCs w:val="20"/>
    </w:rPr>
  </w:style>
  <w:style w:type="paragraph" w:styleId="918">
    <w:name w:val="Оглавление 8"/>
    <w:basedOn w:val="715"/>
    <w:next w:val="715"/>
    <w:link w:val="715"/>
    <w:pPr>
      <w:ind w:left="1440" w:right="0" w:firstLine="340"/>
      <w:jc w:val="left"/>
    </w:pPr>
    <w:rPr>
      <w:sz w:val="20"/>
      <w:szCs w:val="20"/>
    </w:rPr>
  </w:style>
  <w:style w:type="paragraph" w:styleId="919">
    <w:name w:val="Оглавление 9"/>
    <w:basedOn w:val="715"/>
    <w:next w:val="715"/>
    <w:link w:val="715"/>
    <w:pPr>
      <w:ind w:left="1680" w:right="0" w:firstLine="340"/>
      <w:jc w:val="left"/>
    </w:pPr>
    <w:rPr>
      <w:sz w:val="20"/>
      <w:szCs w:val="20"/>
    </w:rPr>
  </w:style>
  <w:style w:type="paragraph" w:styleId="920">
    <w:name w:val="Основной текст с отступом"/>
    <w:basedOn w:val="715"/>
    <w:next w:val="920"/>
    <w:link w:val="977"/>
    <w:pPr>
      <w:ind w:left="0" w:right="0" w:firstLine="426"/>
    </w:pPr>
    <w:rPr>
      <w:rFonts w:ascii="Arial" w:hAnsi="Arial"/>
      <w:sz w:val="18"/>
      <w:szCs w:val="20"/>
      <w:lang w:val="en-US"/>
    </w:rPr>
  </w:style>
  <w:style w:type="paragraph" w:styleId="921">
    <w:name w:val="Сл4_текст"/>
    <w:basedOn w:val="715"/>
    <w:next w:val="921"/>
    <w:link w:val="715"/>
    <w:pPr>
      <w:ind w:left="0" w:right="0" w:firstLine="709"/>
      <w:spacing w:line="360" w:lineRule="auto"/>
    </w:pPr>
    <w:rPr>
      <w:rFonts w:ascii="Arial" w:hAnsi="Arial"/>
      <w:color w:val="000000"/>
      <w:sz w:val="20"/>
      <w:szCs w:val="20"/>
    </w:rPr>
  </w:style>
  <w:style w:type="paragraph" w:styleId="922">
    <w:name w:val="Основной текст 21"/>
    <w:basedOn w:val="715"/>
    <w:next w:val="922"/>
    <w:link w:val="715"/>
    <w:pPr>
      <w:spacing w:before="0" w:after="120" w:line="480" w:lineRule="auto"/>
    </w:pPr>
  </w:style>
  <w:style w:type="paragraph" w:styleId="923">
    <w:name w:val="Текст примечания1"/>
    <w:basedOn w:val="715"/>
    <w:next w:val="923"/>
    <w:link w:val="715"/>
    <w:pPr>
      <w:ind w:left="0" w:right="0" w:firstLine="0"/>
      <w:jc w:val="left"/>
    </w:pPr>
    <w:rPr>
      <w:color w:val="000000"/>
      <w:sz w:val="20"/>
      <w:szCs w:val="20"/>
    </w:rPr>
  </w:style>
  <w:style w:type="paragraph" w:styleId="924">
    <w:name w:val="Текст выноски"/>
    <w:basedOn w:val="715"/>
    <w:next w:val="924"/>
    <w:link w:val="978"/>
    <w:rPr>
      <w:rFonts w:ascii="Tahoma" w:hAnsi="Tahoma"/>
      <w:sz w:val="16"/>
      <w:szCs w:val="16"/>
      <w:lang w:val="en-US"/>
    </w:rPr>
  </w:style>
  <w:style w:type="paragraph" w:styleId="925">
    <w:name w:val="Оглавление 10"/>
    <w:basedOn w:val="901"/>
    <w:next w:val="925"/>
    <w:link w:val="715"/>
    <w:pPr>
      <w:ind w:left="2547" w:right="0" w:firstLine="0"/>
      <w:tabs>
        <w:tab w:val="right" w:pos="7091" w:leader="dot"/>
      </w:tabs>
    </w:pPr>
  </w:style>
  <w:style w:type="paragraph" w:styleId="926">
    <w:name w:val="Содержимое таблицы"/>
    <w:basedOn w:val="715"/>
    <w:next w:val="926"/>
    <w:link w:val="715"/>
    <w:pPr>
      <w:suppressLineNumbers/>
    </w:pPr>
  </w:style>
  <w:style w:type="paragraph" w:styleId="927">
    <w:name w:val="Заголовок таблицы"/>
    <w:basedOn w:val="926"/>
    <w:next w:val="927"/>
    <w:link w:val="715"/>
    <w:pPr>
      <w:jc w:val="center"/>
      <w:suppressLineNumbers/>
    </w:pPr>
    <w:rPr>
      <w:b/>
      <w:bCs/>
    </w:rPr>
  </w:style>
  <w:style w:type="paragraph" w:styleId="928">
    <w:name w:val="ConsPlusCell"/>
    <w:next w:val="928"/>
    <w:link w:val="715"/>
    <w:pPr>
      <w:widowControl w:val="off"/>
    </w:pPr>
    <w:rPr>
      <w:rFonts w:ascii="Arial" w:hAnsi="Arial" w:eastAsia="Arial" w:cs="Arial"/>
      <w:lang w:val="ru-RU" w:eastAsia="ar-SA" w:bidi="ar-SA"/>
    </w:rPr>
  </w:style>
  <w:style w:type="paragraph" w:styleId="929">
    <w:name w:val="Заголовок 10"/>
    <w:basedOn w:val="890"/>
    <w:next w:val="864"/>
    <w:link w:val="715"/>
    <w:pPr>
      <w:numPr>
        <w:ilvl w:val="0"/>
        <w:numId w:val="2"/>
      </w:numPr>
    </w:pPr>
    <w:rPr>
      <w:b/>
      <w:bCs/>
      <w:sz w:val="21"/>
      <w:szCs w:val="21"/>
    </w:rPr>
  </w:style>
  <w:style w:type="paragraph" w:styleId="930">
    <w:name w:val="Пункт 1-й абзац"/>
    <w:basedOn w:val="715"/>
    <w:next w:val="715"/>
    <w:link w:val="715"/>
    <w:pPr>
      <w:ind w:left="851" w:right="0" w:hanging="851"/>
      <w:keepLines/>
      <w:spacing w:before="60" w:after="0"/>
    </w:pPr>
    <w:rPr>
      <w:color w:val="000000"/>
      <w:sz w:val="20"/>
      <w:szCs w:val="20"/>
    </w:rPr>
  </w:style>
  <w:style w:type="paragraph" w:styleId="931">
    <w:name w:val="Lettered"/>
    <w:basedOn w:val="908"/>
    <w:next w:val="931"/>
    <w:link w:val="715"/>
    <w:pPr>
      <w:numPr>
        <w:ilvl w:val="0"/>
        <w:numId w:val="4"/>
      </w:numPr>
      <w:ind w:left="0" w:firstLine="0"/>
    </w:pPr>
  </w:style>
  <w:style w:type="paragraph" w:styleId="932">
    <w:name w:val="Текст концевой сноски"/>
    <w:basedOn w:val="715"/>
    <w:next w:val="932"/>
    <w:link w:val="979"/>
    <w:pPr>
      <w:ind w:left="283" w:right="0" w:hanging="283"/>
      <w:suppressLineNumbers/>
    </w:pPr>
    <w:rPr>
      <w:sz w:val="20"/>
      <w:szCs w:val="20"/>
      <w:lang w:val="en-US"/>
    </w:rPr>
  </w:style>
  <w:style w:type="paragraph" w:styleId="933">
    <w:name w:val="Текст сноски"/>
    <w:basedOn w:val="715"/>
    <w:next w:val="933"/>
    <w:link w:val="980"/>
    <w:pPr>
      <w:suppressLineNumbers/>
    </w:pPr>
    <w:rPr>
      <w:sz w:val="20"/>
      <w:szCs w:val="20"/>
      <w:lang w:val="en-US"/>
    </w:rPr>
  </w:style>
  <w:style w:type="paragraph" w:styleId="934">
    <w:name w:val="Îáû÷íûé (âåá)"/>
    <w:basedOn w:val="904"/>
    <w:next w:val="904"/>
    <w:link w:val="715"/>
    <w:pPr>
      <w:jc w:val="left"/>
    </w:pPr>
    <w:rPr>
      <w:rFonts w:ascii="Times New Roman" w:hAnsi="Times New Roman" w:eastAsia="SimSun" w:cs="Tahoma"/>
      <w:color w:val="auto"/>
      <w:sz w:val="24"/>
      <w:szCs w:val="24"/>
    </w:rPr>
  </w:style>
  <w:style w:type="paragraph" w:styleId="935">
    <w:name w:val="Îáû÷íûé"/>
    <w:basedOn w:val="904"/>
    <w:next w:val="904"/>
    <w:link w:val="715"/>
    <w:pPr>
      <w:jc w:val="left"/>
    </w:pPr>
    <w:rPr>
      <w:rFonts w:ascii="Times New Roman" w:hAnsi="Times New Roman" w:eastAsia="SimSun" w:cs="Tahoma"/>
      <w:color w:val="auto"/>
      <w:sz w:val="24"/>
      <w:szCs w:val="24"/>
    </w:rPr>
  </w:style>
  <w:style w:type="paragraph" w:styleId="936">
    <w:name w:val="Pa3"/>
    <w:basedOn w:val="904"/>
    <w:next w:val="904"/>
    <w:link w:val="715"/>
    <w:pPr>
      <w:jc w:val="left"/>
      <w:spacing w:line="161" w:lineRule="atLeast"/>
    </w:pPr>
    <w:rPr>
      <w:rFonts w:ascii="Times New Roman" w:hAnsi="Times New Roman" w:eastAsia="SimSun" w:cs="Tahoma"/>
      <w:color w:val="auto"/>
      <w:sz w:val="24"/>
      <w:szCs w:val="24"/>
    </w:rPr>
  </w:style>
  <w:style w:type="table" w:styleId="937">
    <w:name w:val="Сетка таблицы"/>
    <w:basedOn w:val="726"/>
    <w:next w:val="937"/>
    <w:link w:val="715"/>
    <w:rPr>
      <w:lang w:bidi="ar-SA"/>
    </w:rPr>
    <w:tblPr/>
  </w:style>
  <w:style w:type="paragraph" w:styleId="938">
    <w:name w:val="Знак1 Знак"/>
    <w:basedOn w:val="715"/>
    <w:next w:val="938"/>
    <w:link w:val="715"/>
    <w:pPr>
      <w:ind w:left="720" w:hanging="360"/>
      <w:spacing w:after="160" w:line="240" w:lineRule="exact"/>
      <w:tabs>
        <w:tab w:val="num" w:pos="720" w:leader="none"/>
      </w:tabs>
    </w:pPr>
    <w:rPr>
      <w:rFonts w:ascii="Verdana" w:hAnsi="Verdana" w:cs="Verdana"/>
      <w:color w:val="000000"/>
      <w:sz w:val="20"/>
      <w:szCs w:val="20"/>
      <w:lang w:val="en-US" w:eastAsia="en-US"/>
    </w:rPr>
  </w:style>
  <w:style w:type="paragraph" w:styleId="939">
    <w:name w:val="Пункт второй абзац"/>
    <w:basedOn w:val="715"/>
    <w:next w:val="939"/>
    <w:link w:val="715"/>
    <w:pPr>
      <w:ind w:left="851" w:firstLine="0"/>
      <w:keepLines/>
      <w:spacing w:before="20"/>
    </w:pPr>
    <w:rPr>
      <w:color w:val="000000"/>
      <w:sz w:val="20"/>
      <w:szCs w:val="20"/>
      <w:lang w:eastAsia="ru-RU"/>
    </w:rPr>
  </w:style>
  <w:style w:type="paragraph" w:styleId="940">
    <w:name w:val="Подпункт список"/>
    <w:basedOn w:val="715"/>
    <w:next w:val="930"/>
    <w:link w:val="715"/>
    <w:pPr>
      <w:ind w:left="850" w:hanging="425"/>
      <w:keepLines/>
      <w:spacing w:before="20"/>
    </w:pPr>
    <w:rPr>
      <w:color w:val="000000"/>
      <w:sz w:val="20"/>
      <w:szCs w:val="20"/>
      <w:lang w:eastAsia="ru-RU"/>
    </w:rPr>
  </w:style>
  <w:style w:type="paragraph" w:styleId="941">
    <w:name w:val=" Знак"/>
    <w:basedOn w:val="715"/>
    <w:next w:val="941"/>
    <w:link w:val="715"/>
    <w:pPr>
      <w:ind w:firstLine="0"/>
      <w:jc w:val="left"/>
      <w:spacing w:before="100" w:beforeAutospacing="1" w:after="100" w:afterAutospacing="1"/>
    </w:pPr>
    <w:rPr>
      <w:rFonts w:ascii="Tahoma" w:hAnsi="Tahoma"/>
      <w:color w:val="000000"/>
      <w:sz w:val="20"/>
      <w:szCs w:val="20"/>
      <w:lang w:val="en-US" w:eastAsia="en-US"/>
    </w:rPr>
  </w:style>
  <w:style w:type="paragraph" w:styleId="942">
    <w:name w:val="Стиль текста"/>
    <w:basedOn w:val="864"/>
    <w:next w:val="942"/>
    <w:link w:val="715"/>
    <w:pPr>
      <w:ind w:firstLine="0"/>
      <w:keepLines/>
      <w:spacing w:before="60" w:after="60"/>
    </w:pPr>
    <w:rPr>
      <w:color w:val="000000"/>
      <w:szCs w:val="20"/>
      <w:lang w:val="en-US" w:eastAsia="en-US"/>
    </w:rPr>
  </w:style>
  <w:style w:type="paragraph" w:styleId="943">
    <w:name w:val="Основной текст 3"/>
    <w:basedOn w:val="715"/>
    <w:next w:val="943"/>
    <w:link w:val="715"/>
    <w:pPr>
      <w:spacing w:after="120"/>
    </w:pPr>
    <w:rPr>
      <w:sz w:val="16"/>
      <w:szCs w:val="16"/>
    </w:rPr>
  </w:style>
  <w:style w:type="character" w:styleId="944">
    <w:name w:val="WW8Num2z3"/>
    <w:next w:val="944"/>
    <w:link w:val="715"/>
    <w:rPr>
      <w:rFonts w:ascii="Symbol" w:hAnsi="Symbol" w:cs="Symbol"/>
    </w:rPr>
  </w:style>
  <w:style w:type="character" w:styleId="945">
    <w:name w:val="WW8NumSt3z0"/>
    <w:next w:val="945"/>
    <w:link w:val="715"/>
    <w:rPr>
      <w:rFonts w:ascii="Arial Narrow" w:hAnsi="Arial Narrow" w:cs="Arial Narrow"/>
      <w:b/>
      <w:bCs/>
      <w:i w:val="0"/>
      <w:iCs w:val="0"/>
      <w:sz w:val="22"/>
      <w:szCs w:val="22"/>
    </w:rPr>
  </w:style>
  <w:style w:type="character" w:styleId="946">
    <w:name w:val="Заголовок 1 Знак"/>
    <w:next w:val="946"/>
    <w:link w:val="715"/>
    <w:rPr>
      <w:rFonts w:ascii="Cambria" w:hAnsi="Cambria" w:eastAsia="Times New Roman" w:cs="Cambria"/>
      <w:b/>
      <w:bCs/>
      <w:sz w:val="32"/>
      <w:szCs w:val="32"/>
    </w:rPr>
  </w:style>
  <w:style w:type="character" w:styleId="947">
    <w:name w:val="Заголовок 2 Знак"/>
    <w:next w:val="947"/>
    <w:link w:val="715"/>
    <w:rPr>
      <w:rFonts w:ascii="Cambria" w:hAnsi="Cambria" w:eastAsia="Times New Roman" w:cs="Cambria"/>
      <w:b/>
      <w:bCs/>
      <w:i/>
      <w:iCs/>
      <w:sz w:val="28"/>
      <w:szCs w:val="28"/>
    </w:rPr>
  </w:style>
  <w:style w:type="character" w:styleId="948">
    <w:name w:val="Заголовок 3 Знак"/>
    <w:next w:val="948"/>
    <w:link w:val="715"/>
    <w:rPr>
      <w:rFonts w:ascii="Cambria" w:hAnsi="Cambria" w:eastAsia="Times New Roman" w:cs="Cambria"/>
      <w:b/>
      <w:bCs/>
      <w:sz w:val="26"/>
      <w:szCs w:val="26"/>
    </w:rPr>
  </w:style>
  <w:style w:type="character" w:styleId="949">
    <w:name w:val="Заголовок 4 Знак"/>
    <w:next w:val="949"/>
    <w:link w:val="715"/>
    <w:rPr>
      <w:rFonts w:ascii="Calibri" w:hAnsi="Calibri" w:eastAsia="Times New Roman" w:cs="Calibri"/>
      <w:b/>
      <w:bCs/>
      <w:sz w:val="28"/>
      <w:szCs w:val="28"/>
    </w:rPr>
  </w:style>
  <w:style w:type="character" w:styleId="950">
    <w:name w:val="Заголовок 5 Знак"/>
    <w:next w:val="950"/>
    <w:link w:val="715"/>
    <w:rPr>
      <w:rFonts w:ascii="Calibri" w:hAnsi="Calibri" w:eastAsia="Times New Roman" w:cs="Calibri"/>
      <w:b/>
      <w:bCs/>
      <w:i/>
      <w:iCs/>
      <w:sz w:val="26"/>
      <w:szCs w:val="26"/>
    </w:rPr>
  </w:style>
  <w:style w:type="character" w:styleId="951">
    <w:name w:val="Основной текст 2 Знак"/>
    <w:next w:val="951"/>
    <w:link w:val="715"/>
    <w:rPr>
      <w:sz w:val="20"/>
      <w:szCs w:val="20"/>
    </w:rPr>
  </w:style>
  <w:style w:type="character" w:styleId="952">
    <w:name w:val="Основной текст с отступом 2 Знак"/>
    <w:next w:val="952"/>
    <w:link w:val="715"/>
    <w:rPr>
      <w:sz w:val="20"/>
      <w:szCs w:val="20"/>
    </w:rPr>
  </w:style>
  <w:style w:type="character" w:styleId="953">
    <w:name w:val="Основной текст с отступом 3 Знак"/>
    <w:next w:val="953"/>
    <w:link w:val="715"/>
    <w:rPr>
      <w:sz w:val="16"/>
      <w:szCs w:val="16"/>
    </w:rPr>
  </w:style>
  <w:style w:type="character" w:styleId="954">
    <w:name w:val="Основной текст Знак"/>
    <w:next w:val="954"/>
    <w:link w:val="715"/>
    <w:rPr>
      <w:sz w:val="20"/>
      <w:szCs w:val="20"/>
    </w:rPr>
  </w:style>
  <w:style w:type="character" w:styleId="955">
    <w:name w:val="Верхний колонтитул Знак"/>
    <w:next w:val="955"/>
    <w:link w:val="715"/>
    <w:uiPriority w:val="99"/>
    <w:rPr>
      <w:sz w:val="20"/>
      <w:szCs w:val="20"/>
    </w:rPr>
  </w:style>
  <w:style w:type="character" w:styleId="956">
    <w:name w:val="номер страницы"/>
    <w:basedOn w:val="824"/>
    <w:next w:val="956"/>
    <w:link w:val="715"/>
  </w:style>
  <w:style w:type="character" w:styleId="957">
    <w:name w:val="Основной текст 3 Знак"/>
    <w:next w:val="957"/>
    <w:link w:val="715"/>
    <w:rPr>
      <w:sz w:val="16"/>
      <w:szCs w:val="16"/>
    </w:rPr>
  </w:style>
  <w:style w:type="character" w:styleId="958">
    <w:name w:val="Название Знак"/>
    <w:next w:val="958"/>
    <w:link w:val="715"/>
    <w:rPr>
      <w:rFonts w:ascii="Cambria" w:hAnsi="Cambria" w:eastAsia="Times New Roman" w:cs="Cambria"/>
      <w:b/>
      <w:bCs/>
      <w:sz w:val="32"/>
      <w:szCs w:val="32"/>
    </w:rPr>
  </w:style>
  <w:style w:type="character" w:styleId="959">
    <w:name w:val="Нижний колонтитул Знак"/>
    <w:next w:val="959"/>
    <w:link w:val="715"/>
    <w:uiPriority w:val="99"/>
    <w:rPr>
      <w:sz w:val="20"/>
      <w:szCs w:val="20"/>
    </w:rPr>
  </w:style>
  <w:style w:type="character" w:styleId="960">
    <w:name w:val="Маркеры списка"/>
    <w:next w:val="960"/>
    <w:link w:val="715"/>
    <w:rPr>
      <w:rFonts w:ascii="OpenSymbol" w:hAnsi="OpenSymbol" w:eastAsia="OpenSymbol" w:cs="OpenSymbol"/>
    </w:rPr>
  </w:style>
  <w:style w:type="paragraph" w:styleId="961">
    <w:name w:val="заголовок 1"/>
    <w:basedOn w:val="715"/>
    <w:next w:val="715"/>
    <w:link w:val="715"/>
    <w:pPr>
      <w:ind w:right="-851" w:firstLine="0"/>
      <w:jc w:val="center"/>
      <w:keepNext/>
    </w:pPr>
    <w:rPr>
      <w:rFonts w:ascii="Arial Narrow" w:hAnsi="Arial Narrow" w:cs="Arial Narrow"/>
      <w:b/>
      <w:bCs/>
      <w:color w:val="000000"/>
    </w:rPr>
  </w:style>
  <w:style w:type="paragraph" w:styleId="962">
    <w:name w:val="Основной текст 22"/>
    <w:basedOn w:val="715"/>
    <w:next w:val="962"/>
    <w:link w:val="715"/>
    <w:pPr>
      <w:ind w:firstLine="0"/>
    </w:pPr>
    <w:rPr>
      <w:b/>
      <w:bCs/>
      <w:color w:val="000000"/>
      <w:sz w:val="20"/>
      <w:szCs w:val="20"/>
    </w:rPr>
  </w:style>
  <w:style w:type="paragraph" w:styleId="963">
    <w:name w:val="Основной текст с отступом 21"/>
    <w:basedOn w:val="715"/>
    <w:next w:val="963"/>
    <w:link w:val="715"/>
    <w:pPr>
      <w:ind w:left="5954" w:firstLine="0"/>
      <w:jc w:val="left"/>
    </w:pPr>
    <w:rPr>
      <w:color w:val="000000"/>
      <w:sz w:val="20"/>
      <w:szCs w:val="20"/>
    </w:rPr>
  </w:style>
  <w:style w:type="paragraph" w:styleId="964">
    <w:name w:val="Основной текст с отступом 31"/>
    <w:basedOn w:val="715"/>
    <w:next w:val="964"/>
    <w:link w:val="715"/>
    <w:pPr>
      <w:ind w:firstLine="720"/>
    </w:pPr>
    <w:rPr>
      <w:color w:val="000000"/>
      <w:sz w:val="20"/>
      <w:szCs w:val="20"/>
    </w:rPr>
  </w:style>
  <w:style w:type="paragraph" w:styleId="965">
    <w:name w:val="Обычный1"/>
    <w:next w:val="965"/>
    <w:link w:val="715"/>
    <w:rPr>
      <w:rFonts w:eastAsia="Arial"/>
      <w:sz w:val="24"/>
      <w:szCs w:val="24"/>
      <w:lang w:val="en-GB" w:eastAsia="ar-SA" w:bidi="ar-SA"/>
    </w:rPr>
  </w:style>
  <w:style w:type="paragraph" w:styleId="966">
    <w:name w:val="Основной текст 31"/>
    <w:basedOn w:val="715"/>
    <w:next w:val="966"/>
    <w:link w:val="715"/>
    <w:pPr>
      <w:ind w:firstLine="0"/>
    </w:pPr>
    <w:rPr>
      <w:i/>
      <w:iCs/>
      <w:color w:val="000000"/>
    </w:rPr>
  </w:style>
  <w:style w:type="paragraph" w:styleId="967">
    <w:name w:val="Обычный2"/>
    <w:next w:val="965"/>
    <w:link w:val="715"/>
    <w:rPr>
      <w:rFonts w:eastAsia="Arial"/>
      <w:lang w:val="en-US" w:eastAsia="ar-SA" w:bidi="ar-SA"/>
    </w:rPr>
  </w:style>
  <w:style w:type="paragraph" w:styleId="968">
    <w:name w:val="Содержимое врезки"/>
    <w:basedOn w:val="864"/>
    <w:next w:val="968"/>
    <w:link w:val="715"/>
    <w:pPr>
      <w:ind w:firstLine="0"/>
      <w:spacing w:after="0"/>
    </w:pPr>
    <w:rPr>
      <w:color w:val="000000"/>
      <w:sz w:val="20"/>
      <w:szCs w:val="20"/>
    </w:rPr>
  </w:style>
  <w:style w:type="paragraph" w:styleId="969">
    <w:name w:val="ConsPlusNormal"/>
    <w:next w:val="969"/>
    <w:link w:val="715"/>
    <w:rPr>
      <w:rFonts w:ascii="Arial" w:hAnsi="Arial" w:cs="Arial"/>
      <w:lang w:val="ru-RU" w:eastAsia="ru-RU" w:bidi="ar-SA"/>
    </w:rPr>
  </w:style>
  <w:style w:type="numbering" w:styleId="970">
    <w:name w:val="Нет списка1"/>
    <w:next w:val="727"/>
    <w:link w:val="715"/>
    <w:uiPriority w:val="99"/>
    <w:semiHidden/>
    <w:unhideWhenUsed/>
  </w:style>
  <w:style w:type="character" w:styleId="971">
    <w:name w:val="Заголовок 6 Знак"/>
    <w:next w:val="971"/>
    <w:link w:val="721"/>
    <w:rPr>
      <w:rFonts w:ascii="Arial" w:hAnsi="Arial" w:eastAsia="SimSun"/>
      <w:b/>
      <w:bCs/>
      <w:color w:val="000000"/>
      <w:sz w:val="21"/>
      <w:szCs w:val="21"/>
      <w:lang w:val="en-US" w:eastAsia="ar-SA"/>
    </w:rPr>
  </w:style>
  <w:style w:type="character" w:styleId="972">
    <w:name w:val="Заголовок 7 Знак"/>
    <w:next w:val="972"/>
    <w:link w:val="722"/>
    <w:rPr>
      <w:rFonts w:ascii="Arial" w:hAnsi="Arial" w:eastAsia="SimSun"/>
      <w:b/>
      <w:bCs/>
      <w:color w:val="000000"/>
      <w:sz w:val="21"/>
      <w:szCs w:val="21"/>
      <w:lang w:val="en-US" w:eastAsia="ar-SA"/>
    </w:rPr>
  </w:style>
  <w:style w:type="character" w:styleId="973">
    <w:name w:val="Заголовок 8 Знак"/>
    <w:next w:val="973"/>
    <w:link w:val="723"/>
    <w:rPr>
      <w:rFonts w:ascii="Arial" w:hAnsi="Arial" w:eastAsia="SimSun"/>
      <w:b/>
      <w:bCs/>
      <w:color w:val="000000"/>
      <w:sz w:val="21"/>
      <w:szCs w:val="21"/>
      <w:lang w:val="en-US" w:eastAsia="ar-SA"/>
    </w:rPr>
  </w:style>
  <w:style w:type="character" w:styleId="974">
    <w:name w:val="Заголовок 9 Знак"/>
    <w:next w:val="974"/>
    <w:link w:val="724"/>
    <w:rPr>
      <w:rFonts w:ascii="Arial" w:hAnsi="Arial" w:eastAsia="SimSun"/>
      <w:b/>
      <w:bCs/>
      <w:color w:val="000000"/>
      <w:sz w:val="21"/>
      <w:szCs w:val="21"/>
      <w:lang w:val="en-US" w:eastAsia="ar-SA"/>
    </w:rPr>
  </w:style>
  <w:style w:type="numbering" w:styleId="975">
    <w:name w:val="Нет списка11"/>
    <w:next w:val="727"/>
    <w:link w:val="715"/>
    <w:semiHidden/>
    <w:unhideWhenUsed/>
  </w:style>
  <w:style w:type="character" w:styleId="976">
    <w:name w:val="Подзаголовок Знак"/>
    <w:next w:val="976"/>
    <w:link w:val="891"/>
    <w:rPr>
      <w:rFonts w:ascii="Arial" w:hAnsi="Arial" w:eastAsia="SimSun" w:cs="Tahoma"/>
      <w:i/>
      <w:iCs/>
      <w:color w:val="000000"/>
      <w:sz w:val="28"/>
      <w:szCs w:val="28"/>
      <w:lang w:eastAsia="ar-SA"/>
    </w:rPr>
  </w:style>
  <w:style w:type="character" w:styleId="977">
    <w:name w:val="Основной текст с отступом Знак"/>
    <w:next w:val="977"/>
    <w:link w:val="920"/>
    <w:rPr>
      <w:rFonts w:ascii="Arial" w:hAnsi="Arial"/>
      <w:color w:val="000000"/>
      <w:sz w:val="18"/>
      <w:lang w:eastAsia="ar-SA"/>
    </w:rPr>
  </w:style>
  <w:style w:type="character" w:styleId="978">
    <w:name w:val="Текст выноски Знак"/>
    <w:next w:val="978"/>
    <w:link w:val="924"/>
    <w:rPr>
      <w:rFonts w:ascii="Tahoma" w:hAnsi="Tahoma" w:cs="Tahoma"/>
      <w:color w:val="000000"/>
      <w:sz w:val="16"/>
      <w:szCs w:val="16"/>
      <w:lang w:eastAsia="ar-SA"/>
    </w:rPr>
  </w:style>
  <w:style w:type="character" w:styleId="979">
    <w:name w:val="Текст концевой сноски Знак"/>
    <w:next w:val="979"/>
    <w:link w:val="932"/>
    <w:rPr>
      <w:color w:val="000000"/>
      <w:lang w:eastAsia="ar-SA"/>
    </w:rPr>
  </w:style>
  <w:style w:type="character" w:styleId="980">
    <w:name w:val="Текст сноски Знак"/>
    <w:next w:val="980"/>
    <w:link w:val="933"/>
    <w:rPr>
      <w:color w:val="000000"/>
      <w:lang w:eastAsia="ar-SA"/>
    </w:rPr>
  </w:style>
  <w:style w:type="character" w:styleId="981">
    <w:name w:val="apple-converted-space"/>
    <w:next w:val="981"/>
    <w:link w:val="715"/>
  </w:style>
  <w:style w:type="paragraph" w:styleId="982">
    <w:name w:val="Список 3"/>
    <w:basedOn w:val="715"/>
    <w:next w:val="982"/>
    <w:link w:val="715"/>
    <w:pPr>
      <w:contextualSpacing/>
      <w:ind w:left="849" w:hanging="283"/>
    </w:pPr>
  </w:style>
  <w:style w:type="table" w:styleId="983">
    <w:name w:val="TableGrid1"/>
    <w:next w:val="983"/>
    <w:link w:val="715"/>
    <w:rPr>
      <w:rFonts w:ascii="Calibri" w:hAnsi="Calibri"/>
      <w:sz w:val="22"/>
      <w:szCs w:val="22"/>
      <w:lang w:val="ru-RU" w:eastAsia="ru-RU" w:bidi="ar-SA"/>
    </w:rPr>
    <w:tblPr/>
  </w:style>
  <w:style w:type="character" w:styleId="984">
    <w:name w:val="Знак примечания"/>
    <w:next w:val="984"/>
    <w:link w:val="715"/>
    <w:rPr>
      <w:sz w:val="16"/>
      <w:szCs w:val="16"/>
    </w:rPr>
  </w:style>
  <w:style w:type="paragraph" w:styleId="985">
    <w:name w:val="Текст примечания"/>
    <w:basedOn w:val="715"/>
    <w:next w:val="985"/>
    <w:link w:val="986"/>
    <w:rPr>
      <w:sz w:val="20"/>
      <w:szCs w:val="20"/>
      <w:lang w:val="en-US"/>
    </w:rPr>
  </w:style>
  <w:style w:type="character" w:styleId="986">
    <w:name w:val="Текст примечания Знак"/>
    <w:next w:val="986"/>
    <w:link w:val="985"/>
    <w:rPr>
      <w:color w:val="000000"/>
      <w:lang w:eastAsia="ar-SA"/>
    </w:rPr>
  </w:style>
  <w:style w:type="paragraph" w:styleId="987">
    <w:name w:val="Тема примечания"/>
    <w:basedOn w:val="985"/>
    <w:next w:val="985"/>
    <w:link w:val="988"/>
    <w:rPr>
      <w:b/>
      <w:bCs/>
    </w:rPr>
  </w:style>
  <w:style w:type="character" w:styleId="988">
    <w:name w:val="Тема примечания Знак"/>
    <w:next w:val="988"/>
    <w:link w:val="987"/>
    <w:rPr>
      <w:b/>
      <w:bCs/>
      <w:color w:val="000000"/>
      <w:lang w:eastAsia="ar-SA"/>
    </w:rPr>
  </w:style>
  <w:style w:type="paragraph" w:styleId="989">
    <w:name w:val="Абзац списка"/>
    <w:basedOn w:val="715"/>
    <w:next w:val="989"/>
    <w:link w:val="715"/>
    <w:uiPriority w:val="34"/>
    <w:qFormat/>
    <w:pPr>
      <w:ind w:left="708"/>
    </w:pPr>
  </w:style>
  <w:style w:type="character" w:styleId="990">
    <w:name w:val="Неразрешенное упоминание"/>
    <w:next w:val="990"/>
    <w:link w:val="715"/>
    <w:uiPriority w:val="99"/>
    <w:semiHidden/>
    <w:unhideWhenUsed/>
    <w:rPr>
      <w:color w:val="605e5c"/>
      <w:shd w:val="clear" w:color="auto" w:fill="e1dfdd"/>
    </w:rPr>
  </w:style>
  <w:style w:type="paragraph" w:styleId="991">
    <w:name w:val="Текст"/>
    <w:basedOn w:val="715"/>
    <w:next w:val="991"/>
    <w:link w:val="992"/>
    <w:pPr>
      <w:ind w:firstLine="851"/>
      <w:jc w:val="left"/>
    </w:pPr>
    <w:rPr>
      <w:rFonts w:ascii="Courier New" w:hAnsi="Courier New"/>
      <w:color w:val="000000"/>
      <w:sz w:val="20"/>
      <w:szCs w:val="20"/>
      <w:lang w:eastAsia="ru-RU"/>
    </w:rPr>
  </w:style>
  <w:style w:type="character" w:styleId="992">
    <w:name w:val="Текст Знак"/>
    <w:next w:val="992"/>
    <w:link w:val="991"/>
    <w:rPr>
      <w:rFonts w:ascii="Courier New" w:hAnsi="Courier New"/>
    </w:rPr>
  </w:style>
  <w:style w:type="paragraph" w:styleId="993">
    <w:name w:val="Основной текст 2"/>
    <w:basedOn w:val="715"/>
    <w:next w:val="993"/>
    <w:link w:val="994"/>
    <w:pPr>
      <w:ind w:firstLine="0"/>
      <w:jc w:val="left"/>
      <w:spacing w:after="120" w:line="480" w:lineRule="auto"/>
    </w:pPr>
    <w:rPr>
      <w:rFonts w:ascii="Franklin Gothic Medium" w:cs="Franklin Gothic Medium"/>
      <w:color w:val="000000"/>
      <w:lang w:eastAsia="ru-RU"/>
    </w:rPr>
  </w:style>
  <w:style w:type="character" w:styleId="994">
    <w:name w:val="Основной текст 2 Знак1"/>
    <w:next w:val="994"/>
    <w:link w:val="993"/>
    <w:rPr>
      <w:rFonts w:ascii="Franklin Gothic Medium" w:cs="Franklin Gothic Medium"/>
      <w:sz w:val="24"/>
      <w:szCs w:val="24"/>
    </w:rPr>
  </w:style>
  <w:style w:type="paragraph" w:styleId="995">
    <w:name w:val="Список 2"/>
    <w:basedOn w:val="715"/>
    <w:next w:val="995"/>
    <w:link w:val="715"/>
    <w:pPr>
      <w:ind w:left="566" w:hanging="283"/>
      <w:jc w:val="left"/>
    </w:pPr>
    <w:rPr>
      <w:rFonts w:ascii="Arial" w:hAnsi="Arial"/>
      <w:color w:val="000000"/>
      <w:sz w:val="20"/>
      <w:szCs w:val="20"/>
      <w:lang w:eastAsia="ru-RU"/>
    </w:rPr>
  </w:style>
  <w:style w:type="paragraph" w:styleId="996">
    <w:name w:val="caaieiaie 1"/>
    <w:basedOn w:val="715"/>
    <w:next w:val="715"/>
    <w:link w:val="715"/>
    <w:pPr>
      <w:ind w:firstLine="720"/>
      <w:jc w:val="left"/>
      <w:keepNext/>
      <w:spacing w:before="240" w:after="60"/>
      <w:widowControl w:val="off"/>
    </w:pPr>
    <w:rPr>
      <w:rFonts w:ascii="Arial" w:hAnsi="Arial"/>
      <w:b/>
      <w:color w:val="000000"/>
      <w:sz w:val="28"/>
      <w:szCs w:val="20"/>
      <w:lang w:eastAsia="ru-RU"/>
    </w:rPr>
  </w:style>
  <w:style w:type="paragraph" w:styleId="997">
    <w:name w:val="western"/>
    <w:basedOn w:val="715"/>
    <w:next w:val="997"/>
    <w:link w:val="715"/>
    <w:pPr>
      <w:ind w:firstLine="0"/>
      <w:spacing w:before="100"/>
    </w:pPr>
    <w:rPr>
      <w:lang w:eastAsia="zh-CN"/>
    </w:rPr>
  </w:style>
  <w:style w:type="paragraph" w:styleId="998">
    <w:name w:val="FR1"/>
    <w:next w:val="998"/>
    <w:link w:val="715"/>
    <w:pPr>
      <w:jc w:val="center"/>
      <w:widowControl w:val="off"/>
    </w:pPr>
    <w:rPr>
      <w:rFonts w:ascii="Arial" w:hAnsi="Arial"/>
      <w:sz w:val="16"/>
      <w:lang w:val="ru-RU" w:eastAsia="ru-RU" w:bidi="ar-SA"/>
    </w:rPr>
  </w:style>
  <w:style w:type="character" w:styleId="999">
    <w:name w:val="Основной текст_"/>
    <w:next w:val="999"/>
    <w:link w:val="1000"/>
    <w:rPr>
      <w:sz w:val="19"/>
      <w:szCs w:val="19"/>
      <w:shd w:val="clear" w:color="auto" w:fill="ffffff"/>
    </w:rPr>
  </w:style>
  <w:style w:type="paragraph" w:styleId="1000">
    <w:name w:val="Основной текст4"/>
    <w:basedOn w:val="715"/>
    <w:next w:val="1000"/>
    <w:link w:val="999"/>
    <w:pPr>
      <w:ind w:firstLine="0"/>
      <w:jc w:val="center"/>
      <w:spacing w:after="180" w:line="240" w:lineRule="exact"/>
      <w:shd w:val="clear" w:color="auto" w:fill="ffffff"/>
    </w:pPr>
    <w:rPr>
      <w:color w:val="000000"/>
      <w:sz w:val="19"/>
      <w:szCs w:val="19"/>
      <w:lang w:eastAsia="ru-RU"/>
    </w:rPr>
  </w:style>
  <w:style w:type="paragraph" w:styleId="1001">
    <w:name w:val="Без интервала"/>
    <w:next w:val="1001"/>
    <w:link w:val="715"/>
    <w:uiPriority w:val="1"/>
    <w:qFormat/>
    <w:rPr>
      <w:rFonts w:ascii="Calibri" w:hAnsi="Calibri" w:eastAsia="Calibri"/>
      <w:sz w:val="22"/>
      <w:szCs w:val="22"/>
      <w:lang w:val="ru-RU" w:eastAsia="en-US" w:bidi="ar-SA"/>
    </w:rPr>
  </w:style>
  <w:style w:type="paragraph" w:styleId="1002">
    <w:name w:val="Маркированный список"/>
    <w:basedOn w:val="715"/>
    <w:next w:val="1002"/>
    <w:link w:val="715"/>
    <w:pPr>
      <w:numPr>
        <w:ilvl w:val="0"/>
        <w:numId w:val="49"/>
      </w:numPr>
      <w:contextualSpacing/>
    </w:pPr>
  </w:style>
  <w:style w:type="character" w:styleId="44352" w:default="1">
    <w:name w:val="Default Paragraph Font"/>
    <w:uiPriority w:val="1"/>
    <w:semiHidden/>
    <w:unhideWhenUsed/>
  </w:style>
  <w:style w:type="numbering" w:styleId="44353" w:default="1">
    <w:name w:val="No List"/>
    <w:uiPriority w:val="99"/>
    <w:semiHidden/>
    <w:unhideWhenUsed/>
  </w:style>
  <w:style w:type="table" w:styleId="44354"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Р7-Офис/2025.2.2.831</Application>
  <Company>Microsoft</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ydnutrihina</cp:lastModifiedBy>
  <cp:revision>3</cp:revision>
  <dcterms:created xsi:type="dcterms:W3CDTF">2026-10-09T07:53:00Z</dcterms:created>
  <dcterms:modified xsi:type="dcterms:W3CDTF">2026-10-09T08:43:28Z</dcterms:modified>
  <cp:version>917504</cp:version>
</cp:coreProperties>
</file>