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 xml:space="preserve">Контракт № </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область-Кузбасс, г. Кемерово</w:t>
      </w:r>
      <w:r>
        <w:rPr>
          <w:b/>
          <w:bCs/>
          <w:color w:val="000000"/>
        </w:rPr>
        <w:t xml:space="preserve">                                                                       </w:t>
      </w:r>
      <w:bookmarkStart w:id="0" w:name="_Hlk159928058"/>
      <w:r>
        <w:rPr>
          <w:b/>
          <w:bCs/>
          <w:color w:val="000000"/>
        </w:rPr>
        <w:t xml:space="preserve">                       </w:t>
      </w:r>
      <w:r>
        <w:rPr/>
        <w:t>« __» __________ 2026г.</w:t>
      </w:r>
      <w:bookmarkEnd w:id="0"/>
    </w:p>
    <w:p>
      <w:pPr>
        <w:pStyle w:val="Normal"/>
        <w:spacing w:before="0" w:after="60"/>
        <w:jc w:val="both"/>
        <w:rPr/>
      </w:pPr>
      <w:r>
        <w:rPr/>
      </w:r>
    </w:p>
    <w:p>
      <w:pPr>
        <w:pStyle w:val="Normal"/>
        <w:jc w:val="both"/>
        <w:rPr/>
      </w:pPr>
      <w:bookmarkStart w:id="1"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1"/>
      <w:r>
        <w:rPr>
          <w:b/>
          <w:bCs/>
        </w:rPr>
        <w:t>,</w:t>
      </w:r>
      <w:r>
        <w:rPr/>
        <w:t xml:space="preserve"> в лице начальника отдела материально-технического снабжения Кузнецовой Александры Евгеньевны, действующего на основании доверенности от 08.06.2026, именуемое в дальнейшем «Заказчик», с одной стороны, _____________________, именуемый в дальнейшем «Поставщик», с другой стороны, на основании </w:t>
      </w:r>
      <w:r>
        <w:rPr>
          <w:shd w:fill="auto" w:val="clear"/>
        </w:rPr>
        <w:t xml:space="preserve">п. 4 </w:t>
      </w:r>
      <w:r>
        <w:rPr>
          <w:shd w:fill="auto" w:val="clear"/>
        </w:rPr>
        <w:t xml:space="preserve">ч. 1 ст. 93 </w:t>
      </w:r>
      <w:r>
        <w:rPr>
          <w:rFonts w:eastAsia="Times New Roman" w:cs="Times New Roman"/>
          <w:color w:val="auto"/>
          <w:kern w:val="0"/>
          <w:sz w:val="20"/>
          <w:szCs w:val="20"/>
          <w:shd w:fill="auto" w:val="clear"/>
          <w:lang w:val="ru-RU" w:eastAsia="ru-RU" w:bidi="ar-SA"/>
        </w:rPr>
        <w:t>Федерального Закона № 44-ФЗ «О контрактной системе в сфере закупок товаров, работ, услуг для обеспечения государс</w:t>
      </w:r>
      <w:r>
        <w:rPr>
          <w:rFonts w:eastAsia="Times New Roman" w:cs="Times New Roman"/>
          <w:color w:val="auto"/>
          <w:kern w:val="0"/>
          <w:sz w:val="20"/>
          <w:szCs w:val="20"/>
          <w:lang w:val="ru-RU" w:eastAsia="ru-RU" w:bidi="ar-SA"/>
        </w:rPr>
        <w:t>твенных и муниципальных нужд» от 05.04.2013 г.,</w:t>
      </w:r>
      <w:r>
        <w:rPr/>
        <w:t xml:space="preserve"> заключили настоящий Контракт о нижеследующем:</w:t>
      </w:r>
    </w:p>
    <w:p>
      <w:pPr>
        <w:pStyle w:val="Normal"/>
        <w:spacing w:before="0" w:after="60"/>
        <w:jc w:val="center"/>
        <w:rPr>
          <w:b/>
          <w:bCs/>
        </w:rPr>
      </w:pPr>
      <w:r>
        <w:rPr>
          <w:b/>
        </w:rPr>
        <w:t>1. Предмет Контракта</w:t>
      </w:r>
    </w:p>
    <w:p>
      <w:pPr>
        <w:pStyle w:val="Normal"/>
        <w:numPr>
          <w:ilvl w:val="0"/>
          <w:numId w:val="0"/>
        </w:numPr>
        <w:ind w:hanging="0" w:start="0"/>
        <w:jc w:val="both"/>
        <w:outlineLvl w:val="0"/>
        <w:rPr>
          <w:b/>
          <w:bCs/>
        </w:rPr>
      </w:pPr>
      <w:r>
        <w:rPr/>
        <w:t>1.1. Поставщик по настоящему Контракт</w:t>
      </w:r>
      <w:r>
        <w:rPr>
          <w:bCs/>
        </w:rPr>
        <w:t>у</w:t>
      </w:r>
      <w:r>
        <w:rPr/>
        <w:t xml:space="preserve"> обязуется поставить товар: </w:t>
      </w:r>
      <w:r>
        <w:rPr/>
        <w:t xml:space="preserve">полотенца текстильные </w:t>
      </w:r>
      <w:r>
        <w:rPr>
          <w:rFonts w:eastAsia="Times New Roman"/>
        </w:rPr>
        <w:t>и передать его Заказ</w:t>
      </w:r>
      <w:r>
        <w:rPr/>
        <w:t>чику, а Заказчик по настоящему Контракт</w:t>
      </w:r>
      <w:r>
        <w:rPr>
          <w:bCs/>
        </w:rPr>
        <w:t>у</w:t>
      </w:r>
      <w:r>
        <w:rPr/>
        <w:t xml:space="preserve"> обязуется принять и оплатить поставленную Поставщиком продукцию (далее – Товар). Наименование и количество Товара устанавливается настоящим Контракт</w:t>
      </w:r>
      <w:r>
        <w:rPr>
          <w:bCs/>
        </w:rPr>
        <w:t xml:space="preserve">ом </w:t>
      </w:r>
      <w:r>
        <w:rPr/>
        <w:t>и спецификацией (Приложение №1 к настоящему Контракт</w:t>
      </w:r>
      <w:r>
        <w:rPr>
          <w:bCs/>
        </w:rPr>
        <w:t>у</w:t>
      </w:r>
      <w:r>
        <w:rPr/>
        <w:t>), которая является его неотъемлемой частью.</w:t>
      </w:r>
    </w:p>
    <w:p>
      <w:pPr>
        <w:pStyle w:val="Normal"/>
        <w:jc w:val="both"/>
        <w:rPr>
          <w:color w:val="000000"/>
        </w:rPr>
      </w:pPr>
      <w:r>
        <w:rPr>
          <w:color w:val="000000"/>
        </w:rPr>
        <w:t>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w:t>
      </w:r>
    </w:p>
    <w:p>
      <w:pPr>
        <w:pStyle w:val="BodyTextIndent"/>
        <w:ind w:hanging="0"/>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rPr>
        <w:t>________</w:t>
      </w:r>
      <w:r>
        <w:rPr/>
        <w:t xml:space="preserve"> рублей (_____________ рублей ___ копеек).  НДС не предусмотрен</w:t>
      </w:r>
      <w:r>
        <w:rPr>
          <w:shd w:fill="FFFFFF" w:val="clear"/>
        </w:rPr>
        <w:t xml:space="preserve"> в связи с применением Поставщиком упрощенной системы налогообложения</w:t>
      </w:r>
      <w:r>
        <w:rPr/>
        <w:t xml:space="preserve">. </w:t>
      </w:r>
      <w:r>
        <w:rPr>
          <w:bCs/>
        </w:rPr>
        <w:t xml:space="preserve"> </w:t>
      </w:r>
      <w:r>
        <w:rPr/>
        <w:t>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pPr>
        <w:pStyle w:val="Normal"/>
        <w:widowControl w:val="false"/>
        <w:jc w:val="both"/>
        <w:rPr/>
      </w:pPr>
      <w:r>
        <w:rPr/>
        <w:t xml:space="preserve">2.2. Цена Контракта является твердой и определяется на весь срок исполнения Контракта. </w:t>
      </w:r>
    </w:p>
    <w:p>
      <w:pPr>
        <w:pStyle w:val="BodyTextIndent"/>
        <w:tabs>
          <w:tab w:val="clear" w:pos="708"/>
          <w:tab w:val="left" w:pos="540" w:leader="none"/>
        </w:tabs>
        <w:ind w:hanging="0"/>
        <w:rPr>
          <w:lang w:val="ru-RU"/>
        </w:rPr>
      </w:pPr>
      <w:r>
        <w:rPr>
          <w:lang w:val="ru-RU"/>
        </w:rPr>
        <w:t xml:space="preserve">2.3. </w:t>
      </w:r>
      <w:r>
        <w:rPr>
          <w:rFonts w:eastAsia="Times New Roman"/>
          <w:color w:themeColor="text1" w:val="000000"/>
          <w:lang w:val="ru-RU"/>
        </w:rPr>
        <w:t>Расчет по настоящему Контракту производится Заказчиком в течение 10 рабочих дней с момента приемки товара по качеству на основании подписанного Заказчиком и Поставщиком Акта приемки (ф. 0510452), счет-фактуры (УПД) или товарной накладной</w:t>
      </w:r>
      <w:r>
        <w:rPr>
          <w:rFonts w:eastAsia="Times New Roman"/>
          <w:color w:themeColor="text1" w:val="000000"/>
          <w:sz w:val="24"/>
          <w:lang w:val="ru-RU"/>
        </w:rPr>
        <w:t>.</w:t>
      </w:r>
    </w:p>
    <w:p>
      <w:pPr>
        <w:pStyle w:val="BodyTextIndent"/>
        <w:tabs>
          <w:tab w:val="clear" w:pos="708"/>
          <w:tab w:val="left" w:pos="540" w:leader="none"/>
        </w:tabs>
        <w:ind w:hanging="0"/>
        <w:rPr>
          <w:lang w:val="ru-RU"/>
        </w:rPr>
      </w:pPr>
      <w:r>
        <w:rPr>
          <w:lang w:val="ru-RU"/>
        </w:rPr>
        <w:t xml:space="preserve">2.4. </w:t>
      </w:r>
      <w:bookmarkStart w:id="2"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2"/>
    </w:p>
    <w:p>
      <w:pPr>
        <w:pStyle w:val="Normal"/>
        <w:jc w:val="both"/>
        <w:rPr>
          <w:rFonts w:eastAsia="Calibri"/>
        </w:rPr>
      </w:pPr>
      <w:r>
        <w:rPr/>
        <w:t>2.5. Источник финансирования:</w:t>
      </w:r>
      <w:bookmarkStart w:id="3" w:name="_Hlk174882174"/>
      <w:r>
        <w:rPr/>
        <w:t xml:space="preserve"> </w:t>
      </w:r>
      <w:bookmarkEnd w:id="3"/>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4"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4"/>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4.1. Поставка товара осуществляется с момента заключения контракта до 27.11.2026.</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text1" w:val="000000"/>
        </w:rPr>
      </w:pPr>
      <w:r>
        <w:rPr/>
        <w:t xml:space="preserve">4.3. </w:t>
      </w:r>
      <w:r>
        <w:rPr>
          <w:color w:themeColor="text1" w:val="000000"/>
        </w:rPr>
        <w:t>Датой поставки Товара считается дата подписания Заказчиком счет-фактуры (УПД) или товарной накладной.</w:t>
      </w:r>
    </w:p>
    <w:p>
      <w:pPr>
        <w:pStyle w:val="Normal"/>
        <w:jc w:val="both"/>
        <w:rPr>
          <w:color w:themeColor="text1" w:val="000000"/>
        </w:rPr>
      </w:pPr>
      <w:r>
        <w:rPr>
          <w:color w:themeColor="text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text1" w:val="000000"/>
        </w:rPr>
        <w:t> </w:t>
      </w:r>
      <w:r>
        <w:rPr>
          <w:color w:themeColor="text1" w:val="000000"/>
        </w:rPr>
        <w:t>- Счет-фактура – 2 экз. или Универсальный передаточный документ (УПД)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Normal"/>
        <w:jc w:val="both"/>
        <w:rPr>
          <w:rFonts w:eastAsia="Calibri"/>
        </w:rPr>
      </w:pPr>
      <w:r>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Normal"/>
        <w:jc w:val="both"/>
        <w:rPr/>
      </w:pPr>
      <w:r>
        <w:rPr/>
        <w:t xml:space="preserve">5.2. В течение 5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Normal"/>
        <w:jc w:val="both"/>
        <w:rPr>
          <w:rFonts w:eastAsia="Calibri"/>
        </w:rPr>
      </w:pPr>
      <w:r>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Normal"/>
        <w:jc w:val="both"/>
        <w:rPr>
          <w:rFonts w:eastAsia="Calibri"/>
        </w:rPr>
      </w:pPr>
      <w:r>
        <w:rPr/>
        <w:t xml:space="preserve">5.3. По результатам приемки Комиссия по приемке, при отсутствии замечаний к Товару и расхождений, составляет и подписывает Акт приемки (ф.0510452).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Normal"/>
        <w:jc w:val="both"/>
        <w:rPr>
          <w:rFonts w:eastAsia="Calibri"/>
        </w:rPr>
      </w:pPr>
      <w:r>
        <w:rPr/>
        <w:t xml:space="preserve">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w:t>
      </w:r>
    </w:p>
    <w:p>
      <w:pPr>
        <w:pStyle w:val="Normal"/>
        <w:jc w:val="both"/>
        <w:rPr>
          <w:rFonts w:eastAsia="Calibri"/>
        </w:rPr>
      </w:pPr>
      <w:r>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Normal"/>
        <w:jc w:val="both"/>
        <w:rPr>
          <w:rFonts w:eastAsia="Calibri"/>
        </w:rPr>
      </w:pPr>
      <w:r>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Normal"/>
        <w:jc w:val="both"/>
        <w:rPr>
          <w:rFonts w:eastAsia="Calibri"/>
        </w:rPr>
      </w:pPr>
      <w:r>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Normal"/>
        <w:jc w:val="both"/>
        <w:rPr>
          <w:rFonts w:eastAsia="Calibri"/>
        </w:rPr>
      </w:pPr>
      <w:r>
        <w:rPr/>
        <w:t>5.7. Обязательства Поставщика по поставке Товара считаются выполненными Поставщиком после утверждения Заказчиком Акта приемки (ф. 0510452).</w:t>
      </w:r>
    </w:p>
    <w:p>
      <w:pPr>
        <w:pStyle w:val="BodyTextIndent"/>
        <w:ind w:hanging="0"/>
        <w:jc w:val="center"/>
        <w:rPr>
          <w:b/>
          <w:lang w:val="ru-RU"/>
        </w:rPr>
      </w:pPr>
      <w:r>
        <w:rPr>
          <w:b/>
          <w:lang w:val="ru-RU"/>
        </w:rPr>
        <w:t>6. Гарантия качества</w:t>
      </w:r>
    </w:p>
    <w:p>
      <w:pPr>
        <w:pStyle w:val="Normal"/>
        <w:numPr>
          <w:ilvl w:val="0"/>
          <w:numId w:val="0"/>
        </w:numPr>
        <w:ind w:hanging="0" w:start="0"/>
        <w:jc w:val="both"/>
        <w:outlineLvl w:val="1"/>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jc w:val="both"/>
        <w:rPr/>
      </w:pPr>
      <w:r>
        <w:rPr/>
        <w:t xml:space="preserve">6.2. Товар должен быть новым, ранее не использованным. </w:t>
      </w:r>
    </w:p>
    <w:p>
      <w:pPr>
        <w:pStyle w:val="Normal"/>
        <w:jc w:val="both"/>
        <w:rPr/>
      </w:pPr>
      <w:r>
        <w:rPr/>
        <w:t xml:space="preserve">6.3. Гарантийный срок — </w:t>
      </w:r>
      <w:r>
        <w:rPr>
          <w:shd w:fill="auto" w:val="clear"/>
        </w:rPr>
        <w:t>не менее 12 месяцев с</w:t>
      </w:r>
      <w:r>
        <w:rPr>
          <w:shd w:fill="auto" w:val="clear"/>
        </w:rPr>
        <w:t xml:space="preserve"> м</w:t>
      </w:r>
      <w:r>
        <w:rPr/>
        <w:t>омента подписания документов о приемке Сторонами</w:t>
      </w:r>
      <w:bookmarkStart w:id="5" w:name="_Hlk177570061"/>
      <w:r>
        <w:rPr/>
        <w:t>.</w:t>
      </w:r>
      <w:bookmarkEnd w:id="5"/>
    </w:p>
    <w:p>
      <w:pPr>
        <w:pStyle w:val="Normal"/>
        <w:jc w:val="both"/>
        <w:rPr/>
      </w:pPr>
      <w:r>
        <w:rPr/>
        <w:t xml:space="preserve">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w:t>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rPr>
          <w:b/>
        </w:rPr>
      </w:pPr>
      <w:r>
        <w:rPr>
          <w:b/>
        </w:rPr>
        <w:t xml:space="preserve">                                                                           </w:t>
      </w:r>
      <w:r>
        <w:rPr>
          <w:b/>
        </w:rPr>
        <w:t xml:space="preserve">8. Ответственность сторон                                                                                                                                                                           </w:t>
      </w:r>
      <w:r>
        <w:rPr/>
        <w:t xml:space="preserve">8.1. </w:t>
      </w:r>
      <w:bookmarkStart w:id="6"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6"/>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rPr>
        <w:t xml:space="preserve">_________ </w:t>
      </w:r>
      <w:r>
        <w:rPr/>
        <w:t xml:space="preserve"> руб. и составляет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BodyTextIndent"/>
        <w:ind w:hanging="0"/>
        <w:jc w:val="center"/>
        <w:rPr>
          <w:b/>
          <w:lang w:val="ru-RU"/>
        </w:rPr>
      </w:pPr>
      <w:r>
        <w:rPr>
          <w:b/>
          <w:lang w:val="ru-RU"/>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7" w:name="_Hlk177570138"/>
      <w:r>
        <w:rPr>
          <w:rFonts w:ascii="Times New Roman" w:hAnsi="Times New Roman"/>
          <w:sz w:val="20"/>
          <w:szCs w:val="20"/>
        </w:rPr>
        <w:t xml:space="preserve">Настоящий Контракт вступает в силу с момента заключения и действует до </w:t>
      </w:r>
      <w:r>
        <w:rPr>
          <w:rFonts w:ascii="Times New Roman" w:hAnsi="Times New Roman"/>
          <w:sz w:val="20"/>
          <w:szCs w:val="20"/>
          <w:shd w:fill="auto" w:val="clear"/>
        </w:rPr>
        <w:t>25.12.2026</w:t>
      </w:r>
      <w:r>
        <w:rPr>
          <w:rFonts w:ascii="Times New Roman" w:hAnsi="Times New Roman"/>
          <w:sz w:val="20"/>
          <w:szCs w:val="20"/>
          <w:shd w:fill="auto" w:val="clear"/>
        </w:rPr>
        <w:t xml:space="preserve">, </w:t>
      </w:r>
      <w:r>
        <w:rPr>
          <w:rFonts w:ascii="Times New Roman" w:hAnsi="Times New Roman"/>
          <w:sz w:val="20"/>
          <w:szCs w:val="20"/>
        </w:rPr>
        <w:t>а в части оплаты – до исполнения обязательств.</w:t>
      </w:r>
      <w:bookmarkEnd w:id="7"/>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30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Поставщиком и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end="-142"/>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end="-142"/>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end="-142"/>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end="-142"/>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end="-142"/>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end="-142"/>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end="-142"/>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end="-142"/>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end="-142"/>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end="-142"/>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end="-142"/>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5633"/>
        <w:gridCol w:w="4823"/>
      </w:tblGrid>
      <w:tr>
        <w:trPr>
          <w:trHeight w:val="7632" w:hRule="atLeast"/>
        </w:trPr>
        <w:tc>
          <w:tcPr>
            <w:tcW w:w="5633" w:type="dxa"/>
            <w:tcBorders/>
          </w:tcPr>
          <w:p>
            <w:pPr>
              <w:pStyle w:val="Normal"/>
              <w:numPr>
                <w:ilvl w:val="0"/>
                <w:numId w:val="0"/>
              </w:numPr>
              <w:ind w:hanging="0" w:start="0"/>
              <w:jc w:val="both"/>
              <w:outlineLvl w:val="5"/>
              <w:rPr>
                <w:b/>
                <w:iCs/>
              </w:rPr>
            </w:pPr>
            <w:r>
              <w:rPr>
                <w:b/>
                <w:iCs/>
              </w:rPr>
            </w:r>
          </w:p>
          <w:p>
            <w:pPr>
              <w:pStyle w:val="Normal"/>
              <w:numPr>
                <w:ilvl w:val="0"/>
                <w:numId w:val="0"/>
              </w:numPr>
              <w:ind w:hanging="0" w:start="0"/>
              <w:jc w:val="both"/>
              <w:outlineLvl w:val="5"/>
              <w:rPr>
                <w:b/>
                <w:iCs/>
              </w:rPr>
            </w:pPr>
            <w:r>
              <w:rPr>
                <w:b/>
                <w:iCs/>
              </w:rPr>
              <w:t>Заказчик:</w:t>
            </w:r>
          </w:p>
          <w:p>
            <w:pPr>
              <w:pStyle w:val="Normal"/>
              <w:widowControl/>
              <w:jc w:val="start"/>
              <w:rPr>
                <w:rFonts w:eastAsia="Calibri"/>
                <w:sz w:val="20"/>
                <w:szCs w:val="20"/>
                <w:lang w:eastAsia="en-US"/>
              </w:rPr>
            </w:pPr>
            <w:r>
              <w:rPr>
                <w:rFonts w:eastAsia="Calibri"/>
                <w:b/>
                <w:bCs/>
                <w:sz w:val="20"/>
                <w:szCs w:val="20"/>
                <w:lang w:eastAsia="en-US"/>
              </w:rPr>
              <w:t xml:space="preserve">Федеральное государственное бюджетное научное учреждение «Научно-исследовательский институт комплексных проблем сердечно-сосудистых заболеваний»   </w:t>
            </w:r>
            <w:r>
              <w:rPr>
                <w:rFonts w:eastAsia="Calibri"/>
                <w:sz w:val="20"/>
                <w:szCs w:val="20"/>
                <w:lang w:eastAsia="en-US"/>
              </w:rPr>
              <w:t xml:space="preserve">   </w:t>
            </w:r>
          </w:p>
          <w:p>
            <w:pPr>
              <w:pStyle w:val="Normal"/>
              <w:spacing w:lineRule="auto" w:line="288"/>
              <w:ind w:end="540"/>
              <w:rPr/>
            </w:pPr>
            <w:r>
              <w:rPr>
                <w:sz w:val="20"/>
                <w:szCs w:val="20"/>
                <w:shd w:fill="FFFFFF" w:val="clear"/>
              </w:rPr>
              <w:t>Юридический и фактический адрес:</w:t>
            </w:r>
          </w:p>
          <w:p>
            <w:pPr>
              <w:pStyle w:val="Normal"/>
              <w:spacing w:lineRule="auto" w:line="288"/>
              <w:ind w:end="540"/>
              <w:rPr>
                <w:sz w:val="20"/>
                <w:szCs w:val="20"/>
                <w:shd w:fill="FFFFFF" w:val="clear"/>
              </w:rPr>
            </w:pPr>
            <w:r>
              <w:rPr>
                <w:sz w:val="20"/>
                <w:szCs w:val="20"/>
                <w:shd w:fill="FFFFFF" w:val="clear"/>
              </w:rPr>
              <w:t>650002, г. Кемерово, бульвар имени академика Л.С. Барбараша, стр. 6</w:t>
            </w:r>
          </w:p>
          <w:p>
            <w:pPr>
              <w:pStyle w:val="Normal"/>
              <w:spacing w:lineRule="auto" w:line="288"/>
              <w:ind w:end="540"/>
              <w:rPr>
                <w:sz w:val="20"/>
                <w:szCs w:val="20"/>
                <w:shd w:fill="FFFFFF" w:val="clear"/>
              </w:rPr>
            </w:pPr>
            <w:r>
              <w:rPr>
                <w:sz w:val="20"/>
                <w:szCs w:val="20"/>
                <w:shd w:fill="FFFFFF" w:val="clear"/>
              </w:rPr>
              <w:t>Тел.: +7 (3842) 34-53-72</w:t>
            </w:r>
          </w:p>
          <w:p>
            <w:pPr>
              <w:pStyle w:val="Normal"/>
              <w:spacing w:lineRule="auto" w:line="288"/>
              <w:ind w:end="540"/>
              <w:rPr>
                <w:sz w:val="20"/>
                <w:szCs w:val="20"/>
                <w:shd w:fill="FFFFFF" w:val="clear"/>
              </w:rPr>
            </w:pPr>
            <w:r>
              <w:rPr>
                <w:sz w:val="20"/>
                <w:szCs w:val="20"/>
                <w:shd w:fill="FFFFFF" w:val="clear"/>
              </w:rPr>
              <w:t>Банковские реквизиты:</w:t>
            </w:r>
          </w:p>
          <w:p>
            <w:pPr>
              <w:pStyle w:val="Normal"/>
              <w:spacing w:lineRule="auto" w:line="288"/>
              <w:ind w:end="540"/>
              <w:rPr>
                <w:sz w:val="20"/>
                <w:szCs w:val="20"/>
                <w:shd w:fill="FFFFFF" w:val="clear"/>
              </w:rPr>
            </w:pPr>
            <w:r>
              <w:rPr>
                <w:sz w:val="20"/>
                <w:szCs w:val="20"/>
                <w:shd w:fill="FFFFFF" w:val="clear"/>
              </w:rPr>
              <w:t>УФК по Новосибирской области (НИИ КПССЗ л/с 20396Х66880)</w:t>
            </w:r>
          </w:p>
          <w:p>
            <w:pPr>
              <w:pStyle w:val="Normal"/>
              <w:spacing w:lineRule="auto" w:line="288"/>
              <w:ind w:end="540"/>
              <w:rPr>
                <w:sz w:val="20"/>
                <w:szCs w:val="20"/>
                <w:shd w:fill="FFFFFF" w:val="clear"/>
              </w:rPr>
            </w:pPr>
            <w:r>
              <w:rPr>
                <w:sz w:val="20"/>
                <w:szCs w:val="20"/>
                <w:shd w:fill="FFFFFF" w:val="clear"/>
              </w:rPr>
              <w:t>УФК по Новосибирской области (НИИ КПССЗ л/с 22396Х66880)</w:t>
            </w:r>
          </w:p>
          <w:p>
            <w:pPr>
              <w:pStyle w:val="Normal"/>
              <w:spacing w:lineRule="auto" w:line="288"/>
              <w:ind w:end="540"/>
              <w:rPr>
                <w:sz w:val="20"/>
                <w:szCs w:val="20"/>
                <w:shd w:fill="FFFFFF" w:val="clear"/>
              </w:rPr>
            </w:pPr>
            <w:r>
              <w:rPr>
                <w:sz w:val="20"/>
                <w:szCs w:val="20"/>
                <w:shd w:fill="FFFFFF" w:val="clear"/>
              </w:rPr>
              <w:t>УФК по Новосибирской области (НИИ КПССЗ л/с 21396Х66880)</w:t>
            </w:r>
          </w:p>
          <w:p>
            <w:pPr>
              <w:pStyle w:val="Normal"/>
              <w:spacing w:lineRule="auto" w:line="288"/>
              <w:ind w:end="540"/>
              <w:rPr>
                <w:sz w:val="20"/>
                <w:szCs w:val="20"/>
                <w:shd w:fill="FFFFFF" w:val="clear"/>
              </w:rPr>
            </w:pPr>
            <w:r>
              <w:rPr>
                <w:sz w:val="20"/>
                <w:szCs w:val="20"/>
                <w:shd w:fill="FFFFFF" w:val="clear"/>
              </w:rPr>
              <w:t>ИНН 4205012290  КПП 420501001</w:t>
            </w:r>
          </w:p>
          <w:p>
            <w:pPr>
              <w:pStyle w:val="Normal"/>
              <w:spacing w:lineRule="auto" w:line="288"/>
              <w:ind w:end="540"/>
              <w:rPr>
                <w:sz w:val="20"/>
                <w:szCs w:val="20"/>
                <w:shd w:fill="FFFFFF" w:val="clear"/>
              </w:rPr>
            </w:pPr>
            <w:r>
              <w:rPr>
                <w:sz w:val="20"/>
                <w:szCs w:val="20"/>
                <w:shd w:fill="FFFFFF" w:val="clear"/>
              </w:rPr>
              <w:t>КС 03214643000000015106</w:t>
            </w:r>
          </w:p>
          <w:p>
            <w:pPr>
              <w:pStyle w:val="Normal"/>
              <w:spacing w:lineRule="auto" w:line="288"/>
              <w:ind w:end="540"/>
              <w:rPr>
                <w:sz w:val="20"/>
                <w:szCs w:val="20"/>
                <w:shd w:fill="FFFFFF" w:val="clear"/>
              </w:rPr>
            </w:pPr>
            <w:r>
              <w:rPr>
                <w:sz w:val="20"/>
                <w:szCs w:val="20"/>
                <w:shd w:fill="FFFFFF" w:val="clear"/>
              </w:rPr>
              <w:t>ОКЦ № 1 СибГУ Банка России//УФК по Новосибирской области, г. Новосибирск</w:t>
            </w:r>
          </w:p>
          <w:p>
            <w:pPr>
              <w:pStyle w:val="Normal"/>
              <w:spacing w:lineRule="auto" w:line="288"/>
              <w:ind w:end="540"/>
              <w:rPr>
                <w:sz w:val="20"/>
                <w:szCs w:val="20"/>
                <w:shd w:fill="FFFFFF" w:val="clear"/>
              </w:rPr>
            </w:pPr>
            <w:r>
              <w:rPr>
                <w:sz w:val="20"/>
                <w:szCs w:val="20"/>
                <w:shd w:fill="FFFFFF" w:val="clear"/>
              </w:rPr>
              <w:t>БИК 015004950</w:t>
            </w:r>
          </w:p>
          <w:p>
            <w:pPr>
              <w:pStyle w:val="Normal"/>
              <w:spacing w:lineRule="auto" w:line="288"/>
              <w:ind w:end="540"/>
              <w:rPr>
                <w:sz w:val="20"/>
                <w:szCs w:val="20"/>
                <w:shd w:fill="FFFFFF" w:val="clear"/>
              </w:rPr>
            </w:pPr>
            <w:r>
              <w:rPr>
                <w:sz w:val="20"/>
                <w:szCs w:val="20"/>
                <w:shd w:fill="FFFFFF" w:val="clear"/>
              </w:rPr>
              <w:t>ЕКС 40102810445370000043</w:t>
            </w:r>
          </w:p>
          <w:p>
            <w:pPr>
              <w:pStyle w:val="Normal"/>
              <w:spacing w:lineRule="auto" w:line="288"/>
              <w:ind w:end="540"/>
              <w:rPr>
                <w:sz w:val="20"/>
                <w:szCs w:val="20"/>
                <w:shd w:fill="FFFFFF" w:val="clear"/>
              </w:rPr>
            </w:pPr>
            <w:r>
              <w:rPr>
                <w:sz w:val="20"/>
                <w:szCs w:val="20"/>
                <w:shd w:fill="FFFFFF" w:val="clear"/>
              </w:rPr>
              <w:t>КБК 00000000000000000130</w:t>
            </w:r>
          </w:p>
          <w:p>
            <w:pPr>
              <w:pStyle w:val="Normal"/>
              <w:spacing w:lineRule="auto" w:line="288"/>
              <w:ind w:end="540"/>
              <w:rPr>
                <w:sz w:val="20"/>
                <w:szCs w:val="20"/>
                <w:shd w:fill="FFFFFF" w:val="clear"/>
              </w:rPr>
            </w:pPr>
            <w:r>
              <w:rPr>
                <w:sz w:val="20"/>
                <w:szCs w:val="20"/>
                <w:shd w:fill="FFFFFF" w:val="clear"/>
              </w:rPr>
              <w:t>ОГРН 1034205024479</w:t>
            </w:r>
          </w:p>
          <w:p>
            <w:pPr>
              <w:pStyle w:val="Normal"/>
              <w:spacing w:lineRule="auto" w:line="288"/>
              <w:ind w:end="540"/>
              <w:rPr>
                <w:sz w:val="20"/>
                <w:szCs w:val="20"/>
                <w:shd w:fill="FFFFFF" w:val="clear"/>
              </w:rPr>
            </w:pPr>
            <w:r>
              <w:rPr>
                <w:sz w:val="20"/>
                <w:szCs w:val="20"/>
                <w:shd w:fill="FFFFFF" w:val="clear"/>
              </w:rPr>
              <w:t>ОКПО 55608705</w:t>
            </w:r>
          </w:p>
          <w:p>
            <w:pPr>
              <w:pStyle w:val="Normal"/>
              <w:spacing w:lineRule="auto" w:line="288"/>
              <w:ind w:end="540"/>
              <w:rPr>
                <w:sz w:val="20"/>
                <w:szCs w:val="20"/>
                <w:shd w:fill="FFFFFF" w:val="clear"/>
              </w:rPr>
            </w:pPr>
            <w:r>
              <w:rPr>
                <w:sz w:val="20"/>
                <w:szCs w:val="20"/>
                <w:shd w:fill="FFFFFF" w:val="clear"/>
              </w:rPr>
              <w:t>ОКАТО 32401000000</w:t>
            </w:r>
          </w:p>
          <w:p>
            <w:pPr>
              <w:pStyle w:val="Normal"/>
              <w:spacing w:lineRule="auto" w:line="288"/>
              <w:ind w:end="540"/>
              <w:rPr>
                <w:sz w:val="20"/>
                <w:szCs w:val="20"/>
                <w:shd w:fill="FFFFFF" w:val="clear"/>
              </w:rPr>
            </w:pPr>
            <w:r>
              <w:rPr>
                <w:sz w:val="20"/>
                <w:szCs w:val="20"/>
                <w:shd w:fill="FFFFFF" w:val="clear"/>
              </w:rPr>
              <w:t>ОКТМО 32701000</w:t>
            </w:r>
          </w:p>
          <w:p>
            <w:pPr>
              <w:pStyle w:val="Normal"/>
              <w:spacing w:lineRule="auto" w:line="288"/>
              <w:ind w:end="540"/>
              <w:rPr>
                <w:sz w:val="20"/>
                <w:szCs w:val="20"/>
                <w:shd w:fill="FFFFFF" w:val="clear"/>
              </w:rPr>
            </w:pPr>
            <w:r>
              <w:rPr>
                <w:sz w:val="20"/>
                <w:szCs w:val="20"/>
                <w:shd w:fill="FFFFFF" w:val="clear"/>
              </w:rPr>
              <w:t>ОКОГУ 1330612</w:t>
            </w:r>
          </w:p>
          <w:p>
            <w:pPr>
              <w:pStyle w:val="Normal"/>
              <w:spacing w:lineRule="auto" w:line="288"/>
              <w:ind w:end="540"/>
              <w:rPr>
                <w:sz w:val="20"/>
                <w:szCs w:val="20"/>
                <w:shd w:fill="FFFFFF" w:val="clear"/>
              </w:rPr>
            </w:pPr>
            <w:r>
              <w:rPr>
                <w:sz w:val="20"/>
                <w:szCs w:val="20"/>
                <w:shd w:fill="FFFFFF" w:val="clear"/>
              </w:rPr>
              <w:t>ОКФС 12</w:t>
            </w:r>
          </w:p>
          <w:p>
            <w:pPr>
              <w:pStyle w:val="Normal"/>
              <w:spacing w:lineRule="auto" w:line="288"/>
              <w:ind w:end="540"/>
              <w:rPr>
                <w:sz w:val="20"/>
                <w:szCs w:val="20"/>
                <w:shd w:fill="FFFFFF" w:val="clear"/>
              </w:rPr>
            </w:pPr>
            <w:r>
              <w:rPr>
                <w:sz w:val="20"/>
                <w:szCs w:val="20"/>
                <w:shd w:fill="FFFFFF" w:val="clear"/>
              </w:rPr>
              <w:t>ОКОПФ 75103</w:t>
            </w:r>
          </w:p>
          <w:p>
            <w:pPr>
              <w:pStyle w:val="Normal"/>
              <w:spacing w:lineRule="auto" w:line="288"/>
              <w:ind w:end="540"/>
              <w:rPr>
                <w:sz w:val="20"/>
                <w:szCs w:val="20"/>
                <w:shd w:fill="FFFFFF" w:val="clear"/>
              </w:rPr>
            </w:pPr>
            <w:r>
              <w:rPr>
                <w:sz w:val="20"/>
                <w:szCs w:val="20"/>
                <w:shd w:fill="FFFFFF" w:val="clear"/>
              </w:rPr>
              <w:t>ОКВЭД 72.19</w:t>
            </w:r>
          </w:p>
          <w:p>
            <w:pPr>
              <w:pStyle w:val="Normal"/>
              <w:spacing w:lineRule="auto" w:line="288"/>
              <w:ind w:end="540"/>
              <w:rPr>
                <w:sz w:val="20"/>
                <w:szCs w:val="20"/>
                <w:shd w:fill="FFFFFF" w:val="clear"/>
              </w:rPr>
            </w:pPr>
            <w:r>
              <w:rPr>
                <w:sz w:val="20"/>
                <w:szCs w:val="20"/>
                <w:shd w:fill="FFFFFF" w:val="clear"/>
              </w:rPr>
              <w:t>Тел/факс: +7 (3842) 64-33-08</w:t>
            </w:r>
          </w:p>
          <w:p>
            <w:pPr>
              <w:pStyle w:val="Normal"/>
              <w:spacing w:lineRule="auto" w:line="288"/>
              <w:ind w:end="540"/>
              <w:rPr>
                <w:sz w:val="20"/>
                <w:szCs w:val="20"/>
                <w:shd w:fill="FFFFFF" w:val="clear"/>
              </w:rPr>
            </w:pPr>
            <w:r>
              <w:rPr>
                <w:sz w:val="20"/>
                <w:szCs w:val="20"/>
                <w:shd w:fill="FFFFFF" w:val="clear"/>
              </w:rPr>
              <w:t>E-mail:  reception@kemcardio.ru</w:t>
            </w:r>
          </w:p>
          <w:p>
            <w:pPr>
              <w:pStyle w:val="11"/>
              <w:rPr>
                <w:rFonts w:ascii="Times New Roman" w:hAnsi="Times New Roman" w:cs="Times New Roman"/>
                <w:sz w:val="20"/>
                <w:szCs w:val="20"/>
              </w:rPr>
            </w:pPr>
            <w:r>
              <w:rPr>
                <w:rFonts w:cs="Times New Roman" w:ascii="Times New Roman" w:hAnsi="Times New Roman"/>
                <w:sz w:val="20"/>
                <w:szCs w:val="20"/>
              </w:rPr>
            </w:r>
          </w:p>
          <w:p>
            <w:pPr>
              <w:pStyle w:val="11"/>
              <w:rPr>
                <w:rFonts w:ascii="Times New Roman" w:hAnsi="Times New Roman" w:cs="Times New Roman"/>
                <w:sz w:val="20"/>
                <w:szCs w:val="20"/>
              </w:rPr>
            </w:pPr>
            <w:r>
              <w:rPr>
                <w:rFonts w:cs="Times New Roman" w:ascii="Times New Roman" w:hAnsi="Times New Roman"/>
                <w:sz w:val="20"/>
                <w:szCs w:val="20"/>
              </w:rPr>
              <w:t>Заказчик</w:t>
            </w:r>
          </w:p>
          <w:p>
            <w:pPr>
              <w:pStyle w:val="11"/>
              <w:rPr>
                <w:rFonts w:ascii="Times New Roman" w:hAnsi="Times New Roman" w:cs="Times New Roman"/>
                <w:sz w:val="20"/>
                <w:szCs w:val="20"/>
              </w:rPr>
            </w:pPr>
            <w:r>
              <w:rPr>
                <w:rFonts w:cs="Times New Roman" w:ascii="Times New Roman" w:hAnsi="Times New Roman"/>
                <w:sz w:val="20"/>
                <w:szCs w:val="20"/>
              </w:rPr>
              <w:t>Начальник отдела материально-технического снабжения</w:t>
            </w:r>
          </w:p>
          <w:p>
            <w:pPr>
              <w:pStyle w:val="11"/>
              <w:rPr>
                <w:rFonts w:ascii="Times New Roman" w:hAnsi="Times New Roman" w:cs="Times New Roman"/>
                <w:sz w:val="20"/>
                <w:szCs w:val="20"/>
              </w:rPr>
            </w:pPr>
            <w:r>
              <w:rPr>
                <w:rFonts w:cs="Times New Roman" w:ascii="Times New Roman" w:hAnsi="Times New Roman"/>
                <w:sz w:val="20"/>
                <w:szCs w:val="20"/>
              </w:rPr>
            </w:r>
          </w:p>
          <w:p>
            <w:pPr>
              <w:pStyle w:val="Normal"/>
              <w:rPr/>
            </w:pPr>
            <w:r>
              <w:rPr/>
              <w:t>____________  А.Е.Кузнецова</w:t>
            </w:r>
          </w:p>
          <w:p>
            <w:pPr>
              <w:pStyle w:val="Normal"/>
              <w:rPr/>
            </w:pPr>
            <w:r>
              <w:rPr/>
              <w:t>м.п.</w:t>
            </w:r>
          </w:p>
        </w:tc>
        <w:tc>
          <w:tcPr>
            <w:tcW w:w="4823" w:type="dxa"/>
            <w:tcBorders/>
          </w:tcPr>
          <w:p>
            <w:pPr>
              <w:pStyle w:val="Normal"/>
              <w:jc w:val="both"/>
              <w:rPr/>
            </w:pPr>
            <w:r>
              <w:rPr/>
            </w:r>
          </w:p>
          <w:p>
            <w:pPr>
              <w:pStyle w:val="Normal"/>
              <w:jc w:val="both"/>
              <w:rPr>
                <w:b/>
                <w:bCs/>
              </w:rPr>
            </w:pPr>
            <w:r>
              <w:rPr>
                <w:b/>
                <w:bCs/>
              </w:rPr>
              <w:t>Поставщик:</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 </w:t>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0"/>
        </w:sectPr>
      </w:pPr>
    </w:p>
    <w:p>
      <w:pPr>
        <w:pStyle w:val="Normal"/>
        <w:spacing w:before="0" w:after="60"/>
        <w:jc w:val="end"/>
        <w:rPr/>
      </w:pPr>
      <w:r>
        <w:rPr/>
        <w:t xml:space="preserve">Приложение №1 </w:t>
      </w:r>
    </w:p>
    <w:p>
      <w:pPr>
        <w:pStyle w:val="Normal"/>
        <w:spacing w:before="0" w:after="60"/>
        <w:jc w:val="end"/>
        <w:rPr/>
      </w:pPr>
      <w:r>
        <w:rPr/>
        <w:t xml:space="preserve">                                                                                                                         </w:t>
      </w:r>
      <w:bookmarkStart w:id="8" w:name="_Hlk180496427"/>
      <w:r>
        <w:rPr/>
        <w:t xml:space="preserve">к Контракту </w:t>
      </w:r>
      <w:r>
        <w:rPr>
          <w:b/>
          <w:bCs/>
        </w:rPr>
        <w:t>№ ________</w:t>
      </w:r>
    </w:p>
    <w:p>
      <w:pPr>
        <w:pStyle w:val="Normal"/>
        <w:spacing w:before="0" w:after="60"/>
        <w:jc w:val="end"/>
        <w:rPr>
          <w:b/>
          <w:bCs/>
        </w:rPr>
      </w:pPr>
      <w:r>
        <w:rPr/>
        <w:t xml:space="preserve">                                                                                                                                </w:t>
      </w:r>
      <w:r>
        <w:rPr>
          <w:rFonts w:eastAsia="Calibri"/>
          <w:lang w:eastAsia="en-US"/>
        </w:rPr>
        <w:t>«______» _________ 2026г.</w:t>
      </w:r>
      <w:bookmarkEnd w:id="8"/>
    </w:p>
    <w:p>
      <w:pPr>
        <w:pStyle w:val="Normal"/>
        <w:spacing w:before="0" w:after="60"/>
        <w:jc w:val="center"/>
        <w:rPr>
          <w:b/>
          <w:bCs/>
          <w:sz w:val="24"/>
          <w:szCs w:val="24"/>
        </w:rPr>
      </w:pPr>
      <w:r>
        <w:rPr>
          <w:b/>
          <w:bCs/>
          <w:sz w:val="24"/>
          <w:szCs w:val="24"/>
        </w:rPr>
      </w:r>
    </w:p>
    <w:p>
      <w:pPr>
        <w:pStyle w:val="Normal"/>
        <w:spacing w:before="0" w:after="60"/>
        <w:jc w:val="center"/>
        <w:rPr>
          <w:b/>
          <w:bCs/>
        </w:rPr>
      </w:pPr>
      <w:r>
        <w:rPr>
          <w:b/>
          <w:bCs/>
        </w:rPr>
        <w:t>Спецификация</w:t>
      </w:r>
    </w:p>
    <w:p>
      <w:pPr>
        <w:pStyle w:val="Normal"/>
        <w:spacing w:before="0" w:after="60"/>
        <w:jc w:val="center"/>
        <w:rPr>
          <w:b/>
          <w:bCs/>
        </w:rPr>
      </w:pPr>
      <w:r>
        <w:rPr>
          <w:b/>
          <w:bCs/>
        </w:rPr>
      </w:r>
    </w:p>
    <w:tbl>
      <w:tblPr>
        <w:tblW w:w="5000" w:type="pct"/>
        <w:jc w:val="start"/>
        <w:tblInd w:w="-5" w:type="dxa"/>
        <w:tblLayout w:type="fixed"/>
        <w:tblCellMar>
          <w:top w:w="55" w:type="dxa"/>
          <w:start w:w="55" w:type="dxa"/>
          <w:bottom w:w="55" w:type="dxa"/>
          <w:end w:w="55" w:type="dxa"/>
        </w:tblCellMar>
      </w:tblPr>
      <w:tblGrid>
        <w:gridCol w:w="620"/>
        <w:gridCol w:w="6355"/>
        <w:gridCol w:w="1307"/>
        <w:gridCol w:w="1241"/>
        <w:gridCol w:w="1415"/>
        <w:gridCol w:w="1651"/>
        <w:gridCol w:w="1190"/>
        <w:gridCol w:w="1619"/>
      </w:tblGrid>
      <w:tr>
        <w:trPr/>
        <w:tc>
          <w:tcPr>
            <w:tcW w:w="620" w:type="dxa"/>
            <w:tcBorders>
              <w:top w:val="single" w:sz="4" w:space="0" w:color="000000"/>
              <w:start w:val="single" w:sz="4" w:space="0" w:color="000000"/>
              <w:bottom w:val="single" w:sz="4" w:space="0" w:color="000000"/>
            </w:tcBorders>
          </w:tcPr>
          <w:p>
            <w:pPr>
              <w:pStyle w:val="Normal"/>
              <w:widowControl w:val="false"/>
              <w:bidi w:val="0"/>
              <w:spacing w:before="0" w:after="0"/>
              <w:ind w:hanging="0" w:start="170" w:end="0"/>
              <w:jc w:val="start"/>
              <w:rPr/>
            </w:pPr>
            <w:r>
              <w:rPr/>
              <w:t>№</w:t>
            </w:r>
          </w:p>
          <w:p>
            <w:pPr>
              <w:pStyle w:val="Normal"/>
              <w:widowControl w:val="false"/>
              <w:bidi w:val="0"/>
              <w:spacing w:before="0" w:after="0"/>
              <w:ind w:hanging="0" w:start="170" w:end="0"/>
              <w:jc w:val="start"/>
              <w:rPr/>
            </w:pPr>
            <w:r>
              <w:rPr/>
              <w:t>п/п</w:t>
            </w:r>
          </w:p>
        </w:tc>
        <w:tc>
          <w:tcPr>
            <w:tcW w:w="6355" w:type="dxa"/>
            <w:tcBorders>
              <w:top w:val="single" w:sz="4" w:space="0" w:color="000000"/>
              <w:start w:val="single" w:sz="4" w:space="0" w:color="000000"/>
              <w:bottom w:val="single" w:sz="4" w:space="0" w:color="000000"/>
            </w:tcBorders>
          </w:tcPr>
          <w:p>
            <w:pPr>
              <w:pStyle w:val="Normal"/>
              <w:widowControl w:val="false"/>
              <w:bidi w:val="0"/>
              <w:spacing w:before="0" w:after="0"/>
              <w:ind w:hanging="0" w:start="0" w:end="0"/>
              <w:jc w:val="center"/>
              <w:rPr/>
            </w:pPr>
            <w:r>
              <w:rPr/>
              <w:t>Наименование, минимальные технические (качественные) характеристики  товара</w:t>
            </w:r>
          </w:p>
        </w:tc>
        <w:tc>
          <w:tcPr>
            <w:tcW w:w="1307" w:type="dxa"/>
            <w:tcBorders>
              <w:top w:val="single" w:sz="4" w:space="0" w:color="000000"/>
              <w:start w:val="single" w:sz="4" w:space="0" w:color="000000"/>
              <w:bottom w:val="single" w:sz="4" w:space="0" w:color="000000"/>
            </w:tcBorders>
          </w:tcPr>
          <w:p>
            <w:pPr>
              <w:pStyle w:val="Normal"/>
              <w:widowControl w:val="false"/>
              <w:bidi w:val="0"/>
              <w:spacing w:before="0" w:after="0"/>
              <w:ind w:hanging="0" w:start="0" w:end="0"/>
              <w:jc w:val="center"/>
              <w:rPr/>
            </w:pPr>
            <w:r>
              <w:rPr/>
              <w:t>Страна происхождения товара</w:t>
            </w:r>
          </w:p>
        </w:tc>
        <w:tc>
          <w:tcPr>
            <w:tcW w:w="1241" w:type="dxa"/>
            <w:tcBorders>
              <w:top w:val="single" w:sz="4" w:space="0" w:color="000000"/>
              <w:start w:val="single" w:sz="4" w:space="0" w:color="000000"/>
              <w:bottom w:val="single" w:sz="4" w:space="0" w:color="000000"/>
            </w:tcBorders>
          </w:tcPr>
          <w:p>
            <w:pPr>
              <w:pStyle w:val="Normal"/>
              <w:widowControl w:val="false"/>
              <w:bidi w:val="0"/>
              <w:spacing w:before="0" w:after="0"/>
              <w:ind w:hanging="0" w:start="57" w:end="0"/>
              <w:jc w:val="center"/>
              <w:rPr/>
            </w:pPr>
            <w:r>
              <w:rPr/>
              <w:t>Кол-во</w:t>
            </w:r>
          </w:p>
        </w:tc>
        <w:tc>
          <w:tcPr>
            <w:tcW w:w="1415" w:type="dxa"/>
            <w:tcBorders>
              <w:top w:val="single" w:sz="4" w:space="0" w:color="000000"/>
              <w:start w:val="single" w:sz="4" w:space="0" w:color="000000"/>
              <w:bottom w:val="single" w:sz="4" w:space="0" w:color="000000"/>
            </w:tcBorders>
          </w:tcPr>
          <w:p>
            <w:pPr>
              <w:pStyle w:val="Normal"/>
              <w:widowControl w:val="false"/>
              <w:bidi w:val="0"/>
              <w:spacing w:before="0" w:after="0"/>
              <w:ind w:hanging="0" w:start="0" w:end="0"/>
              <w:jc w:val="center"/>
              <w:rPr/>
            </w:pPr>
            <w:r>
              <w:rPr/>
              <w:t>Ед. изм.</w:t>
            </w:r>
          </w:p>
        </w:tc>
        <w:tc>
          <w:tcPr>
            <w:tcW w:w="1651" w:type="dxa"/>
            <w:tcBorders>
              <w:top w:val="single" w:sz="4" w:space="0" w:color="000000"/>
              <w:start w:val="single" w:sz="4" w:space="0" w:color="000000"/>
              <w:bottom w:val="single" w:sz="4" w:space="0" w:color="000000"/>
            </w:tcBorders>
          </w:tcPr>
          <w:p>
            <w:pPr>
              <w:pStyle w:val="Normal"/>
              <w:widowControl w:val="false"/>
              <w:shd w:val="clear" w:color="auto" w:fill="FFFFFF"/>
              <w:bidi w:val="0"/>
              <w:spacing w:before="0" w:after="0"/>
              <w:ind w:hanging="0" w:start="0" w:end="0"/>
              <w:jc w:val="center"/>
              <w:rPr/>
            </w:pPr>
            <w:r>
              <w:rPr>
                <w:color w:val="000000"/>
                <w:spacing w:val="-11"/>
              </w:rPr>
              <w:t xml:space="preserve">Стоимость единицы без НДС, рублей </w:t>
            </w:r>
          </w:p>
        </w:tc>
        <w:tc>
          <w:tcPr>
            <w:tcW w:w="1190" w:type="dxa"/>
            <w:tcBorders>
              <w:top w:val="single" w:sz="4" w:space="0" w:color="000000"/>
              <w:start w:val="single" w:sz="4" w:space="0" w:color="000000"/>
              <w:bottom w:val="single" w:sz="4" w:space="0" w:color="000000"/>
            </w:tcBorders>
          </w:tcPr>
          <w:p>
            <w:pPr>
              <w:pStyle w:val="Normal"/>
              <w:widowControl w:val="false"/>
              <w:shd w:val="clear" w:color="auto" w:fill="FFFFFF"/>
              <w:bidi w:val="0"/>
              <w:spacing w:before="0" w:after="0"/>
              <w:ind w:hanging="0" w:start="0" w:end="0"/>
              <w:jc w:val="center"/>
              <w:rPr/>
            </w:pPr>
            <w:r>
              <w:rPr>
                <w:color w:val="000000"/>
                <w:spacing w:val="-11"/>
              </w:rPr>
              <w:t>НДС, рублей</w:t>
            </w:r>
          </w:p>
        </w:tc>
        <w:tc>
          <w:tcPr>
            <w:tcW w:w="1619" w:type="dxa"/>
            <w:tcBorders>
              <w:top w:val="single" w:sz="4" w:space="0" w:color="000000"/>
              <w:start w:val="single" w:sz="4" w:space="0" w:color="000000"/>
              <w:bottom w:val="single" w:sz="4" w:space="0" w:color="000000"/>
              <w:end w:val="single" w:sz="4" w:space="0" w:color="000000"/>
            </w:tcBorders>
          </w:tcPr>
          <w:p>
            <w:pPr>
              <w:pStyle w:val="Normal"/>
              <w:widowControl w:val="false"/>
              <w:shd w:val="clear" w:color="auto" w:fill="FFFFFF"/>
              <w:bidi w:val="0"/>
              <w:spacing w:before="0" w:after="0"/>
              <w:ind w:hanging="0" w:start="0" w:end="0"/>
              <w:jc w:val="center"/>
              <w:rPr/>
            </w:pPr>
            <w:r>
              <w:rPr>
                <w:color w:val="000000"/>
                <w:spacing w:val="-11"/>
              </w:rPr>
              <w:t>Общая стоимость с НДС, рублей</w:t>
            </w:r>
          </w:p>
        </w:tc>
      </w:tr>
      <w:tr>
        <w:trPr/>
        <w:tc>
          <w:tcPr>
            <w:tcW w:w="620" w:type="dxa"/>
            <w:tcBorders>
              <w:start w:val="single" w:sz="4" w:space="0" w:color="000000"/>
              <w:bottom w:val="single" w:sz="4" w:space="0" w:color="000000"/>
            </w:tcBorders>
          </w:tcPr>
          <w:p>
            <w:pPr>
              <w:pStyle w:val="Normal"/>
              <w:bidi w:val="0"/>
              <w:spacing w:before="0" w:after="0"/>
              <w:ind w:hanging="0" w:start="170" w:end="0"/>
              <w:jc w:val="start"/>
              <w:rPr/>
            </w:pPr>
            <w:r>
              <w:rPr/>
              <w:t>1</w:t>
            </w:r>
          </w:p>
        </w:tc>
        <w:tc>
          <w:tcPr>
            <w:tcW w:w="6355" w:type="dxa"/>
            <w:tcBorders>
              <w:start w:val="single" w:sz="4" w:space="0" w:color="000000"/>
              <w:bottom w:val="single" w:sz="4" w:space="0" w:color="000000"/>
            </w:tcBorders>
          </w:tcPr>
          <w:p>
            <w:pPr>
              <w:pStyle w:val="Normal"/>
              <w:spacing w:lineRule="auto" w:line="240"/>
              <w:jc w:val="start"/>
              <w:rPr>
                <w:b/>
                <w:bCs/>
              </w:rPr>
            </w:pPr>
            <w:r>
              <w:rPr>
                <w:rFonts w:cs="Times New Roman"/>
                <w:b/>
                <w:bCs/>
                <w:sz w:val="20"/>
                <w:szCs w:val="20"/>
              </w:rPr>
              <w:t xml:space="preserve">Полотенце </w:t>
            </w:r>
            <w:r>
              <w:rPr>
                <w:rFonts w:cs="Times New Roman"/>
                <w:b/>
                <w:bCs/>
                <w:sz w:val="20"/>
                <w:szCs w:val="20"/>
                <w:shd w:fill="FFFFFF" w:val="clear"/>
              </w:rPr>
              <w:t>текстильное</w:t>
            </w:r>
          </w:p>
          <w:p>
            <w:pPr>
              <w:pStyle w:val="Normal"/>
              <w:spacing w:lineRule="auto" w:line="240"/>
              <w:jc w:val="start"/>
              <w:rPr>
                <w:rFonts w:ascii="Times New Roman" w:hAnsi="Times New Roman" w:cs="Times New Roman"/>
                <w:sz w:val="20"/>
                <w:szCs w:val="20"/>
                <w:shd w:fill="FFFFFF" w:val="clear"/>
              </w:rPr>
            </w:pPr>
            <w:r>
              <w:rPr>
                <w:rFonts w:cs="Times New Roman"/>
                <w:sz w:val="20"/>
                <w:szCs w:val="20"/>
                <w:shd w:fill="FFFFFF" w:val="clear"/>
              </w:rPr>
              <w:t xml:space="preserve">Назначение- </w:t>
            </w:r>
            <w:r>
              <w:rPr>
                <w:rFonts w:cs="Times New Roman"/>
                <w:sz w:val="20"/>
                <w:szCs w:val="20"/>
                <w:shd w:fill="FFFFFF" w:val="clear"/>
              </w:rPr>
              <w:t>д</w:t>
            </w:r>
            <w:r>
              <w:rPr>
                <w:rFonts w:cs="Times New Roman"/>
                <w:sz w:val="20"/>
                <w:szCs w:val="20"/>
                <w:shd w:fill="FFFFFF" w:val="clear"/>
              </w:rPr>
              <w:t>ля ванной комнаты</w:t>
              <w:tab/>
            </w:r>
          </w:p>
          <w:p>
            <w:pPr>
              <w:pStyle w:val="Normal"/>
              <w:spacing w:lineRule="auto" w:line="240"/>
              <w:jc w:val="start"/>
              <w:rPr>
                <w:rFonts w:ascii="Times New Roman" w:hAnsi="Times New Roman" w:cs="Times New Roman"/>
                <w:sz w:val="20"/>
                <w:szCs w:val="20"/>
                <w:shd w:fill="FFFFFF" w:val="clear"/>
              </w:rPr>
            </w:pPr>
            <w:r>
              <w:rPr>
                <w:rFonts w:cs="Times New Roman"/>
                <w:sz w:val="20"/>
                <w:szCs w:val="20"/>
                <w:shd w:fill="FFFFFF" w:val="clear"/>
              </w:rPr>
              <w:t xml:space="preserve">Вид материала- </w:t>
            </w:r>
            <w:r>
              <w:rPr>
                <w:rFonts w:cs="Times New Roman"/>
                <w:sz w:val="20"/>
                <w:szCs w:val="20"/>
                <w:shd w:fill="FFFFFF" w:val="clear"/>
              </w:rPr>
              <w:t>х</w:t>
            </w:r>
            <w:r>
              <w:rPr>
                <w:rFonts w:cs="Times New Roman"/>
                <w:sz w:val="20"/>
                <w:szCs w:val="20"/>
                <w:shd w:fill="FFFFFF" w:val="clear"/>
              </w:rPr>
              <w:t>лопок</w:t>
              <w:tab/>
            </w:r>
          </w:p>
          <w:p>
            <w:pPr>
              <w:pStyle w:val="Normal"/>
              <w:spacing w:lineRule="auto" w:line="240"/>
              <w:jc w:val="start"/>
              <w:rPr>
                <w:rFonts w:ascii="Times New Roman" w:hAnsi="Times New Roman" w:cs="Times New Roman"/>
                <w:sz w:val="20"/>
                <w:szCs w:val="20"/>
                <w:shd w:fill="FFFFFF" w:val="clear"/>
              </w:rPr>
            </w:pPr>
            <w:r>
              <w:rPr>
                <w:rFonts w:cs="Times New Roman"/>
                <w:sz w:val="20"/>
                <w:szCs w:val="20"/>
                <w:shd w:fill="FFFFFF" w:val="clear"/>
              </w:rPr>
              <w:t>Длина</w:t>
              <w:tab/>
              <w:t>&gt; 130  и  ≤ 140 см</w:t>
            </w:r>
          </w:p>
          <w:p>
            <w:pPr>
              <w:pStyle w:val="Normal"/>
              <w:jc w:val="start"/>
              <w:rPr/>
            </w:pPr>
            <w:r>
              <w:rPr/>
              <w:t>Ширина &gt; 65  и  ≤ 70 см</w:t>
            </w:r>
          </w:p>
          <w:p>
            <w:pPr>
              <w:pStyle w:val="Normal"/>
              <w:jc w:val="start"/>
              <w:rPr/>
            </w:pPr>
            <w:r>
              <w:rPr/>
              <w:t xml:space="preserve">Тип- </w:t>
            </w:r>
            <w:r>
              <w:rPr/>
              <w:t>м</w:t>
            </w:r>
            <w:r>
              <w:rPr/>
              <w:t>ахровое</w:t>
              <w:tab/>
            </w:r>
          </w:p>
          <w:p>
            <w:pPr>
              <w:pStyle w:val="Normal"/>
              <w:jc w:val="start"/>
              <w:rPr/>
            </w:pPr>
            <w:r>
              <w:rPr/>
              <w:t xml:space="preserve">Ворс- </w:t>
            </w:r>
            <w:r>
              <w:rPr/>
              <w:t>н</w:t>
            </w:r>
            <w:r>
              <w:rPr/>
              <w:t>е менее 3 мм</w:t>
            </w:r>
          </w:p>
          <w:p>
            <w:pPr>
              <w:pStyle w:val="Normal"/>
              <w:jc w:val="start"/>
              <w:rPr/>
            </w:pPr>
            <w:r>
              <w:rPr/>
              <w:t xml:space="preserve">Плотность- </w:t>
            </w:r>
            <w:r>
              <w:rPr/>
              <w:t>н</w:t>
            </w:r>
            <w:r>
              <w:rPr/>
              <w:t>е менее 400</w:t>
              <w:tab/>
              <w:t>гр/м²</w:t>
            </w:r>
          </w:p>
          <w:p>
            <w:pPr>
              <w:pStyle w:val="Normal"/>
              <w:jc w:val="start"/>
              <w:rPr/>
            </w:pPr>
            <w:r>
              <w:rPr/>
              <w:t xml:space="preserve">Стойкое окрашивание- </w:t>
            </w:r>
            <w:r>
              <w:rPr/>
              <w:t>с</w:t>
            </w:r>
            <w:r>
              <w:rPr/>
              <w:t>оответствует</w:t>
              <w:tab/>
            </w:r>
          </w:p>
          <w:p>
            <w:pPr>
              <w:pStyle w:val="Normal"/>
              <w:jc w:val="start"/>
              <w:rPr/>
            </w:pPr>
            <w:r>
              <w:rPr/>
              <w:t xml:space="preserve">Цвет- </w:t>
            </w:r>
            <w:r>
              <w:rPr/>
              <w:t>п</w:t>
            </w:r>
            <w:r>
              <w:rPr/>
              <w:t>о согласованию с Заказчиком</w:t>
              <w:tab/>
            </w:r>
          </w:p>
          <w:p>
            <w:pPr>
              <w:pStyle w:val="Normal"/>
              <w:jc w:val="start"/>
              <w:rPr/>
            </w:pPr>
            <w:r>
              <w:rPr/>
              <w:t xml:space="preserve">КТРУ </w:t>
            </w:r>
            <w:r>
              <w:rPr>
                <w:rFonts w:cs="Times New Roman"/>
                <w:sz w:val="20"/>
                <w:szCs w:val="20"/>
              </w:rPr>
              <w:t>13.92.14.000-00000001</w:t>
            </w:r>
          </w:p>
        </w:tc>
        <w:tc>
          <w:tcPr>
            <w:tcW w:w="1307" w:type="dxa"/>
            <w:tcBorders>
              <w:start w:val="single" w:sz="4" w:space="0" w:color="000000"/>
              <w:bottom w:val="single" w:sz="4" w:space="0" w:color="000000"/>
            </w:tcBorders>
          </w:tcPr>
          <w:p>
            <w:pPr>
              <w:pStyle w:val="Normal"/>
              <w:bidi w:val="0"/>
              <w:spacing w:before="0" w:after="0"/>
              <w:ind w:hanging="0" w:start="510" w:end="0"/>
              <w:jc w:val="center"/>
              <w:rPr>
                <w:lang w:val="en-US"/>
              </w:rPr>
            </w:pPr>
            <w:r>
              <w:rPr>
                <w:lang w:val="en-US"/>
              </w:rPr>
            </w:r>
          </w:p>
        </w:tc>
        <w:tc>
          <w:tcPr>
            <w:tcW w:w="1241" w:type="dxa"/>
            <w:tcBorders>
              <w:start w:val="single" w:sz="4" w:space="0" w:color="000000"/>
              <w:bottom w:val="single" w:sz="4" w:space="0" w:color="000000"/>
            </w:tcBorders>
          </w:tcPr>
          <w:p>
            <w:pPr>
              <w:pStyle w:val="Normal"/>
              <w:bidi w:val="0"/>
              <w:spacing w:before="0" w:after="0"/>
              <w:ind w:hanging="0" w:start="57" w:end="0"/>
              <w:jc w:val="center"/>
              <w:rPr>
                <w:lang w:val="en-US"/>
              </w:rPr>
            </w:pPr>
            <w:r>
              <w:rPr>
                <w:lang w:val="en-US"/>
              </w:rPr>
              <w:t>20</w:t>
            </w:r>
          </w:p>
        </w:tc>
        <w:tc>
          <w:tcPr>
            <w:tcW w:w="1415" w:type="dxa"/>
            <w:tcBorders>
              <w:start w:val="single" w:sz="4" w:space="0" w:color="000000"/>
              <w:bottom w:val="single" w:sz="4" w:space="0" w:color="000000"/>
            </w:tcBorders>
          </w:tcPr>
          <w:p>
            <w:pPr>
              <w:pStyle w:val="Normal"/>
              <w:bidi w:val="0"/>
              <w:spacing w:before="0" w:after="0"/>
              <w:ind w:hanging="0" w:start="0" w:end="0"/>
              <w:jc w:val="center"/>
              <w:rPr/>
            </w:pPr>
            <w:r>
              <w:rPr/>
              <w:t>шт</w:t>
            </w:r>
          </w:p>
        </w:tc>
        <w:tc>
          <w:tcPr>
            <w:tcW w:w="1651" w:type="dxa"/>
            <w:tcBorders>
              <w:start w:val="single" w:sz="4" w:space="0" w:color="000000"/>
              <w:bottom w:val="single" w:sz="4" w:space="0" w:color="000000"/>
            </w:tcBorders>
          </w:tcPr>
          <w:p>
            <w:pPr>
              <w:pStyle w:val="Normal"/>
              <w:bidi w:val="0"/>
              <w:spacing w:before="0" w:after="0"/>
              <w:ind w:hanging="0" w:start="0" w:end="0"/>
              <w:jc w:val="center"/>
              <w:rPr/>
            </w:pPr>
            <w:r>
              <w:rPr/>
            </w:r>
          </w:p>
        </w:tc>
        <w:tc>
          <w:tcPr>
            <w:tcW w:w="1190" w:type="dxa"/>
            <w:tcBorders>
              <w:start w:val="single" w:sz="4" w:space="0" w:color="000000"/>
              <w:bottom w:val="single" w:sz="4" w:space="0" w:color="000000"/>
            </w:tcBorders>
          </w:tcPr>
          <w:p>
            <w:pPr>
              <w:pStyle w:val="Normal"/>
              <w:bidi w:val="0"/>
              <w:spacing w:lineRule="atLeast" w:line="57" w:before="0" w:after="0"/>
              <w:ind w:hanging="0" w:start="0" w:end="0"/>
              <w:jc w:val="center"/>
              <w:rPr>
                <w:highlight w:val="yellow"/>
              </w:rPr>
            </w:pPr>
            <w:r>
              <w:rPr>
                <w:highlight w:val="yellow"/>
              </w:rPr>
            </w:r>
          </w:p>
        </w:tc>
        <w:tc>
          <w:tcPr>
            <w:tcW w:w="1619" w:type="dxa"/>
            <w:tcBorders>
              <w:start w:val="single" w:sz="4" w:space="0" w:color="000000"/>
              <w:bottom w:val="single" w:sz="4" w:space="0" w:color="000000"/>
              <w:end w:val="single" w:sz="4" w:space="0" w:color="000000"/>
            </w:tcBorders>
          </w:tcPr>
          <w:p>
            <w:pPr>
              <w:pStyle w:val="Normal"/>
              <w:bidi w:val="0"/>
              <w:spacing w:lineRule="atLeast" w:line="57" w:before="0" w:after="0"/>
              <w:ind w:hanging="0" w:start="0" w:end="0"/>
              <w:jc w:val="center"/>
              <w:rPr>
                <w:b/>
                <w:bCs/>
                <w:highlight w:val="yellow"/>
              </w:rPr>
            </w:pPr>
            <w:r>
              <w:rPr>
                <w:b/>
                <w:bCs/>
                <w:highlight w:val="yellow"/>
              </w:rPr>
            </w:r>
          </w:p>
        </w:tc>
      </w:tr>
      <w:tr>
        <w:trPr/>
        <w:tc>
          <w:tcPr>
            <w:tcW w:w="620" w:type="dxa"/>
            <w:tcBorders>
              <w:start w:val="single" w:sz="4" w:space="0" w:color="000000"/>
              <w:bottom w:val="single" w:sz="4" w:space="0" w:color="000000"/>
            </w:tcBorders>
          </w:tcPr>
          <w:p>
            <w:pPr>
              <w:pStyle w:val="Normal"/>
              <w:bidi w:val="0"/>
              <w:spacing w:before="0" w:after="0"/>
              <w:ind w:hanging="0" w:start="170" w:end="0"/>
              <w:jc w:val="start"/>
              <w:rPr/>
            </w:pPr>
            <w:r>
              <w:rPr/>
              <w:t>2</w:t>
            </w:r>
          </w:p>
        </w:tc>
        <w:tc>
          <w:tcPr>
            <w:tcW w:w="6355" w:type="dxa"/>
            <w:tcBorders>
              <w:start w:val="single" w:sz="4" w:space="0" w:color="000000"/>
              <w:bottom w:val="single" w:sz="4" w:space="0" w:color="000000"/>
            </w:tcBorders>
          </w:tcPr>
          <w:p>
            <w:pPr>
              <w:pStyle w:val="Normal"/>
              <w:spacing w:lineRule="auto" w:line="240"/>
              <w:jc w:val="start"/>
              <w:rPr>
                <w:b/>
                <w:bCs/>
              </w:rPr>
            </w:pPr>
            <w:r>
              <w:rPr>
                <w:rFonts w:cs="Times New Roman"/>
                <w:b/>
                <w:bCs/>
                <w:sz w:val="20"/>
                <w:szCs w:val="20"/>
              </w:rPr>
              <w:t xml:space="preserve">Полотенце </w:t>
            </w:r>
            <w:r>
              <w:rPr>
                <w:rFonts w:cs="Times New Roman"/>
                <w:b/>
                <w:bCs/>
                <w:sz w:val="20"/>
                <w:szCs w:val="20"/>
                <w:shd w:fill="FFFFFF" w:val="clear"/>
              </w:rPr>
              <w:t>текстильное</w:t>
            </w:r>
          </w:p>
          <w:p>
            <w:pPr>
              <w:pStyle w:val="Normal"/>
              <w:spacing w:lineRule="auto" w:line="240"/>
              <w:jc w:val="start"/>
              <w:rPr>
                <w:rFonts w:ascii="Times New Roman" w:hAnsi="Times New Roman" w:cs="Times New Roman"/>
                <w:sz w:val="20"/>
                <w:szCs w:val="20"/>
                <w:shd w:fill="FFFFFF" w:val="clear"/>
              </w:rPr>
            </w:pPr>
            <w:r>
              <w:rPr>
                <w:rFonts w:cs="Times New Roman"/>
                <w:sz w:val="20"/>
                <w:szCs w:val="20"/>
                <w:shd w:fill="FFFFFF" w:val="clear"/>
              </w:rPr>
              <w:t xml:space="preserve">Назначение- </w:t>
            </w:r>
            <w:r>
              <w:rPr>
                <w:rFonts w:cs="Times New Roman"/>
                <w:sz w:val="20"/>
                <w:szCs w:val="20"/>
                <w:shd w:fill="FFFFFF" w:val="clear"/>
              </w:rPr>
              <w:t>д</w:t>
            </w:r>
            <w:r>
              <w:rPr>
                <w:rFonts w:cs="Times New Roman"/>
                <w:sz w:val="20"/>
                <w:szCs w:val="20"/>
                <w:shd w:fill="FFFFFF" w:val="clear"/>
              </w:rPr>
              <w:t>ля ванной комнаты</w:t>
              <w:tab/>
            </w:r>
          </w:p>
          <w:p>
            <w:pPr>
              <w:pStyle w:val="Normal"/>
              <w:spacing w:lineRule="auto" w:line="240"/>
              <w:jc w:val="start"/>
              <w:rPr>
                <w:rFonts w:ascii="Times New Roman" w:hAnsi="Times New Roman" w:cs="Times New Roman"/>
                <w:sz w:val="20"/>
                <w:szCs w:val="20"/>
                <w:shd w:fill="FFFFFF" w:val="clear"/>
              </w:rPr>
            </w:pPr>
            <w:r>
              <w:rPr>
                <w:rFonts w:cs="Times New Roman"/>
                <w:sz w:val="20"/>
                <w:szCs w:val="20"/>
                <w:shd w:fill="FFFFFF" w:val="clear"/>
              </w:rPr>
              <w:t xml:space="preserve">Вид материала- </w:t>
            </w:r>
            <w:r>
              <w:rPr>
                <w:rFonts w:cs="Times New Roman"/>
                <w:sz w:val="20"/>
                <w:szCs w:val="20"/>
                <w:shd w:fill="FFFFFF" w:val="clear"/>
              </w:rPr>
              <w:t>х</w:t>
            </w:r>
            <w:r>
              <w:rPr>
                <w:rFonts w:cs="Times New Roman"/>
                <w:sz w:val="20"/>
                <w:szCs w:val="20"/>
                <w:shd w:fill="FFFFFF" w:val="clear"/>
              </w:rPr>
              <w:t>лопок</w:t>
              <w:tab/>
            </w:r>
          </w:p>
          <w:p>
            <w:pPr>
              <w:pStyle w:val="Normal"/>
              <w:spacing w:lineRule="auto" w:line="240"/>
              <w:jc w:val="start"/>
              <w:rPr>
                <w:rFonts w:ascii="Times New Roman" w:hAnsi="Times New Roman" w:cs="Times New Roman"/>
                <w:sz w:val="20"/>
                <w:szCs w:val="20"/>
                <w:shd w:fill="FFFFFF" w:val="clear"/>
              </w:rPr>
            </w:pPr>
            <w:r>
              <w:rPr>
                <w:rFonts w:cs="Times New Roman"/>
                <w:sz w:val="20"/>
                <w:szCs w:val="20"/>
                <w:shd w:fill="FFFFFF" w:val="clear"/>
              </w:rPr>
              <w:t>Длина</w:t>
              <w:tab/>
              <w:t xml:space="preserve">&gt; </w:t>
            </w:r>
            <w:r>
              <w:rPr>
                <w:rFonts w:cs="Times New Roman"/>
                <w:sz w:val="20"/>
                <w:szCs w:val="20"/>
                <w:shd w:fill="FFFFFF" w:val="clear"/>
              </w:rPr>
              <w:t>95</w:t>
            </w:r>
            <w:r>
              <w:rPr>
                <w:rFonts w:cs="Times New Roman"/>
                <w:sz w:val="20"/>
                <w:szCs w:val="20"/>
                <w:shd w:fill="FFFFFF" w:val="clear"/>
              </w:rPr>
              <w:t xml:space="preserve">  и  ≤ 1</w:t>
            </w:r>
            <w:r>
              <w:rPr>
                <w:rFonts w:cs="Times New Roman"/>
                <w:sz w:val="20"/>
                <w:szCs w:val="20"/>
                <w:shd w:fill="FFFFFF" w:val="clear"/>
              </w:rPr>
              <w:t xml:space="preserve">00 </w:t>
            </w:r>
            <w:r>
              <w:rPr>
                <w:rFonts w:cs="Times New Roman"/>
                <w:sz w:val="20"/>
                <w:szCs w:val="20"/>
                <w:shd w:fill="FFFFFF" w:val="clear"/>
              </w:rPr>
              <w:t>см</w:t>
            </w:r>
          </w:p>
          <w:p>
            <w:pPr>
              <w:pStyle w:val="Normal"/>
              <w:jc w:val="start"/>
              <w:rPr/>
            </w:pPr>
            <w:r>
              <w:rPr/>
              <w:t xml:space="preserve">Ширина &gt; </w:t>
            </w:r>
            <w:r>
              <w:rPr/>
              <w:t>45</w:t>
            </w:r>
            <w:r>
              <w:rPr/>
              <w:t xml:space="preserve">  и  ≤ </w:t>
            </w:r>
            <w:r>
              <w:rPr/>
              <w:t xml:space="preserve">50 </w:t>
            </w:r>
            <w:r>
              <w:rPr/>
              <w:t>см</w:t>
            </w:r>
          </w:p>
          <w:p>
            <w:pPr>
              <w:pStyle w:val="Normal"/>
              <w:jc w:val="start"/>
              <w:rPr/>
            </w:pPr>
            <w:r>
              <w:rPr/>
              <w:t xml:space="preserve">Тип- </w:t>
            </w:r>
            <w:r>
              <w:rPr/>
              <w:t>м</w:t>
            </w:r>
            <w:r>
              <w:rPr/>
              <w:t>ахровое</w:t>
              <w:tab/>
            </w:r>
          </w:p>
          <w:p>
            <w:pPr>
              <w:pStyle w:val="Normal"/>
              <w:jc w:val="start"/>
              <w:rPr/>
            </w:pPr>
            <w:r>
              <w:rPr/>
              <w:t xml:space="preserve">Ворс- </w:t>
            </w:r>
            <w:r>
              <w:rPr/>
              <w:t>н</w:t>
            </w:r>
            <w:r>
              <w:rPr/>
              <w:t>е менее 3 мм</w:t>
            </w:r>
          </w:p>
          <w:p>
            <w:pPr>
              <w:pStyle w:val="Normal"/>
              <w:jc w:val="start"/>
              <w:rPr/>
            </w:pPr>
            <w:r>
              <w:rPr/>
              <w:t xml:space="preserve">Плотность- </w:t>
            </w:r>
            <w:r>
              <w:rPr/>
              <w:t>н</w:t>
            </w:r>
            <w:r>
              <w:rPr/>
              <w:t>е менее 400</w:t>
              <w:tab/>
              <w:t>гр/м²</w:t>
            </w:r>
          </w:p>
          <w:p>
            <w:pPr>
              <w:pStyle w:val="Normal"/>
              <w:jc w:val="start"/>
              <w:rPr/>
            </w:pPr>
            <w:r>
              <w:rPr/>
              <w:t xml:space="preserve">Стойкое окрашивание- </w:t>
            </w:r>
            <w:r>
              <w:rPr/>
              <w:t>с</w:t>
            </w:r>
            <w:r>
              <w:rPr/>
              <w:t>оответствует</w:t>
              <w:tab/>
            </w:r>
          </w:p>
          <w:p>
            <w:pPr>
              <w:pStyle w:val="Normal"/>
              <w:jc w:val="start"/>
              <w:rPr/>
            </w:pPr>
            <w:r>
              <w:rPr/>
              <w:t xml:space="preserve">Цвет- </w:t>
            </w:r>
            <w:r>
              <w:rPr/>
              <w:t>п</w:t>
            </w:r>
            <w:r>
              <w:rPr/>
              <w:t>о согласованию с Заказчиком</w:t>
              <w:tab/>
            </w:r>
          </w:p>
          <w:p>
            <w:pPr>
              <w:pStyle w:val="Normal"/>
              <w:jc w:val="start"/>
              <w:rPr/>
            </w:pPr>
            <w:r>
              <w:rPr/>
              <w:t xml:space="preserve">КТРУ </w:t>
            </w:r>
            <w:r>
              <w:rPr>
                <w:rFonts w:cs="Times New Roman"/>
                <w:sz w:val="20"/>
                <w:szCs w:val="20"/>
              </w:rPr>
              <w:t>13.92.14.000-00000001</w:t>
            </w:r>
          </w:p>
        </w:tc>
        <w:tc>
          <w:tcPr>
            <w:tcW w:w="1307" w:type="dxa"/>
            <w:tcBorders>
              <w:start w:val="single" w:sz="4" w:space="0" w:color="000000"/>
              <w:bottom w:val="single" w:sz="4" w:space="0" w:color="000000"/>
            </w:tcBorders>
          </w:tcPr>
          <w:p>
            <w:pPr>
              <w:pStyle w:val="Normal"/>
              <w:bidi w:val="0"/>
              <w:spacing w:before="0" w:after="0"/>
              <w:ind w:hanging="0" w:start="510" w:end="0"/>
              <w:jc w:val="center"/>
              <w:rPr>
                <w:lang w:val="en-US"/>
              </w:rPr>
            </w:pPr>
            <w:r>
              <w:rPr>
                <w:lang w:val="en-US"/>
              </w:rPr>
            </w:r>
          </w:p>
        </w:tc>
        <w:tc>
          <w:tcPr>
            <w:tcW w:w="1241" w:type="dxa"/>
            <w:tcBorders>
              <w:start w:val="single" w:sz="4" w:space="0" w:color="000000"/>
              <w:bottom w:val="single" w:sz="4" w:space="0" w:color="000000"/>
            </w:tcBorders>
          </w:tcPr>
          <w:p>
            <w:pPr>
              <w:pStyle w:val="Normal"/>
              <w:bidi w:val="0"/>
              <w:spacing w:before="0" w:after="0"/>
              <w:ind w:hanging="0" w:start="57" w:end="0"/>
              <w:jc w:val="center"/>
              <w:rPr>
                <w:lang w:val="en-US"/>
              </w:rPr>
            </w:pPr>
            <w:r>
              <w:rPr>
                <w:lang w:val="en-US"/>
              </w:rPr>
              <w:t>120</w:t>
            </w:r>
          </w:p>
        </w:tc>
        <w:tc>
          <w:tcPr>
            <w:tcW w:w="1415" w:type="dxa"/>
            <w:tcBorders>
              <w:start w:val="single" w:sz="4" w:space="0" w:color="000000"/>
              <w:bottom w:val="single" w:sz="4" w:space="0" w:color="000000"/>
            </w:tcBorders>
          </w:tcPr>
          <w:p>
            <w:pPr>
              <w:pStyle w:val="Normal"/>
              <w:bidi w:val="0"/>
              <w:spacing w:before="0" w:after="0"/>
              <w:ind w:hanging="0" w:start="0" w:end="0"/>
              <w:jc w:val="center"/>
              <w:rPr/>
            </w:pPr>
            <w:r>
              <w:rPr/>
              <w:t>шт</w:t>
            </w:r>
          </w:p>
        </w:tc>
        <w:tc>
          <w:tcPr>
            <w:tcW w:w="1651" w:type="dxa"/>
            <w:tcBorders>
              <w:start w:val="single" w:sz="4" w:space="0" w:color="000000"/>
              <w:bottom w:val="single" w:sz="4" w:space="0" w:color="000000"/>
            </w:tcBorders>
          </w:tcPr>
          <w:p>
            <w:pPr>
              <w:pStyle w:val="Normal"/>
              <w:bidi w:val="0"/>
              <w:spacing w:before="0" w:after="0"/>
              <w:ind w:hanging="0" w:start="0" w:end="0"/>
              <w:jc w:val="center"/>
              <w:rPr/>
            </w:pPr>
            <w:r>
              <w:rPr/>
            </w:r>
          </w:p>
        </w:tc>
        <w:tc>
          <w:tcPr>
            <w:tcW w:w="1190" w:type="dxa"/>
            <w:tcBorders>
              <w:start w:val="single" w:sz="4" w:space="0" w:color="000000"/>
              <w:bottom w:val="single" w:sz="4" w:space="0" w:color="000000"/>
            </w:tcBorders>
          </w:tcPr>
          <w:p>
            <w:pPr>
              <w:pStyle w:val="Normal"/>
              <w:bidi w:val="0"/>
              <w:spacing w:lineRule="atLeast" w:line="57" w:before="0" w:after="0"/>
              <w:ind w:hanging="0" w:start="0" w:end="0"/>
              <w:jc w:val="center"/>
              <w:rPr>
                <w:highlight w:val="yellow"/>
              </w:rPr>
            </w:pPr>
            <w:r>
              <w:rPr>
                <w:highlight w:val="yellow"/>
              </w:rPr>
            </w:r>
          </w:p>
        </w:tc>
        <w:tc>
          <w:tcPr>
            <w:tcW w:w="1619" w:type="dxa"/>
            <w:tcBorders>
              <w:start w:val="single" w:sz="4" w:space="0" w:color="000000"/>
              <w:bottom w:val="single" w:sz="4" w:space="0" w:color="000000"/>
              <w:end w:val="single" w:sz="4" w:space="0" w:color="000000"/>
            </w:tcBorders>
          </w:tcPr>
          <w:p>
            <w:pPr>
              <w:pStyle w:val="Normal"/>
              <w:bidi w:val="0"/>
              <w:spacing w:lineRule="atLeast" w:line="57" w:before="0" w:after="0"/>
              <w:ind w:hanging="0" w:start="0" w:end="0"/>
              <w:jc w:val="center"/>
              <w:rPr>
                <w:b/>
                <w:bCs/>
                <w:highlight w:val="yellow"/>
              </w:rPr>
            </w:pPr>
            <w:r>
              <w:rPr>
                <w:b/>
                <w:bCs/>
                <w:highlight w:val="yellow"/>
              </w:rPr>
            </w:r>
          </w:p>
        </w:tc>
      </w:tr>
      <w:tr>
        <w:trPr/>
        <w:tc>
          <w:tcPr>
            <w:tcW w:w="620" w:type="dxa"/>
            <w:tcBorders>
              <w:start w:val="single" w:sz="4" w:space="0" w:color="000000"/>
              <w:bottom w:val="single" w:sz="4" w:space="0" w:color="000000"/>
            </w:tcBorders>
          </w:tcPr>
          <w:p>
            <w:pPr>
              <w:pStyle w:val="Normal"/>
              <w:bidi w:val="0"/>
              <w:spacing w:before="0" w:after="0"/>
              <w:ind w:hanging="0" w:start="170" w:end="0"/>
              <w:jc w:val="start"/>
              <w:rPr/>
            </w:pPr>
            <w:r>
              <w:rPr/>
              <w:t>3</w:t>
            </w:r>
          </w:p>
        </w:tc>
        <w:tc>
          <w:tcPr>
            <w:tcW w:w="6355" w:type="dxa"/>
            <w:tcBorders>
              <w:start w:val="single" w:sz="4" w:space="0" w:color="000000"/>
              <w:bottom w:val="single" w:sz="4" w:space="0" w:color="000000"/>
            </w:tcBorders>
          </w:tcPr>
          <w:p>
            <w:pPr>
              <w:pStyle w:val="Normal"/>
              <w:spacing w:lineRule="auto" w:line="240"/>
              <w:jc w:val="start"/>
              <w:rPr>
                <w:b/>
                <w:bCs/>
              </w:rPr>
            </w:pPr>
            <w:r>
              <w:rPr>
                <w:rFonts w:cs="Times New Roman"/>
                <w:b/>
                <w:bCs/>
                <w:sz w:val="20"/>
                <w:szCs w:val="20"/>
              </w:rPr>
              <w:t xml:space="preserve">Полотенце </w:t>
            </w:r>
            <w:r>
              <w:rPr>
                <w:rFonts w:cs="Times New Roman"/>
                <w:b/>
                <w:bCs/>
                <w:sz w:val="20"/>
                <w:szCs w:val="20"/>
                <w:shd w:fill="FFFFFF" w:val="clear"/>
              </w:rPr>
              <w:t>текстильное</w:t>
            </w:r>
          </w:p>
          <w:p>
            <w:pPr>
              <w:pStyle w:val="Normal"/>
              <w:spacing w:lineRule="auto" w:line="240"/>
              <w:jc w:val="start"/>
              <w:rPr>
                <w:rFonts w:ascii="Times New Roman" w:hAnsi="Times New Roman" w:cs="Times New Roman"/>
                <w:sz w:val="20"/>
                <w:szCs w:val="20"/>
                <w:shd w:fill="FFFFFF" w:val="clear"/>
              </w:rPr>
            </w:pPr>
            <w:r>
              <w:rPr>
                <w:rFonts w:cs="Times New Roman"/>
                <w:sz w:val="20"/>
                <w:szCs w:val="20"/>
                <w:shd w:fill="FFFFFF" w:val="clear"/>
              </w:rPr>
              <w:t xml:space="preserve">Назначение- </w:t>
            </w:r>
            <w:r>
              <w:rPr>
                <w:rFonts w:cs="Times New Roman"/>
                <w:sz w:val="20"/>
                <w:szCs w:val="20"/>
                <w:shd w:fill="FFFFFF" w:val="clear"/>
              </w:rPr>
              <w:t>д</w:t>
            </w:r>
            <w:r>
              <w:rPr>
                <w:rFonts w:cs="Times New Roman"/>
                <w:sz w:val="20"/>
                <w:szCs w:val="20"/>
                <w:shd w:fill="FFFFFF" w:val="clear"/>
              </w:rPr>
              <w:t>ля ванной комнаты</w:t>
              <w:tab/>
            </w:r>
          </w:p>
          <w:p>
            <w:pPr>
              <w:pStyle w:val="Normal"/>
              <w:spacing w:lineRule="auto" w:line="240"/>
              <w:jc w:val="start"/>
              <w:rPr>
                <w:rFonts w:ascii="Times New Roman" w:hAnsi="Times New Roman" w:cs="Times New Roman"/>
                <w:sz w:val="20"/>
                <w:szCs w:val="20"/>
                <w:shd w:fill="FFFFFF" w:val="clear"/>
              </w:rPr>
            </w:pPr>
            <w:r>
              <w:rPr>
                <w:rFonts w:cs="Times New Roman"/>
                <w:sz w:val="20"/>
                <w:szCs w:val="20"/>
                <w:shd w:fill="FFFFFF" w:val="clear"/>
              </w:rPr>
              <w:t xml:space="preserve">Вид материала- </w:t>
            </w:r>
            <w:r>
              <w:rPr>
                <w:rFonts w:cs="Times New Roman"/>
                <w:sz w:val="20"/>
                <w:szCs w:val="20"/>
                <w:shd w:fill="FFFFFF" w:val="clear"/>
              </w:rPr>
              <w:t>х</w:t>
            </w:r>
            <w:r>
              <w:rPr>
                <w:rFonts w:cs="Times New Roman"/>
                <w:sz w:val="20"/>
                <w:szCs w:val="20"/>
                <w:shd w:fill="FFFFFF" w:val="clear"/>
              </w:rPr>
              <w:t>лопок</w:t>
              <w:tab/>
            </w:r>
          </w:p>
          <w:p>
            <w:pPr>
              <w:pStyle w:val="Normal"/>
              <w:spacing w:lineRule="auto" w:line="240"/>
              <w:jc w:val="start"/>
              <w:rPr>
                <w:rFonts w:ascii="Times New Roman" w:hAnsi="Times New Roman" w:cs="Times New Roman"/>
                <w:sz w:val="20"/>
                <w:szCs w:val="20"/>
                <w:shd w:fill="FFFFFF" w:val="clear"/>
              </w:rPr>
            </w:pPr>
            <w:r>
              <w:rPr>
                <w:rFonts w:cs="Times New Roman"/>
                <w:sz w:val="20"/>
                <w:szCs w:val="20"/>
                <w:shd w:fill="FFFFFF" w:val="clear"/>
              </w:rPr>
              <w:t>Длина</w:t>
              <w:tab/>
              <w:t xml:space="preserve">&gt; </w:t>
            </w:r>
            <w:r>
              <w:rPr>
                <w:rFonts w:cs="Times New Roman"/>
                <w:sz w:val="20"/>
                <w:szCs w:val="20"/>
                <w:shd w:fill="FFFFFF" w:val="clear"/>
              </w:rPr>
              <w:t>65</w:t>
            </w:r>
            <w:r>
              <w:rPr>
                <w:rFonts w:cs="Times New Roman"/>
                <w:sz w:val="20"/>
                <w:szCs w:val="20"/>
                <w:shd w:fill="FFFFFF" w:val="clear"/>
              </w:rPr>
              <w:t xml:space="preserve">  и  ≤ </w:t>
            </w:r>
            <w:r>
              <w:rPr>
                <w:rFonts w:cs="Times New Roman"/>
                <w:sz w:val="20"/>
                <w:szCs w:val="20"/>
                <w:shd w:fill="FFFFFF" w:val="clear"/>
              </w:rPr>
              <w:t xml:space="preserve">70 </w:t>
            </w:r>
            <w:r>
              <w:rPr>
                <w:rFonts w:cs="Times New Roman"/>
                <w:sz w:val="20"/>
                <w:szCs w:val="20"/>
                <w:shd w:fill="FFFFFF" w:val="clear"/>
              </w:rPr>
              <w:t>см</w:t>
            </w:r>
          </w:p>
          <w:p>
            <w:pPr>
              <w:pStyle w:val="Normal"/>
              <w:jc w:val="start"/>
              <w:rPr/>
            </w:pPr>
            <w:r>
              <w:rPr/>
              <w:t xml:space="preserve">Ширина &gt; </w:t>
            </w:r>
            <w:r>
              <w:rPr/>
              <w:t>30</w:t>
            </w:r>
            <w:r>
              <w:rPr/>
              <w:t xml:space="preserve">  и  ≤ </w:t>
            </w:r>
            <w:r>
              <w:rPr/>
              <w:t xml:space="preserve">35 </w:t>
            </w:r>
            <w:r>
              <w:rPr/>
              <w:t>см</w:t>
            </w:r>
          </w:p>
          <w:p>
            <w:pPr>
              <w:pStyle w:val="Normal"/>
              <w:jc w:val="start"/>
              <w:rPr/>
            </w:pPr>
            <w:r>
              <w:rPr/>
              <w:t xml:space="preserve">Тип- </w:t>
            </w:r>
            <w:r>
              <w:rPr/>
              <w:t>м</w:t>
            </w:r>
            <w:r>
              <w:rPr/>
              <w:t>ахровое</w:t>
              <w:tab/>
            </w:r>
          </w:p>
          <w:p>
            <w:pPr>
              <w:pStyle w:val="Normal"/>
              <w:jc w:val="start"/>
              <w:rPr/>
            </w:pPr>
            <w:r>
              <w:rPr/>
              <w:t xml:space="preserve">Ворс- </w:t>
            </w:r>
            <w:r>
              <w:rPr/>
              <w:t>н</w:t>
            </w:r>
            <w:r>
              <w:rPr/>
              <w:t>е менее 3 мм</w:t>
            </w:r>
          </w:p>
          <w:p>
            <w:pPr>
              <w:pStyle w:val="Normal"/>
              <w:jc w:val="start"/>
              <w:rPr/>
            </w:pPr>
            <w:r>
              <w:rPr/>
              <w:t xml:space="preserve">Плотность- </w:t>
            </w:r>
            <w:r>
              <w:rPr/>
              <w:t>н</w:t>
            </w:r>
            <w:r>
              <w:rPr/>
              <w:t>е менее 400</w:t>
              <w:tab/>
              <w:t>гр/м²</w:t>
            </w:r>
          </w:p>
          <w:p>
            <w:pPr>
              <w:pStyle w:val="Normal"/>
              <w:jc w:val="start"/>
              <w:rPr/>
            </w:pPr>
            <w:r>
              <w:rPr/>
              <w:t xml:space="preserve">Стойкое окрашивание- </w:t>
            </w:r>
            <w:r>
              <w:rPr/>
              <w:t>с</w:t>
            </w:r>
            <w:r>
              <w:rPr/>
              <w:t>оответствует</w:t>
              <w:tab/>
            </w:r>
          </w:p>
          <w:p>
            <w:pPr>
              <w:pStyle w:val="Normal"/>
              <w:jc w:val="start"/>
              <w:rPr/>
            </w:pPr>
            <w:r>
              <w:rPr/>
              <w:t xml:space="preserve">Цвет- </w:t>
            </w:r>
            <w:r>
              <w:rPr/>
              <w:t>п</w:t>
            </w:r>
            <w:r>
              <w:rPr/>
              <w:t>о согласованию с Заказчиком</w:t>
              <w:tab/>
            </w:r>
          </w:p>
          <w:p>
            <w:pPr>
              <w:pStyle w:val="Normal"/>
              <w:jc w:val="start"/>
              <w:rPr/>
            </w:pPr>
            <w:r>
              <w:rPr/>
              <w:t xml:space="preserve">КТРУ </w:t>
            </w:r>
            <w:r>
              <w:rPr>
                <w:rFonts w:cs="Times New Roman"/>
                <w:sz w:val="20"/>
                <w:szCs w:val="20"/>
              </w:rPr>
              <w:t>13.92.14.000-00000001</w:t>
            </w:r>
          </w:p>
        </w:tc>
        <w:tc>
          <w:tcPr>
            <w:tcW w:w="1307" w:type="dxa"/>
            <w:tcBorders>
              <w:start w:val="single" w:sz="4" w:space="0" w:color="000000"/>
              <w:bottom w:val="single" w:sz="4" w:space="0" w:color="000000"/>
            </w:tcBorders>
          </w:tcPr>
          <w:p>
            <w:pPr>
              <w:pStyle w:val="Normal"/>
              <w:bidi w:val="0"/>
              <w:spacing w:before="0" w:after="0"/>
              <w:ind w:hanging="0" w:start="510" w:end="0"/>
              <w:jc w:val="center"/>
              <w:rPr>
                <w:lang w:val="en-US"/>
              </w:rPr>
            </w:pPr>
            <w:r>
              <w:rPr>
                <w:lang w:val="en-US"/>
              </w:rPr>
            </w:r>
          </w:p>
        </w:tc>
        <w:tc>
          <w:tcPr>
            <w:tcW w:w="1241" w:type="dxa"/>
            <w:tcBorders>
              <w:start w:val="single" w:sz="4" w:space="0" w:color="000000"/>
              <w:bottom w:val="single" w:sz="4" w:space="0" w:color="000000"/>
            </w:tcBorders>
          </w:tcPr>
          <w:p>
            <w:pPr>
              <w:pStyle w:val="Normal"/>
              <w:bidi w:val="0"/>
              <w:spacing w:before="0" w:after="0"/>
              <w:ind w:hanging="0" w:start="57" w:end="0"/>
              <w:jc w:val="center"/>
              <w:rPr>
                <w:lang w:val="en-US"/>
              </w:rPr>
            </w:pPr>
            <w:r>
              <w:rPr>
                <w:lang w:val="en-US"/>
              </w:rPr>
              <w:t>70</w:t>
            </w:r>
          </w:p>
        </w:tc>
        <w:tc>
          <w:tcPr>
            <w:tcW w:w="1415" w:type="dxa"/>
            <w:tcBorders>
              <w:start w:val="single" w:sz="4" w:space="0" w:color="000000"/>
              <w:bottom w:val="single" w:sz="4" w:space="0" w:color="000000"/>
            </w:tcBorders>
          </w:tcPr>
          <w:p>
            <w:pPr>
              <w:pStyle w:val="Normal"/>
              <w:bidi w:val="0"/>
              <w:spacing w:before="0" w:after="0"/>
              <w:ind w:hanging="0" w:start="0" w:end="0"/>
              <w:jc w:val="center"/>
              <w:rPr/>
            </w:pPr>
            <w:r>
              <w:rPr/>
              <w:t>шт</w:t>
            </w:r>
          </w:p>
        </w:tc>
        <w:tc>
          <w:tcPr>
            <w:tcW w:w="1651" w:type="dxa"/>
            <w:tcBorders>
              <w:start w:val="single" w:sz="4" w:space="0" w:color="000000"/>
              <w:bottom w:val="single" w:sz="4" w:space="0" w:color="000000"/>
            </w:tcBorders>
          </w:tcPr>
          <w:p>
            <w:pPr>
              <w:pStyle w:val="Normal"/>
              <w:bidi w:val="0"/>
              <w:spacing w:before="0" w:after="0"/>
              <w:ind w:hanging="0" w:start="0" w:end="0"/>
              <w:jc w:val="center"/>
              <w:rPr/>
            </w:pPr>
            <w:r>
              <w:rPr/>
            </w:r>
          </w:p>
        </w:tc>
        <w:tc>
          <w:tcPr>
            <w:tcW w:w="1190" w:type="dxa"/>
            <w:tcBorders>
              <w:start w:val="single" w:sz="4" w:space="0" w:color="000000"/>
              <w:bottom w:val="single" w:sz="4" w:space="0" w:color="000000"/>
            </w:tcBorders>
          </w:tcPr>
          <w:p>
            <w:pPr>
              <w:pStyle w:val="Normal"/>
              <w:bidi w:val="0"/>
              <w:spacing w:lineRule="atLeast" w:line="57" w:before="0" w:after="0"/>
              <w:ind w:hanging="0" w:start="0" w:end="0"/>
              <w:jc w:val="center"/>
              <w:rPr>
                <w:highlight w:val="yellow"/>
              </w:rPr>
            </w:pPr>
            <w:r>
              <w:rPr>
                <w:highlight w:val="yellow"/>
              </w:rPr>
            </w:r>
          </w:p>
        </w:tc>
        <w:tc>
          <w:tcPr>
            <w:tcW w:w="1619" w:type="dxa"/>
            <w:tcBorders>
              <w:start w:val="single" w:sz="4" w:space="0" w:color="000000"/>
              <w:bottom w:val="single" w:sz="4" w:space="0" w:color="000000"/>
              <w:end w:val="single" w:sz="4" w:space="0" w:color="000000"/>
            </w:tcBorders>
          </w:tcPr>
          <w:p>
            <w:pPr>
              <w:pStyle w:val="Normal"/>
              <w:bidi w:val="0"/>
              <w:spacing w:lineRule="atLeast" w:line="57" w:before="0" w:after="0"/>
              <w:ind w:hanging="0" w:start="0" w:end="0"/>
              <w:jc w:val="center"/>
              <w:rPr>
                <w:b/>
                <w:bCs/>
                <w:highlight w:val="yellow"/>
              </w:rPr>
            </w:pPr>
            <w:r>
              <w:rPr>
                <w:b/>
                <w:bCs/>
                <w:highlight w:val="yellow"/>
              </w:rPr>
            </w:r>
          </w:p>
        </w:tc>
      </w:tr>
      <w:tr>
        <w:trPr/>
        <w:tc>
          <w:tcPr>
            <w:tcW w:w="620" w:type="dxa"/>
            <w:tcBorders>
              <w:start w:val="single" w:sz="4" w:space="0" w:color="000000"/>
              <w:bottom w:val="single" w:sz="4" w:space="0" w:color="000000"/>
            </w:tcBorders>
          </w:tcPr>
          <w:p>
            <w:pPr>
              <w:pStyle w:val="Normal"/>
              <w:bidi w:val="0"/>
              <w:spacing w:before="0" w:after="0"/>
              <w:ind w:hanging="0" w:start="170" w:end="0"/>
              <w:jc w:val="start"/>
              <w:rPr/>
            </w:pPr>
            <w:r>
              <w:rPr/>
              <w:t>4</w:t>
            </w:r>
          </w:p>
        </w:tc>
        <w:tc>
          <w:tcPr>
            <w:tcW w:w="6355" w:type="dxa"/>
            <w:tcBorders>
              <w:start w:val="single" w:sz="4" w:space="0" w:color="000000"/>
              <w:bottom w:val="single" w:sz="4" w:space="0" w:color="000000"/>
            </w:tcBorders>
          </w:tcPr>
          <w:p>
            <w:pPr>
              <w:pStyle w:val="Normal"/>
              <w:rPr>
                <w:b/>
                <w:bCs/>
              </w:rPr>
            </w:pPr>
            <w:r>
              <w:rPr>
                <w:b/>
                <w:bCs/>
              </w:rPr>
              <w:t>Полотенце текстильное</w:t>
            </w:r>
          </w:p>
          <w:p>
            <w:pPr>
              <w:pStyle w:val="Normal"/>
              <w:rPr/>
            </w:pPr>
            <w:r>
              <w:rPr/>
              <w:t xml:space="preserve">Назначение - </w:t>
            </w:r>
            <w:r>
              <w:rPr/>
              <w:t>д</w:t>
            </w:r>
            <w:r>
              <w:rPr/>
              <w:t>ля кухни</w:t>
              <w:tab/>
            </w:r>
          </w:p>
          <w:p>
            <w:pPr>
              <w:pStyle w:val="Normal"/>
              <w:rPr/>
            </w:pPr>
            <w:r>
              <w:rPr/>
              <w:t xml:space="preserve">Вид материала- </w:t>
            </w:r>
            <w:r>
              <w:rPr/>
              <w:t>л</w:t>
            </w:r>
            <w:r>
              <w:rPr/>
              <w:t>ен</w:t>
              <w:tab/>
            </w:r>
          </w:p>
          <w:p>
            <w:pPr>
              <w:pStyle w:val="Normal"/>
              <w:rPr/>
            </w:pPr>
            <w:r>
              <w:rPr/>
              <w:t>Длина</w:t>
              <w:tab/>
              <w:t>&gt; 60  и  ≤ 65 см</w:t>
            </w:r>
          </w:p>
          <w:p>
            <w:pPr>
              <w:pStyle w:val="Normal"/>
              <w:rPr/>
            </w:pPr>
            <w:r>
              <w:rPr/>
              <w:t>Ширина &gt; 45  и  ≤ 50 см</w:t>
            </w:r>
          </w:p>
          <w:p>
            <w:pPr>
              <w:pStyle w:val="Normal"/>
              <w:spacing w:lineRule="auto" w:line="240"/>
              <w:jc w:val="start"/>
              <w:rPr>
                <w:rFonts w:ascii="Times New Roman" w:hAnsi="Times New Roman" w:cs="Times New Roman"/>
                <w:b w:val="false"/>
                <w:bCs w:val="false"/>
                <w:sz w:val="20"/>
                <w:szCs w:val="20"/>
                <w:shd w:fill="FFFFFF" w:val="clear"/>
              </w:rPr>
            </w:pPr>
            <w:r>
              <w:rPr>
                <w:rFonts w:cs="Times New Roman"/>
                <w:b w:val="false"/>
                <w:bCs w:val="false"/>
                <w:sz w:val="20"/>
                <w:szCs w:val="20"/>
                <w:shd w:fill="FFFFFF" w:val="clear"/>
              </w:rPr>
              <w:t>КТРУ 13.92.14.000-00000002</w:t>
            </w:r>
          </w:p>
        </w:tc>
        <w:tc>
          <w:tcPr>
            <w:tcW w:w="1307" w:type="dxa"/>
            <w:tcBorders>
              <w:start w:val="single" w:sz="4" w:space="0" w:color="000000"/>
              <w:bottom w:val="single" w:sz="4" w:space="0" w:color="000000"/>
            </w:tcBorders>
          </w:tcPr>
          <w:p>
            <w:pPr>
              <w:pStyle w:val="Normal"/>
              <w:bidi w:val="0"/>
              <w:spacing w:before="0" w:after="0"/>
              <w:ind w:hanging="0" w:start="510" w:end="0"/>
              <w:jc w:val="center"/>
              <w:rPr>
                <w:lang w:val="en-US"/>
              </w:rPr>
            </w:pPr>
            <w:r>
              <w:rPr>
                <w:lang w:val="en-US"/>
              </w:rPr>
            </w:r>
          </w:p>
        </w:tc>
        <w:tc>
          <w:tcPr>
            <w:tcW w:w="1241" w:type="dxa"/>
            <w:tcBorders>
              <w:start w:val="single" w:sz="4" w:space="0" w:color="000000"/>
              <w:bottom w:val="single" w:sz="4" w:space="0" w:color="000000"/>
            </w:tcBorders>
          </w:tcPr>
          <w:p>
            <w:pPr>
              <w:pStyle w:val="Normal"/>
              <w:bidi w:val="0"/>
              <w:spacing w:before="0" w:after="0"/>
              <w:ind w:hanging="0" w:start="57" w:end="0"/>
              <w:jc w:val="center"/>
              <w:rPr>
                <w:lang w:val="en-US"/>
              </w:rPr>
            </w:pPr>
            <w:r>
              <w:rPr>
                <w:lang w:val="en-US"/>
              </w:rPr>
              <w:t>170</w:t>
            </w:r>
          </w:p>
        </w:tc>
        <w:tc>
          <w:tcPr>
            <w:tcW w:w="1415" w:type="dxa"/>
            <w:tcBorders>
              <w:start w:val="single" w:sz="4" w:space="0" w:color="000000"/>
              <w:bottom w:val="single" w:sz="4" w:space="0" w:color="000000"/>
            </w:tcBorders>
          </w:tcPr>
          <w:p>
            <w:pPr>
              <w:pStyle w:val="Normal"/>
              <w:bidi w:val="0"/>
              <w:spacing w:before="0" w:after="0"/>
              <w:ind w:hanging="0" w:start="0" w:end="0"/>
              <w:jc w:val="center"/>
              <w:rPr/>
            </w:pPr>
            <w:r>
              <w:rPr/>
              <w:t>шт</w:t>
            </w:r>
          </w:p>
        </w:tc>
        <w:tc>
          <w:tcPr>
            <w:tcW w:w="1651" w:type="dxa"/>
            <w:tcBorders>
              <w:start w:val="single" w:sz="4" w:space="0" w:color="000000"/>
              <w:bottom w:val="single" w:sz="4" w:space="0" w:color="000000"/>
            </w:tcBorders>
          </w:tcPr>
          <w:p>
            <w:pPr>
              <w:pStyle w:val="Normal"/>
              <w:bidi w:val="0"/>
              <w:spacing w:before="0" w:after="0"/>
              <w:ind w:hanging="0" w:start="0" w:end="0"/>
              <w:jc w:val="center"/>
              <w:rPr/>
            </w:pPr>
            <w:r>
              <w:rPr/>
            </w:r>
          </w:p>
        </w:tc>
        <w:tc>
          <w:tcPr>
            <w:tcW w:w="1190" w:type="dxa"/>
            <w:tcBorders>
              <w:start w:val="single" w:sz="4" w:space="0" w:color="000000"/>
              <w:bottom w:val="single" w:sz="4" w:space="0" w:color="000000"/>
            </w:tcBorders>
          </w:tcPr>
          <w:p>
            <w:pPr>
              <w:pStyle w:val="Normal"/>
              <w:bidi w:val="0"/>
              <w:spacing w:lineRule="atLeast" w:line="57" w:before="0" w:after="0"/>
              <w:ind w:hanging="0" w:start="0" w:end="0"/>
              <w:jc w:val="center"/>
              <w:rPr>
                <w:highlight w:val="yellow"/>
              </w:rPr>
            </w:pPr>
            <w:r>
              <w:rPr>
                <w:highlight w:val="yellow"/>
              </w:rPr>
            </w:r>
          </w:p>
        </w:tc>
        <w:tc>
          <w:tcPr>
            <w:tcW w:w="1619" w:type="dxa"/>
            <w:tcBorders>
              <w:start w:val="single" w:sz="4" w:space="0" w:color="000000"/>
              <w:bottom w:val="single" w:sz="4" w:space="0" w:color="000000"/>
              <w:end w:val="single" w:sz="4" w:space="0" w:color="000000"/>
            </w:tcBorders>
          </w:tcPr>
          <w:p>
            <w:pPr>
              <w:pStyle w:val="Normal"/>
              <w:bidi w:val="0"/>
              <w:spacing w:lineRule="atLeast" w:line="57" w:before="0" w:after="0"/>
              <w:ind w:hanging="0" w:start="0" w:end="0"/>
              <w:jc w:val="center"/>
              <w:rPr>
                <w:b/>
                <w:bCs/>
                <w:highlight w:val="yellow"/>
              </w:rPr>
            </w:pPr>
            <w:r>
              <w:rPr>
                <w:b/>
                <w:bCs/>
                <w:highlight w:val="yellow"/>
              </w:rPr>
            </w:r>
          </w:p>
        </w:tc>
      </w:tr>
      <w:tr>
        <w:trPr/>
        <w:tc>
          <w:tcPr>
            <w:tcW w:w="13779" w:type="dxa"/>
            <w:gridSpan w:val="7"/>
            <w:tcBorders>
              <w:start w:val="single" w:sz="4" w:space="0" w:color="000000"/>
              <w:bottom w:val="single" w:sz="4" w:space="0" w:color="000000"/>
            </w:tcBorders>
          </w:tcPr>
          <w:p>
            <w:pPr>
              <w:pStyle w:val="Style23"/>
              <w:jc w:val="end"/>
              <w:rPr/>
            </w:pPr>
            <w:r>
              <w:rPr/>
            </w:r>
          </w:p>
          <w:p>
            <w:pPr>
              <w:pStyle w:val="Style23"/>
              <w:jc w:val="end"/>
              <w:rPr/>
            </w:pPr>
            <w:r>
              <w:rPr/>
              <w:t>ИТОГО</w:t>
            </w:r>
          </w:p>
        </w:tc>
        <w:tc>
          <w:tcPr>
            <w:tcW w:w="1619" w:type="dxa"/>
            <w:tcBorders>
              <w:start w:val="single" w:sz="4" w:space="0" w:color="000000"/>
              <w:bottom w:val="single" w:sz="4" w:space="0" w:color="000000"/>
              <w:end w:val="single" w:sz="4" w:space="0" w:color="000000"/>
            </w:tcBorders>
          </w:tcPr>
          <w:p>
            <w:pPr>
              <w:pStyle w:val="Style23"/>
              <w:rPr/>
            </w:pPr>
            <w:r>
              <w:rPr/>
            </w:r>
          </w:p>
        </w:tc>
      </w:tr>
    </w:tbl>
    <w:p>
      <w:pPr>
        <w:pStyle w:val="Normal"/>
        <w:spacing w:before="0" w:after="60"/>
        <w:jc w:val="center"/>
        <w:rPr>
          <w:b/>
          <w:bCs/>
        </w:rPr>
      </w:pPr>
      <w:r>
        <w:rPr>
          <w:b/>
          <w:bCs/>
        </w:rPr>
      </w:r>
    </w:p>
    <w:tbl>
      <w:tblPr>
        <w:tblW w:w="5000" w:type="pct"/>
        <w:jc w:val="start"/>
        <w:tblInd w:w="0" w:type="dxa"/>
        <w:tblLayout w:type="fixed"/>
        <w:tblCellMar>
          <w:top w:w="0" w:type="dxa"/>
          <w:start w:w="0" w:type="dxa"/>
          <w:bottom w:w="0" w:type="dxa"/>
          <w:end w:w="0" w:type="dxa"/>
        </w:tblCellMar>
      </w:tblPr>
      <w:tblGrid>
        <w:gridCol w:w="7698"/>
        <w:gridCol w:w="7700"/>
      </w:tblGrid>
      <w:tr>
        <w:trPr/>
        <w:tc>
          <w:tcPr>
            <w:tcW w:w="7698" w:type="dxa"/>
            <w:tcBorders/>
          </w:tcPr>
          <w:p>
            <w:pPr>
              <w:pStyle w:val="Normal"/>
              <w:tabs>
                <w:tab w:val="clear" w:pos="708"/>
                <w:tab w:val="left" w:pos="7680" w:leader="none"/>
              </w:tabs>
              <w:rPr>
                <w:b/>
                <w:color w:val="000000"/>
              </w:rPr>
            </w:pPr>
            <w:r>
              <w:rPr>
                <w:b/>
                <w:color w:val="000000"/>
              </w:rPr>
              <w:t>Заказчик:</w:t>
            </w:r>
          </w:p>
          <w:p>
            <w:pPr>
              <w:pStyle w:val="Normal"/>
              <w:tabs>
                <w:tab w:val="clear" w:pos="708"/>
                <w:tab w:val="left" w:pos="7680" w:leader="none"/>
              </w:tabs>
              <w:rPr>
                <w:b/>
                <w:color w:val="000000"/>
              </w:rPr>
            </w:pPr>
            <w:r>
              <w:rPr>
                <w:b/>
                <w:color w:val="000000"/>
              </w:rPr>
            </w:r>
          </w:p>
          <w:p>
            <w:pPr>
              <w:pStyle w:val="11"/>
              <w:rPr>
                <w:rFonts w:ascii="Times New Roman" w:hAnsi="Times New Roman" w:cs="Times New Roman"/>
                <w:sz w:val="20"/>
                <w:szCs w:val="20"/>
              </w:rPr>
            </w:pPr>
            <w:r>
              <w:rPr>
                <w:rFonts w:cs="Times New Roman" w:ascii="Times New Roman" w:hAnsi="Times New Roman"/>
                <w:sz w:val="20"/>
                <w:szCs w:val="20"/>
              </w:rPr>
              <w:t>Начальник отдела материально-технического снабжения</w:t>
            </w:r>
          </w:p>
          <w:p>
            <w:pPr>
              <w:pStyle w:val="11"/>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sz w:val="20"/>
                <w:szCs w:val="20"/>
              </w:rPr>
              <w:t>____________  А.Е.Кузнецова</w:t>
            </w:r>
            <w:r>
              <w:rPr/>
              <w:t xml:space="preserve">                                                       </w:t>
            </w:r>
          </w:p>
          <w:p>
            <w:pPr>
              <w:pStyle w:val="Normal"/>
              <w:tabs>
                <w:tab w:val="clear" w:pos="708"/>
                <w:tab w:val="left" w:pos="7680" w:leader="none"/>
              </w:tabs>
              <w:rPr/>
            </w:pPr>
            <w:r>
              <w:rPr/>
              <w:t>м.п.</w:t>
            </w:r>
          </w:p>
        </w:tc>
        <w:tc>
          <w:tcPr>
            <w:tcW w:w="7700" w:type="dxa"/>
            <w:tcBorders/>
          </w:tcPr>
          <w:p>
            <w:pPr>
              <w:pStyle w:val="Normal"/>
              <w:tabs>
                <w:tab w:val="clear" w:pos="708"/>
                <w:tab w:val="left" w:pos="7680" w:leader="none"/>
              </w:tabs>
              <w:rPr>
                <w:b/>
                <w:color w:val="000000"/>
              </w:rPr>
            </w:pPr>
            <w:r>
              <w:rPr>
                <w:b/>
                <w:color w:val="000000"/>
              </w:rPr>
              <w:t>Поставщик:</w:t>
            </w:r>
          </w:p>
          <w:p>
            <w:pPr>
              <w:pStyle w:val="Normal"/>
              <w:tabs>
                <w:tab w:val="clear" w:pos="708"/>
                <w:tab w:val="left" w:pos="7680" w:leader="none"/>
              </w:tabs>
              <w:rPr>
                <w:b/>
                <w:color w:val="000000"/>
              </w:rPr>
            </w:pPr>
            <w:r>
              <w:rPr>
                <w:b/>
                <w:color w:val="000000"/>
              </w:rPr>
            </w:r>
          </w:p>
          <w:p>
            <w:pPr>
              <w:pStyle w:val="Normal"/>
              <w:rPr/>
            </w:pPr>
            <w:r>
              <w:rPr/>
            </w:r>
          </w:p>
          <w:p>
            <w:pPr>
              <w:pStyle w:val="Normal"/>
              <w:rPr/>
            </w:pPr>
            <w:r>
              <w:rPr/>
              <w:t xml:space="preserve">___________                                                       </w:t>
            </w:r>
          </w:p>
          <w:p>
            <w:pPr>
              <w:pStyle w:val="Normal"/>
              <w:rPr/>
            </w:pPr>
            <w:r>
              <w:rPr/>
              <w:t>м.п.</w:t>
            </w:r>
          </w:p>
        </w:tc>
      </w:tr>
    </w:tbl>
    <w:p>
      <w:pPr>
        <w:pStyle w:val="Normal"/>
        <w:spacing w:before="0" w:after="60"/>
        <w:jc w:val="center"/>
        <w:rPr>
          <w:b/>
          <w:bCs/>
        </w:rPr>
      </w:pPr>
      <w:r>
        <w:rPr>
          <w:b/>
          <w:bCs/>
        </w:rPr>
        <mc:AlternateContent>
          <mc:Choice Requires="wps">
            <w:drawing>
              <wp:anchor behindDoc="0" distT="0" distB="635" distL="114300" distR="114300" simplePos="0" locked="0" layoutInCell="0" allowOverlap="1" relativeHeight="2">
                <wp:simplePos x="0" y="0"/>
                <wp:positionH relativeFrom="page">
                  <wp:posOffset>426085</wp:posOffset>
                </wp:positionH>
                <wp:positionV relativeFrom="paragraph">
                  <wp:posOffset>603250</wp:posOffset>
                </wp:positionV>
                <wp:extent cx="10692130" cy="402590"/>
                <wp:effectExtent l="0" t="0" r="0" b="0"/>
                <wp:wrapSquare wrapText="bothSides"/>
                <wp:docPr id="1" name="Врезка1"/>
                <a:graphic xmlns:a="http://schemas.openxmlformats.org/drawingml/2006/main">
                  <a:graphicData uri="http://schemas.microsoft.com/office/word/2010/wordprocessingShape">
                    <wps:wsp>
                      <wps:cNvSpPr/>
                      <wps:spPr>
                        <a:xfrm>
                          <a:off x="0" y="0"/>
                          <a:ext cx="10692000" cy="402480"/>
                        </a:xfrm>
                        <a:prstGeom prst="rect">
                          <a:avLst/>
                        </a:prstGeom>
                        <a:noFill/>
                        <a:ln w="0">
                          <a:noFill/>
                        </a:ln>
                      </wps:spPr>
                      <wps:style>
                        <a:lnRef idx="0"/>
                        <a:fillRef idx="0"/>
                        <a:effectRef idx="0"/>
                        <a:fontRef idx="minor"/>
                      </wps:style>
                      <wps:txbx>
                        <w:txbxContent>
                          <w:p>
                            <w:pPr>
                              <w:pStyle w:val="BodyText"/>
                              <w:rPr>
                                <w:color w:val="000000"/>
                              </w:rPr>
                            </w:pPr>
                            <w:r>
                              <w:rPr>
                                <w:color w:val="000000"/>
                              </w:rPr>
                            </w:r>
                          </w:p>
                          <w:p>
                            <w:pPr>
                              <w:pStyle w:val="user5"/>
                              <w:rPr>
                                <w:color w:val="000000"/>
                              </w:rPr>
                            </w:pPr>
                            <w:r>
                              <w:rPr>
                                <w:color w:val="000000"/>
                              </w:rPr>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33.55pt;margin-top:47.5pt;width:841.85pt;height:31.65pt;mso-wrap-style:square;v-text-anchor:top;mso-position-horizontal-relative:page">
                <v:fill o:detectmouseclick="t" on="false"/>
                <v:stroke color="#3465a4" joinstyle="round" endcap="flat"/>
                <v:textbox>
                  <w:txbxContent>
                    <w:p>
                      <w:pPr>
                        <w:pStyle w:val="BodyText"/>
                        <w:rPr>
                          <w:color w:val="000000"/>
                        </w:rPr>
                      </w:pPr>
                      <w:r>
                        <w:rPr>
                          <w:color w:val="000000"/>
                        </w:rPr>
                      </w:r>
                    </w:p>
                    <w:p>
                      <w:pPr>
                        <w:pStyle w:val="user5"/>
                        <w:rPr>
                          <w:color w:val="000000"/>
                        </w:rPr>
                      </w:pPr>
                      <w:r>
                        <w:rPr>
                          <w:color w:val="000000"/>
                        </w:rPr>
                      </w:r>
                    </w:p>
                  </w:txbxContent>
                </v:textbox>
                <w10:wrap type="square"/>
              </v:rect>
            </w:pict>
          </mc:Fallback>
        </mc:AlternateContent>
      </w:r>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settings.xml><?xml version="1.0" encoding="utf-8"?>
<w:settings xmlns:w="http://schemas.openxmlformats.org/wordprocessingml/2006/main">
  <w:zoom w:percent="15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user">
    <w:name w:val="Символ сноски (user)"/>
    <w:uiPriority w:val="99"/>
    <w:unhideWhenUsed/>
    <w:qFormat/>
    <w:rPr>
      <w:vertAlign w:val="superscript"/>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user1">
    <w:name w:val="Символ концевой сноски (user)"/>
    <w:uiPriority w:val="99"/>
    <w:semiHidden/>
    <w:unhideWhenUsed/>
    <w:qFormat/>
    <w:rPr>
      <w:vertAlign w:val="superscript"/>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0">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star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start="720" w:end="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start="720" w:end="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start="283"/>
    </w:pPr>
    <w:rPr/>
  </w:style>
  <w:style w:type="paragraph" w:styleId="TOC3">
    <w:name w:val="toc 3"/>
    <w:basedOn w:val="Normal"/>
    <w:next w:val="Normal"/>
    <w:uiPriority w:val="39"/>
    <w:unhideWhenUsed/>
    <w:pPr>
      <w:spacing w:before="0" w:after="57"/>
      <w:ind w:start="567"/>
    </w:pPr>
    <w:rPr/>
  </w:style>
  <w:style w:type="paragraph" w:styleId="TOC4">
    <w:name w:val="toc 4"/>
    <w:basedOn w:val="Normal"/>
    <w:next w:val="Normal"/>
    <w:uiPriority w:val="39"/>
    <w:unhideWhenUsed/>
    <w:pPr>
      <w:spacing w:before="0" w:after="57"/>
      <w:ind w:start="850"/>
    </w:pPr>
    <w:rPr/>
  </w:style>
  <w:style w:type="paragraph" w:styleId="TOC5">
    <w:name w:val="toc 5"/>
    <w:basedOn w:val="Normal"/>
    <w:next w:val="Normal"/>
    <w:uiPriority w:val="39"/>
    <w:unhideWhenUsed/>
    <w:pPr>
      <w:spacing w:before="0" w:after="57"/>
      <w:ind w:start="1134"/>
    </w:pPr>
    <w:rPr/>
  </w:style>
  <w:style w:type="paragraph" w:styleId="TOC6">
    <w:name w:val="toc 6"/>
    <w:basedOn w:val="Normal"/>
    <w:next w:val="Normal"/>
    <w:uiPriority w:val="39"/>
    <w:unhideWhenUsed/>
    <w:pPr>
      <w:spacing w:before="0" w:after="57"/>
      <w:ind w:start="1417"/>
    </w:pPr>
    <w:rPr/>
  </w:style>
  <w:style w:type="paragraph" w:styleId="TOC7">
    <w:name w:val="toc 7"/>
    <w:basedOn w:val="Normal"/>
    <w:next w:val="Normal"/>
    <w:uiPriority w:val="39"/>
    <w:unhideWhenUsed/>
    <w:pPr>
      <w:spacing w:before="0" w:after="57"/>
      <w:ind w:start="1701"/>
    </w:pPr>
    <w:rPr/>
  </w:style>
  <w:style w:type="paragraph" w:styleId="TOC8">
    <w:name w:val="toc 8"/>
    <w:basedOn w:val="Normal"/>
    <w:next w:val="Normal"/>
    <w:uiPriority w:val="39"/>
    <w:unhideWhenUsed/>
    <w:pPr>
      <w:spacing w:before="0" w:after="57"/>
      <w:ind w:start="1984"/>
    </w:pPr>
    <w:rPr/>
  </w:style>
  <w:style w:type="paragraph" w:styleId="TOC9">
    <w:name w:val="toc 9"/>
    <w:basedOn w:val="Normal"/>
    <w:next w:val="Normal"/>
    <w:uiPriority w:val="39"/>
    <w:unhideWhenUsed/>
    <w:pPr>
      <w:spacing w:before="0" w:after="57"/>
      <w:ind w:start="2268"/>
    </w:pPr>
    <w:rPr/>
  </w:style>
  <w:style w:type="paragraph" w:styleId="IndexHeading">
    <w:name w:val="index heading"/>
    <w:basedOn w:val="user2"/>
    <w:pPr/>
    <w:rPr/>
  </w:style>
  <w:style w:type="paragraph" w:styleId="TOCHeading">
    <w:name w:val="TOC Heading"/>
    <w:uiPriority w:val="39"/>
    <w:unhideWhenUsed/>
    <w:qFormat/>
    <w:pPr>
      <w:widowControl/>
      <w:suppressAutoHyphens w:val="true"/>
      <w:bidi w:val="0"/>
      <w:spacing w:before="0" w:after="0"/>
      <w:jc w:val="star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star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user4">
    <w:name w:val="Колонтитулы (user)"/>
    <w:basedOn w:val="Normal"/>
    <w:qFormat/>
    <w:pPr/>
    <w:rPr/>
  </w:style>
  <w:style w:type="paragraph" w:styleId="Style21">
    <w:name w:val="Колонтитулы"/>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start"/>
    </w:pPr>
    <w:rPr>
      <w:rFonts w:ascii="Calibri" w:hAnsi="Calibri" w:eastAsia="Times New Roman" w:cs="Calibri"/>
      <w:color w:val="auto"/>
      <w:kern w:val="0"/>
      <w:sz w:val="22"/>
      <w:szCs w:val="22"/>
      <w:lang w:val="ru-RU" w:eastAsia="en-US" w:bidi="ar-SA"/>
    </w:rPr>
  </w:style>
  <w:style w:type="paragraph" w:styleId="user5">
    <w:name w:val="Содержимое врезки (user)"/>
    <w:basedOn w:val="Normal"/>
    <w:qFormat/>
    <w:pPr/>
    <w:rPr/>
  </w:style>
  <w:style w:type="paragraph" w:styleId="western">
    <w:name w:val="western"/>
    <w:basedOn w:val="Normal"/>
    <w:qFormat/>
    <w:pPr>
      <w:suppressAutoHyphens w:val="false"/>
      <w:spacing w:before="280" w:after="142"/>
    </w:pPr>
    <w:rPr>
      <w:rFonts w:ascii="Times New Roman" w:hAnsi="Times New Roman" w:cs="Times New Roman"/>
    </w:rPr>
  </w:style>
  <w:style w:type="paragraph" w:styleId="user6">
    <w:name w:val="Содержимое таблицы (user)"/>
    <w:basedOn w:val="Normal"/>
    <w:qFormat/>
    <w:pPr>
      <w:widowControl w:val="false"/>
      <w:suppressLineNumbers/>
    </w:pPr>
    <w:rPr/>
  </w:style>
  <w:style w:type="paragraph" w:styleId="user7">
    <w:name w:val="Заголовок таблицы (user)"/>
    <w:basedOn w:val="user6"/>
    <w:qFormat/>
    <w:pPr>
      <w:suppressLineNumbers/>
      <w:jc w:val="center"/>
    </w:pPr>
    <w:rPr>
      <w:b/>
      <w:bCs/>
    </w:rPr>
  </w:style>
  <w:style w:type="paragraph" w:styleId="Style22">
    <w:name w:val="Содержимое врезки"/>
    <w:basedOn w:val="Normal"/>
    <w:qFormat/>
    <w:pPr/>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numbering" w:styleId="user8"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2">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styleId="-10">
    <w:name w:val="List Table 1 Light"/>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0">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38</TotalTime>
  <Application>LibreOffice/25.8.3.2$Linux_X86_64 LibreOffice_project/580$Build-2</Application>
  <AppVersion>15.0000</AppVersion>
  <Pages>7</Pages>
  <Words>3144</Words>
  <Characters>22391</Characters>
  <CharactersWithSpaces>26187</CharactersWithSpaces>
  <Paragraphs>213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2025-02-10T02:27:00Z</dcterms:created>
  <dc:creator>Захаров Никита Сергеевич</dc:creator>
  <dc:description/>
  <dc:language>ru-RU</dc:language>
  <cp:lastModifiedBy/>
  <dcterms:modified xsi:type="dcterms:W3CDTF">2026-10-27T11:31:29Z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