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1482" w:leader="none"/>
        </w:tabs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</w:r>
      <w:r>
        <w:rPr>
          <w:rFonts w:ascii="Times New Roman" w:hAnsi="Times New Roman"/>
          <w:b/>
          <w:sz w:val="24"/>
          <w:szCs w:val="24"/>
          <w:lang w:eastAsia="ru-RU"/>
        </w:rPr>
      </w:r>
    </w:p>
    <w:p>
      <w:pPr>
        <w:jc w:val="center"/>
        <w:tabs>
          <w:tab w:val="left" w:pos="1482" w:leader="none"/>
        </w:tabs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</w:r>
      <w:r>
        <w:rPr>
          <w:rFonts w:ascii="Times New Roman" w:hAnsi="Times New Roman"/>
          <w:b/>
          <w:sz w:val="24"/>
          <w:szCs w:val="24"/>
          <w:lang w:eastAsia="ru-RU"/>
        </w:rPr>
      </w:r>
    </w:p>
    <w:p>
      <w:pPr>
        <w:jc w:val="center"/>
        <w:tabs>
          <w:tab w:val="left" w:pos="1482" w:leader="none"/>
        </w:tabs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</w:r>
      <w:r>
        <w:rPr>
          <w:rFonts w:ascii="Times New Roman" w:hAnsi="Times New Roman"/>
          <w:b/>
          <w:sz w:val="24"/>
          <w:szCs w:val="24"/>
          <w:lang w:eastAsia="ru-RU"/>
        </w:rPr>
      </w:r>
    </w:p>
    <w:p>
      <w:pPr>
        <w:jc w:val="center"/>
        <w:tabs>
          <w:tab w:val="left" w:pos="1482" w:leader="none"/>
        </w:tabs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Техническое задание</w:t>
      </w:r>
      <w:r>
        <w:rPr>
          <w:rFonts w:ascii="Times New Roman" w:hAnsi="Times New Roman"/>
          <w:b/>
          <w:sz w:val="24"/>
          <w:szCs w:val="24"/>
          <w:lang w:eastAsia="ru-RU"/>
        </w:rPr>
      </w:r>
    </w:p>
    <w:p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/>
      <w:bookmarkStart w:id="0" w:name="ZAP2JA43LU"/>
      <w:r/>
      <w:bookmarkStart w:id="1" w:name="bssPhr168"/>
      <w:r/>
      <w:bookmarkStart w:id="2" w:name="ZAP2CLQ3IB"/>
      <w:r/>
      <w:bookmarkStart w:id="3" w:name="bssPhr169"/>
      <w:r/>
      <w:bookmarkStart w:id="4" w:name="ZAP2BNK3I5"/>
      <w:r/>
      <w:bookmarkStart w:id="5" w:name="bssPhr170"/>
      <w:r/>
      <w:bookmarkStart w:id="6" w:name="ZAP28SG3HR"/>
      <w:r/>
      <w:bookmarkStart w:id="7" w:name="bssPhr171"/>
      <w:r/>
      <w:bookmarkStart w:id="8" w:name="ZAP2C8A3I0"/>
      <w:r/>
      <w:bookmarkEnd w:id="0"/>
      <w:r/>
      <w:bookmarkEnd w:id="1"/>
      <w:r/>
      <w:bookmarkEnd w:id="2"/>
      <w:r/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Предмет закупки: </w:t>
      </w:r>
      <w:r>
        <w:rPr>
          <w:rFonts w:ascii="Times New Roman" w:hAnsi="Times New Roman"/>
          <w:bCs/>
          <w:sz w:val="24"/>
          <w:szCs w:val="24"/>
        </w:rPr>
        <w:t xml:space="preserve">«</w:t>
      </w:r>
      <w:r>
        <w:rPr>
          <w:rFonts w:ascii="Times New Roman" w:hAnsi="Times New Roman"/>
          <w:sz w:val="24"/>
          <w:szCs w:val="24"/>
        </w:rPr>
        <w:t xml:space="preserve">Обслуживание и ремонт сетей газопотребления и газораспределения (Оренбургская область)».</w:t>
      </w:r>
      <w:r>
        <w:rPr>
          <w:rFonts w:ascii="Times New Roman" w:hAnsi="Times New Roman"/>
          <w:iCs/>
          <w:sz w:val="24"/>
          <w:szCs w:val="24"/>
        </w:rPr>
      </w:r>
    </w:p>
    <w:p>
      <w:pPr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329" w:firstLine="709"/>
        <w:jc w:val="both"/>
        <w:widowControl w:val="off"/>
        <w:tabs>
          <w:tab w:val="left" w:pos="720" w:leader="none"/>
          <w:tab w:val="left" w:pos="9014" w:leader="underscor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Заказчик: </w:t>
      </w:r>
      <w:r>
        <w:rPr>
          <w:rFonts w:ascii="Times New Roman" w:hAnsi="Times New Roman"/>
          <w:sz w:val="24"/>
          <w:szCs w:val="24"/>
        </w:rPr>
        <w:t xml:space="preserve">Федеральное казенное учреждение «Центр по обеспечению деятельности Казначейства России». Межрегиональный филиал Федерального казенного учреждения «Центр по обеспечению деятельности Казначейства России» в г. Екатеринбурге.</w:t>
      </w:r>
      <w:r>
        <w:rPr>
          <w:rFonts w:ascii="Times New Roman" w:hAnsi="Times New Roman"/>
          <w:sz w:val="24"/>
          <w:szCs w:val="24"/>
        </w:rPr>
      </w:r>
    </w:p>
    <w:p>
      <w:pPr>
        <w:ind w:right="329" w:firstLine="709"/>
        <w:jc w:val="both"/>
        <w:widowControl w:val="off"/>
        <w:tabs>
          <w:tab w:val="left" w:pos="720" w:leader="none"/>
          <w:tab w:val="left" w:pos="9014" w:leader="underscor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jc w:val="both"/>
        <w:tabs>
          <w:tab w:val="left" w:pos="1276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3. Место оказания услуг</w:t>
      </w:r>
      <w:r>
        <w:rPr>
          <w:rFonts w:ascii="Times New Roman" w:hAnsi="Times New Roman"/>
          <w:bCs/>
          <w:sz w:val="24"/>
          <w:szCs w:val="24"/>
        </w:rPr>
        <w:t xml:space="preserve"> Российская Федерация, Оренбургская область, г. </w:t>
      </w:r>
      <w:r>
        <w:rPr>
          <w:rFonts w:ascii="Times New Roman" w:hAnsi="Times New Roman"/>
          <w:bCs/>
          <w:sz w:val="24"/>
          <w:szCs w:val="24"/>
        </w:rPr>
        <w:t xml:space="preserve">Бузулук, 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 xml:space="preserve">                 </w:t>
      </w:r>
      <w:r>
        <w:rPr>
          <w:rFonts w:ascii="Times New Roman" w:hAnsi="Times New Roman"/>
          <w:bCs/>
          <w:sz w:val="24"/>
          <w:szCs w:val="24"/>
        </w:rPr>
        <w:t xml:space="preserve">ул. Чапаева, д. 33; п. Акбулак, ул. Кирова, 36; с. Александровка, ул. Набережная, д. 4а;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п. Новосергиевка, ул. Красноармейская, д. 91; с. Октябрьское, ул. Почтовая, д. 13; </w:t>
      </w:r>
      <w:r>
        <w:rPr>
          <w:rFonts w:ascii="Times New Roman" w:hAnsi="Times New Roman"/>
          <w:sz w:val="24"/>
          <w:szCs w:val="24"/>
        </w:rPr>
        <w:t xml:space="preserve">(далее -Объекты).</w:t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both"/>
        <w:spacing w:line="235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Срок и график оказания услуг.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Дата начала оказания услуг: с даты заключения контракта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Дата завершения оказания услуг: </w:t>
      </w:r>
      <w:r>
        <w:rPr>
          <w:rFonts w:ascii="Times New Roman" w:hAnsi="Times New Roman"/>
          <w:bCs/>
          <w:sz w:val="24"/>
          <w:szCs w:val="24"/>
        </w:rPr>
        <w:t xml:space="preserve">30.1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0</w:t>
      </w:r>
      <w:r>
        <w:rPr>
          <w:rFonts w:ascii="Times New Roman" w:hAnsi="Times New Roman"/>
          <w:bCs/>
          <w:sz w:val="24"/>
          <w:szCs w:val="24"/>
        </w:rPr>
        <w:t xml:space="preserve">.2026 включительно.</w:t>
      </w:r>
      <w:bookmarkStart w:id="9" w:name="_GoBack"/>
      <w:r/>
      <w:bookmarkEnd w:id="9"/>
      <w:r/>
      <w:r>
        <w:rPr>
          <w:rFonts w:ascii="Times New Roman" w:hAnsi="Times New Roman"/>
          <w:bCs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График оказания услуг: в рабочи</w:t>
      </w:r>
      <w:r>
        <w:rPr>
          <w:rFonts w:ascii="Times New Roman" w:hAnsi="Times New Roman"/>
          <w:bCs/>
          <w:sz w:val="24"/>
          <w:szCs w:val="24"/>
        </w:rPr>
        <w:t xml:space="preserve">е дни, в рабочее время с понедельника по четверг с 09 часов 00мин. до 18 часов 00 мин., пятницу с 09 часов 00 мин. до 16 часов 40 мин., обеденный перерыв в рабочие дни предусмотрен с 13:00 до 13:45. суббота и воскресенье – выходные дни (время г. Оренбург).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выходные дни, а также за пределами норм продолжительности рабочего дня оказание услуг возможно по предварительному согласованию с Заказчиком, при условии соблюдения Исполнителем требований законодательства об охране труда.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Перечень, периодичность и объем оказываемых услуг.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</w:t>
      </w:r>
      <w:r>
        <w:rPr>
          <w:rFonts w:ascii="Times New Roman" w:hAnsi="Times New Roman"/>
          <w:bCs/>
          <w:sz w:val="24"/>
          <w:szCs w:val="24"/>
        </w:rPr>
        <w:t xml:space="preserve">оказываемых услуг: 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- 1 </w:t>
      </w:r>
      <w:r>
        <w:rPr>
          <w:rFonts w:ascii="Times New Roman" w:hAnsi="Times New Roman"/>
          <w:bCs/>
          <w:sz w:val="24"/>
          <w:szCs w:val="24"/>
        </w:rPr>
        <w:t xml:space="preserve">условная единица</w:t>
      </w:r>
      <w:r>
        <w:rPr>
          <w:rFonts w:ascii="Times New Roman" w:hAnsi="Times New Roman"/>
          <w:sz w:val="24"/>
          <w:szCs w:val="24"/>
        </w:rPr>
        <w:t xml:space="preserve"> - Обслуживание и ремонт сетей газопотребления и газораспределения</w:t>
      </w:r>
      <w:r>
        <w:rPr>
          <w:rFonts w:ascii="Times New Roman" w:hAnsi="Times New Roman"/>
          <w:sz w:val="24"/>
          <w:szCs w:val="24"/>
        </w:rPr>
        <w:t xml:space="preserve"> (Оренбургская область) 2026 год.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1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условная единица равна разовому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оказанию услуг в соответствии с периодич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ностью, указанной в Таблице № 1 технического задания.</w:t>
      </w:r>
      <w:r>
        <w:rPr>
          <w:rFonts w:ascii="Times New Roman" w:hAnsi="Times New Roman"/>
          <w:bCs/>
          <w:sz w:val="24"/>
          <w:szCs w:val="24"/>
          <w:lang w:eastAsia="ru-RU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Перечень, периодичность оказания Услуг и адрес места нахождения оборудования, подлежащего обслуживанию и ремонту представлен в Таблице № 1 настоящего технического задания.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left="357" w:firstLine="709"/>
        <w:jc w:val="both"/>
        <w:tabs>
          <w:tab w:val="left" w:pos="2517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Перечень, периодичность оказания Услуг и адрес места нахождения оборудования, подлежащего обслуживанию и ремонту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left="113" w:right="11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left="113" w:right="113"/>
        <w:jc w:val="right"/>
        <w:rPr>
          <w:rFonts w:ascii="Times New Roman" w:hAnsi="Times New Roman"/>
          <w:sz w:val="24"/>
          <w:szCs w:val="24"/>
        </w:rPr>
        <w:sectPr>
          <w:headerReference w:type="default" r:id="rId8"/>
          <w:footnotePr/>
          <w:endnotePr/>
          <w:type w:val="nextPage"/>
          <w:pgSz w:w="11906" w:h="16838" w:orient="portrait"/>
          <w:pgMar w:top="567" w:right="567" w:bottom="851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4"/>
          <w:szCs w:val="24"/>
        </w:rPr>
        <w:t xml:space="preserve">Таблица № 1</w:t>
      </w:r>
      <w:r>
        <w:rPr>
          <w:rFonts w:ascii="Times New Roman" w:hAnsi="Times New Roman"/>
          <w:sz w:val="24"/>
          <w:szCs w:val="24"/>
        </w:rPr>
      </w:r>
    </w:p>
    <w:tbl>
      <w:tblPr>
        <w:tblW w:w="12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1275"/>
        <w:gridCol w:w="709"/>
        <w:gridCol w:w="992"/>
        <w:gridCol w:w="709"/>
        <w:gridCol w:w="709"/>
        <w:gridCol w:w="708"/>
        <w:gridCol w:w="709"/>
        <w:gridCol w:w="708"/>
      </w:tblGrid>
      <w:tr>
        <w:tblPrEx/>
        <w:trPr>
          <w:cantSplit/>
          <w:jc w:val="center"/>
          <w:trHeight w:val="2996"/>
        </w:trPr>
        <w:tc>
          <w:tcPr>
            <w:shd w:val="clear" w:color="auto" w:fill="auto"/>
            <w:tcW w:w="6380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Услуг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Ед. изм.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Кол. -во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Периодичность оказания Услуг (Кол-во обслуживаний за период действия контракта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г. Бузулук, ул. Чапаева, д. 33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с. Александровка, ул. Набережная, д.4а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с. Октябрьское, ул. Почтовая, д. 13;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п. Новосергиевка, ул. Красноармейская, д. 91;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п. Акбулак, ул. Кирова, д.36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емкостного водонагревателя типа ДОН-16, ДОН-31, 5; Холер, "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Burnham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соответствия установки газоиспользующего оборудования проектной документации;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наличия тяги в дымоходе и вентиляционном канале;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герметичности дымоотвода, соединяющего газоиспользующее оборудование с дымоходом;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выявление утечек газа из газоиспользующего оборудования;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разборка и смазка кранов, не обеспечивающих герметичность и плавность хода;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работоспособности автоматики безопасности;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организации притока воздуха для сжигания газа;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параметров давления газа и регулировка процесса сжигания газа на всех режимах работы газоиспользующего оборудования;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устранение выявленных утечек газа и неисправностей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прибор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емкостного водонагревателя типа КЧМ, БЭМ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соответствия установки газоиспользующего оборудования проектной документации;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наличия тяги в дымоходе и вентиляционном канале;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герметичности дымоотвода, соединяющего газоиспользующее оборудование с дымоходом;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выявление утечек газа из газоиспользующего оборудования;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разборка и смазка кранов, не обеспечивающих герметичность и плавность хода;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работоспособности автоматики безопасности;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организации притока воздуха для сжигания газа;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параметров давления газа и регулировка процесса сжигания газа на всех режимах работы газоиспользующего оборудования;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устранение выявленных утечек газа и неисправностей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прибор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емкостного водонагревателя типа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Protherm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BAXI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Valiant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других аналогичных водонагревателей - проверка соответствия установки газоиспользующего оборудования проектной документации;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наличия тяги в дымоходе и вентиляционном канале;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герметичности дымоотвода, соединяющего газоиспользующее оборудование с дымоходом;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выявление утечек газа из газоиспользующего оборудования;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разборка и смазка кранов, не обеспечивающих герметичность и плавность хода;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работоспособности автоматики безопасности;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организации притока воздуха для сжигания газа;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параметров давления газа и регулировка процесса сжигания газа на всех режимах работы газоиспользующего оборудования;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устранение выявленных утечек газа и неисправностей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прибор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Проверка герметичности внутреннего газопровода и газового оборудования при количестве приборов на одном стояке до 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стояк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Включение отопительного аппарата на зимний период, подключение газоиспользующего оборудования к сети газопотребления и проведение его технического обслуживания в начале отопительного сезона.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аппарат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сигнализатора загазованности (кроме проверки контрольными смесями)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прибор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кранов в котельной при диаметре до 40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включ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мм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Установка стационарных газосигнализаторов СТМ, СТХ-3, СТХ-6, ЩИТ-2, СИКЗ электроника и другие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датчик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Демонтаж стационарных газосигнализаторов СТМ, СТХ-3, СТХ-6, ЩИТ-2, СИКЗ электроника и другие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датчик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Поверка сигнализаторов загазованности, газоанализаторов СИКЗ, БУГ, САОГ, СОУ, СТГ-1, СГГ-6, СЗ-1, СЗ-2,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Seitron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ЭКО и др.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канал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Периодическая проверка дымовых и вентиляционных каналов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 1 вент. канал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Инструктаж лиц, ответственных за безопасную эксплуатацию бытовых газовых приборов, установленных в общественных зданиях производственного назначения, в общественных, административных и жилых зданиях при обучении в группе (4-5 человек)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чел.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Осмотр технического состояния надземного газопровода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0,224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0,112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0,076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0,018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0,008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0,010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Осмотр технического состояния подземного газопровода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0,219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0,005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0,214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Осмотр технического состояния подземного газопровода (ПЭ)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0,074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0,074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Оформление рез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ультатов мониторинга технического осмотра газопровода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отчет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электроизолирующих соединений и проверка их диэлектрических свойств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фланец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задвижки в надземном исполнении при диаметре задвижки до 100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включ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мм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задвижка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Технический осмотр ГРПШ при количестве линий редуцирования - одна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ГРПШ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РДГК-6, РДГК-10, РДГД-20 и другой аналогичной редукционной арматурой, установленной в ГРПШ, ГРУ- проверка соответствия прокладки газопроводов проектной документации;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свободного доступа к открыто проложенным газопроводам;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состояния труб и креплений газопроводов на участках открытой прокладки;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наличия и состояния защитных футляров газопроводов и противопожарных переборок (для газопроводов из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металлополимерных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труб) в местах их прокладки через внутренние строительные конструкции здания;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прибором или пенообразующим раствором герметичности разъемных соединений технических устройств, установленных на газопроводах, а также мест присоединений к газопроводам газоиспользующего оборудования, устранение утечек газа;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состояния гибких рукавов, используемых для присоединения газоиспользующего оборудования к газопроводу сети газораспределения, а также их соответствия области применения;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и восстановление работоспособности запорной арматуры на газопроводе;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целостности установленных на газопроводе приборов учета газа,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термоклапанов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средств технологического контроля загазованности помещений.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проверка наличия схем скрытой прокладки газопроводов у собственника помещения;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осмотр и проверка прибором или пенообразующим раствором герметичности соединительных деталей (фитингов)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металлополимерных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газопроводов на участках их открытой прокладки;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осмотр состояния стен на участках скрытой прокладки газопроводов.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регулятор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Проверка срабатывания защитной арматуры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ПЗК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84"/>
        </w:trPr>
        <w:tc>
          <w:tcPr>
            <w:shd w:val="clear" w:color="auto" w:fill="auto"/>
            <w:tcW w:w="638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Проверка срабатывания предохранительной арматуры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ПСК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tabs>
          <w:tab w:val="left" w:pos="720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6838" w:h="11906" w:orient="landscape"/>
          <w:pgMar w:top="1134" w:right="567" w:bottom="1134" w:left="1134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706" w:leader="none"/>
          <w:tab w:val="left" w:pos="8942" w:leader="underscor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7. Требования к функциональным, эксплуатационным и техническим характеристикам.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706" w:leader="none"/>
          <w:tab w:val="left" w:pos="8942" w:leader="underscor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706" w:leader="none"/>
          <w:tab w:val="left" w:pos="8942" w:leader="underscore"/>
        </w:tabs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Функциональные характеристики.</w:t>
      </w:r>
      <w:r>
        <w:rPr>
          <w:rFonts w:ascii="Times New Roman" w:hAnsi="Times New Roman"/>
          <w:sz w:val="24"/>
          <w:szCs w:val="24"/>
          <w:u w:val="single"/>
        </w:rPr>
      </w:r>
    </w:p>
    <w:p>
      <w:pPr>
        <w:ind w:firstLine="709"/>
        <w:jc w:val="both"/>
        <w:widowControl w:val="off"/>
        <w:tabs>
          <w:tab w:val="left" w:pos="706" w:leader="none"/>
          <w:tab w:val="left" w:pos="8942" w:leader="underscore"/>
        </w:tabs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  <w:r>
        <w:rPr>
          <w:rFonts w:ascii="Times New Roman" w:hAnsi="Times New Roman"/>
          <w:sz w:val="24"/>
          <w:szCs w:val="24"/>
          <w:u w:val="single"/>
        </w:rPr>
      </w:r>
    </w:p>
    <w:p>
      <w:pPr>
        <w:ind w:right="-1" w:firstLine="709"/>
        <w:jc w:val="both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Обслуживание и ремонт сетей газопотребления и газораспределения в административных зданиях – это комплекс мероприятий, направленный на обеспечение содержания сетей газопотребления и газораспределения в исправном и безопасном состоянии. </w:t>
      </w:r>
      <w:r>
        <w:rPr>
          <w:rFonts w:ascii="Times New Roman" w:hAnsi="Times New Roman"/>
          <w:sz w:val="24"/>
          <w:szCs w:val="24"/>
        </w:rPr>
      </w:r>
    </w:p>
    <w:p>
      <w:pPr>
        <w:ind w:right="-1" w:firstLine="709"/>
        <w:jc w:val="both"/>
        <w:shd w:val="clear" w:color="auto" w:fill="ffff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right="-1" w:firstLine="709"/>
        <w:jc w:val="both"/>
        <w:tabs>
          <w:tab w:val="left" w:pos="0" w:leader="none"/>
          <w:tab w:val="left" w:pos="900" w:leader="none"/>
        </w:tabs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Эксплуатационные и технические характеристики.</w:t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ind w:right="-1" w:firstLine="709"/>
        <w:jc w:val="both"/>
        <w:tabs>
          <w:tab w:val="left" w:pos="0" w:leader="none"/>
          <w:tab w:val="left" w:pos="900" w:leader="none"/>
        </w:tabs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  <w:r>
        <w:rPr>
          <w:rFonts w:ascii="Times New Roman" w:hAnsi="Times New Roman"/>
          <w:sz w:val="24"/>
          <w:szCs w:val="24"/>
          <w:u w:val="single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Услуги оказываются в соответствии с перечнем и периодичностью, по адресам места нахождения оборудования, подлежащего обслуживанию и ремонту, указанных в Таблице № 1.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Услуги оказываются силами и средствами Исполнителя, согласно графику оказания услуг, который должен быть согласован с Заказчиком.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обязан до начала оказания услуг, в срок не более 3 рабочих дней с даты заключения Контракта, подготовить и направить на согласование Заказчику график оказания услуг. 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до начала оказания услуг назначает ответственных лиц за оказание всех видов услуг на объектах из числа своих работников. Для оформления разрешительных документов Исполнитель предста</w:t>
      </w:r>
      <w:r>
        <w:rPr>
          <w:rFonts w:ascii="Times New Roman" w:hAnsi="Times New Roman"/>
          <w:sz w:val="24"/>
          <w:szCs w:val="24"/>
        </w:rPr>
        <w:t xml:space="preserve">вляет Заказчику список персонала, который будет задействован в местах оказания услуг с указанием фамилии, имени, отчества и паспортных данных каждого работника, а также номера автомашин, подвозящих материалы, оборудование и другие грузы для оказания Услуг.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tabs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Исполнитель должен исполнять требования миграционного и трудового законодательства Российской Федерации, в том числе не привлек</w:t>
      </w:r>
      <w:r>
        <w:rPr>
          <w:rFonts w:ascii="Times New Roman" w:hAnsi="Times New Roman"/>
          <w:sz w:val="24"/>
          <w:szCs w:val="24"/>
        </w:rPr>
        <w:t xml:space="preserve">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tabs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пунктом 10 Перечня территорий, организаций </w:t>
      </w:r>
      <w:r>
        <w:rPr>
          <w:rFonts w:ascii="Times New Roman" w:hAnsi="Times New Roman"/>
          <w:sz w:val="24"/>
          <w:szCs w:val="24"/>
        </w:rPr>
        <w:t xml:space="preserve">и объектов, для въезда на которые иностранным гражданам требуется специальное разрешение, утвержденного постановлением Правительства Российской Федерации от 11.10.2002 № 754 «Об утверждении перечня территорий, организаций и объектов, для въезда на которые </w:t>
      </w:r>
      <w:r>
        <w:rPr>
          <w:rFonts w:ascii="Times New Roman" w:hAnsi="Times New Roman"/>
          <w:sz w:val="24"/>
          <w:szCs w:val="24"/>
        </w:rPr>
        <w:t xml:space="preserve">иностранным гражданам требуется специальное разрешение», и частью 1 статьи 11 Федерального закона от 25.07.2002 № 115-ФЗ «О правовом положении иностранных граждан в Российской Федерации», в случае привлечения Исполнителем к оказанию услуг иностранных гражд</w:t>
      </w:r>
      <w:r>
        <w:rPr>
          <w:rFonts w:ascii="Times New Roman" w:hAnsi="Times New Roman"/>
          <w:sz w:val="24"/>
          <w:szCs w:val="24"/>
        </w:rPr>
        <w:t xml:space="preserve">ан, к Списку сотрудников Исполнителя  прикладывается заверенная в установленном порядке  копия специального разрешения, полученного в установленном законодательством Российской Федерации порядке.   Список сотрудников Исполнителя подлежит обязательному согл</w:t>
      </w:r>
      <w:r>
        <w:rPr>
          <w:rFonts w:ascii="Times New Roman" w:hAnsi="Times New Roman"/>
          <w:sz w:val="24"/>
          <w:szCs w:val="24"/>
        </w:rPr>
        <w:t xml:space="preserve">асованию с Заказчиком в течение двух рабочих дней с даты предоставления его Исполнителем на предмет соответствия действующему на территории Объекта (занимаемого Управлением Федерального Казначейства по Оренбургской области) пропускному и охранному режимам.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Для каждого объекта (согласно Таблице №1) исполнитель ведет журнал 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технического обслуживания газопроводов и газоиспользующего оборудования</w:t>
      </w:r>
      <w:r>
        <w:rPr>
          <w:rFonts w:ascii="Times New Roman" w:hAnsi="Times New Roman"/>
          <w:sz w:val="24"/>
          <w:szCs w:val="24"/>
        </w:rPr>
        <w:t xml:space="preserve"> по форме, указанной ниже. В журнал заноситься вся информация об услугах, выявленных дефектах систем, устранении аварийных ситуации и т.д.</w:t>
      </w:r>
      <w:r>
        <w:rPr>
          <w:rFonts w:ascii="Times New Roman" w:hAnsi="Times New Roman"/>
          <w:sz w:val="24"/>
          <w:szCs w:val="24"/>
        </w:rPr>
      </w:r>
    </w:p>
    <w:p>
      <w:pPr>
        <w:ind w:hanging="11"/>
        <w:jc w:val="both"/>
        <w:tabs>
          <w:tab w:val="left" w:pos="709" w:leader="none"/>
          <w:tab w:val="left" w:pos="1134" w:leader="none"/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 w:eastAsia="Calibri"/>
          <w:b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Журнал технического обслуживания газопроводов и газоиспользующего оборудования 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tbl>
      <w:tblPr>
        <w:tblpPr w:horzAnchor="margin" w:tblpXSpec="center" w:vertAnchor="text" w:tblpY="117" w:leftFromText="180" w:topFromText="0" w:rightFromText="180" w:bottomFromText="0"/>
        <w:tblW w:w="10343" w:type="dxa"/>
        <w:tblLayout w:type="fixed"/>
        <w:tblLook w:val="00A0" w:firstRow="1" w:lastRow="0" w:firstColumn="1" w:lastColumn="0" w:noHBand="0" w:noVBand="0"/>
      </w:tblPr>
      <w:tblGrid>
        <w:gridCol w:w="988"/>
        <w:gridCol w:w="3402"/>
        <w:gridCol w:w="1252"/>
        <w:gridCol w:w="1866"/>
        <w:gridCol w:w="1559"/>
        <w:gridCol w:w="1276"/>
      </w:tblGrid>
      <w:tr>
        <w:tblPrEx/>
        <w:trPr>
          <w:trHeight w:val="66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Дата, время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оборудования, месторасположение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События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Предпринятые действия/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(подробно)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Текущий технический статус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Исполнители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6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tabs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Описание оказанных Исполнителем услуг должно соответствовать регламенту услуг.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2730" w:leader="none"/>
          <w:tab w:val="left" w:pos="8942" w:leader="underscore"/>
        </w:tabs>
        <w:rPr>
          <w:rFonts w:ascii="Times New Roman" w:hAnsi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/>
          <w:b/>
          <w:i/>
          <w:sz w:val="24"/>
          <w:szCs w:val="24"/>
          <w:lang w:eastAsia="zh-CN"/>
        </w:rPr>
        <w:t xml:space="preserve">При оказании услуг Исполнитель обязан руководствоваться:</w:t>
      </w:r>
      <w:r>
        <w:rPr>
          <w:rFonts w:ascii="Times New Roman" w:hAnsi="Times New Roman"/>
          <w:b/>
          <w:i/>
          <w:sz w:val="24"/>
          <w:szCs w:val="24"/>
          <w:lang w:eastAsia="zh-CN"/>
        </w:rPr>
      </w:r>
    </w:p>
    <w:p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ГОСТ 34741-2021. «Межгосударственный стандарт. Системы газораспределительные. Требования к эксплуатации сетей газораспределения природного газа;</w:t>
      </w:r>
      <w:r>
        <w:rPr>
          <w:rFonts w:ascii="Times New Roman" w:hAnsi="Times New Roman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ГОСТ Р 58095.4-2021. «Национальный стандарт Российской Федерации. Системы газораспределительные. Требования к сетям газопотребления. Часть 4. Эксплуатация»;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 w:eastAsia="Calibri"/>
          <w:i/>
          <w:sz w:val="24"/>
          <w:szCs w:val="24"/>
        </w:rPr>
        <w:t xml:space="preserve">- Приказом Ростехнадзора от 15.12.2020 № 531 «Об утверждении федеральных норм и правил в области промышленной безопасности «Правила безопасности сетей газораспределения и газопотребления»;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 w:eastAsia="Calibri"/>
          <w:i/>
          <w:sz w:val="24"/>
          <w:szCs w:val="24"/>
        </w:rPr>
        <w:t xml:space="preserve">- Постановлением Правительства РФ от 29.10.2010 № 870 «Об утверждении технического регламента о безопасности сетей газораспределения и газопотребления»;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</w:rPr>
        <w:t xml:space="preserve">- П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  <w:t xml:space="preserve">остановлением Правительства Российской Федерации от 14.05.2013 № 410 «О мерах по обеспечению безопасности при использовании и содержании внутридомового и внутриквартирного газового оборудования»;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 w:eastAsia="Calibri"/>
          <w:i/>
          <w:sz w:val="24"/>
          <w:szCs w:val="24"/>
        </w:rPr>
        <w:t xml:space="preserve">- Федеральным законом от 21.12.1994 № 68-ФЗ «О защите населения и территорий от чрезвычайных ситуаций природного и техногенного характера»;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 w:eastAsia="Calibri"/>
          <w:i/>
          <w:sz w:val="24"/>
          <w:szCs w:val="24"/>
        </w:rPr>
        <w:t xml:space="preserve">- Федеральным законом от 31.03.1999 № 69-ФЗ «О газоснабжении в Российской Федерации»;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 w:eastAsia="Calibri"/>
          <w:i/>
          <w:sz w:val="24"/>
          <w:szCs w:val="24"/>
        </w:rPr>
        <w:t xml:space="preserve">- Постановлением Правительства РФ от 20.11.2000 № 878 «Об утверждении Правил охраны газораспределительных сетей»;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 w:eastAsia="Calibri"/>
          <w:i/>
          <w:sz w:val="24"/>
          <w:szCs w:val="24"/>
        </w:rPr>
        <w:t xml:space="preserve">- ГОСТ 34011-2024 «Системы газораспределительные. Пункты газорегуляторные блочные. Пункты редуцирования газа шкафные. Общие технические требования»;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ind w:firstLine="709"/>
        <w:jc w:val="both"/>
        <w:spacing w:line="276" w:lineRule="auto"/>
        <w:tabs>
          <w:tab w:val="left" w:pos="0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Приказом Минэнерго России от 12.08.2022 N 811 «Об утверждении Правил технической эксплуатации электроустановок потребителей электрической энергии;</w:t>
      </w:r>
      <w:r>
        <w:rPr>
          <w:rFonts w:ascii="Times New Roman" w:hAnsi="Times New Roman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</w:rPr>
      </w:pPr>
      <w:r>
        <w:rPr>
          <w:rFonts w:ascii="Times New Roman" w:hAnsi="Times New Roman" w:eastAsia="Calibri"/>
          <w:i/>
          <w:sz w:val="24"/>
          <w:szCs w:val="24"/>
        </w:rPr>
        <w:t xml:space="preserve">- иными нормативными документами, устанавливающими обязательные правила, касающиеся оказываемых услуг.</w:t>
      </w:r>
      <w:r>
        <w:rPr>
          <w:rFonts w:ascii="Times New Roman" w:hAnsi="Times New Roman" w:eastAsia="Calibri"/>
          <w:i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 w:eastAsia="Calibri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  <w:lang w:eastAsia="zh-CN"/>
        </w:rPr>
        <w:t xml:space="preserve">Документацией завода-изготовителя и иными нормативными документами, имеющими отношение к услугам, оказываемым в соответствии с настоящей частью или документов, их заменяющих.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after="160"/>
        <w:rPr>
          <w:rFonts w:ascii="Times New Roman" w:hAnsi="Times New Roman" w:eastAsia="Calibri"/>
          <w:i/>
          <w:sz w:val="24"/>
          <w:szCs w:val="24"/>
          <w:lang w:eastAsia="en-US"/>
        </w:rPr>
      </w:pPr>
      <w:r>
        <w:rPr>
          <w:rFonts w:ascii="Times New Roman" w:hAnsi="Times New Roman" w:eastAsia="Calibri"/>
          <w:i/>
          <w:sz w:val="24"/>
          <w:szCs w:val="24"/>
          <w:lang w:eastAsia="en-US"/>
        </w:rPr>
        <w:t xml:space="preserve">- Трудовым кодексом РФ от 30.12.2001 № 197-ФЗ (Раздел Х «Охрана Труда»); 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after="160"/>
        <w:rPr>
          <w:rFonts w:ascii="Times New Roman" w:hAnsi="Times New Roman" w:eastAsia="Calibri"/>
          <w:i/>
          <w:sz w:val="24"/>
          <w:szCs w:val="24"/>
          <w:lang w:eastAsia="en-US"/>
        </w:rPr>
      </w:pPr>
      <w:r>
        <w:rPr>
          <w:rFonts w:ascii="Times New Roman" w:hAnsi="Times New Roman" w:eastAsia="Calibri"/>
          <w:i/>
          <w:sz w:val="24"/>
          <w:szCs w:val="24"/>
          <w:lang w:eastAsia="en-US"/>
        </w:rPr>
        <w:t xml:space="preserve">- Приказом Мин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  <w:t xml:space="preserve">труда России от 22.09.2021 № 656н «Об утверждении примерного перечня 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лица)»;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after="160"/>
        <w:rPr>
          <w:rFonts w:ascii="Times New Roman" w:hAnsi="Times New Roman" w:eastAsia="Calibri"/>
          <w:i/>
          <w:sz w:val="24"/>
          <w:szCs w:val="24"/>
          <w:lang w:eastAsia="en-US"/>
        </w:rPr>
      </w:pPr>
      <w:r>
        <w:rPr>
          <w:rFonts w:ascii="Times New Roman" w:hAnsi="Times New Roman" w:eastAsia="Calibri"/>
          <w:i/>
          <w:sz w:val="24"/>
          <w:szCs w:val="24"/>
          <w:lang w:eastAsia="en-US"/>
        </w:rPr>
        <w:t xml:space="preserve">- Постановлением Правительства РФ от 24.12.2021 № 2464 «О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труда»);</w:t>
      </w:r>
      <w:r>
        <w:rPr>
          <w:rFonts w:ascii="Times New Roman" w:hAnsi="Times New Roman" w:eastAsia="Calibri"/>
          <w:i/>
          <w:sz w:val="24"/>
          <w:szCs w:val="24"/>
          <w:lang w:eastAsia="en-US"/>
        </w:rPr>
      </w:r>
    </w:p>
    <w:p>
      <w:pPr>
        <w:ind w:firstLine="709"/>
        <w:jc w:val="both"/>
        <w:rPr>
          <w:rFonts w:ascii="Times New Roman" w:hAnsi="Times New Roman"/>
          <w:i/>
          <w:sz w:val="24"/>
          <w:szCs w:val="24"/>
          <w:lang w:eastAsia="zh-CN"/>
        </w:rPr>
      </w:pPr>
      <w:r>
        <w:rPr>
          <w:rFonts w:ascii="Times New Roman" w:hAnsi="Times New Roman" w:eastAsia="Calibri"/>
          <w:i/>
          <w:sz w:val="24"/>
          <w:szCs w:val="24"/>
          <w:lang w:eastAsia="en-US"/>
        </w:rPr>
        <w:t xml:space="preserve">- Федеральным законом от 30.03.1999 N 52-ФЗ «О санитарно-эпидемиологическом благополучии населения».</w:t>
      </w:r>
      <w:r>
        <w:rPr>
          <w:rFonts w:ascii="Times New Roman" w:hAnsi="Times New Roman"/>
          <w:i/>
          <w:sz w:val="24"/>
          <w:szCs w:val="24"/>
          <w:lang w:eastAsia="zh-CN"/>
        </w:rPr>
      </w:r>
    </w:p>
    <w:p>
      <w:pPr>
        <w:ind w:firstLine="709"/>
        <w:jc w:val="both"/>
        <w:rPr>
          <w:rFonts w:ascii="Times New Roman" w:hAnsi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/>
          <w:b/>
          <w:iCs/>
          <w:sz w:val="24"/>
          <w:szCs w:val="24"/>
          <w:lang w:eastAsia="zh-CN"/>
        </w:rPr>
      </w:r>
      <w:r>
        <w:rPr>
          <w:rFonts w:ascii="Times New Roman" w:hAnsi="Times New Roman"/>
          <w:b/>
          <w:iCs/>
          <w:sz w:val="24"/>
          <w:szCs w:val="24"/>
          <w:lang w:eastAsia="zh-CN"/>
        </w:rPr>
      </w:r>
    </w:p>
    <w:p>
      <w:pPr>
        <w:ind w:firstLine="709"/>
        <w:jc w:val="both"/>
        <w:rPr>
          <w:rFonts w:ascii="Times New Roman" w:hAnsi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/>
          <w:b/>
          <w:iCs/>
          <w:sz w:val="24"/>
          <w:szCs w:val="24"/>
          <w:lang w:eastAsia="zh-CN"/>
        </w:rPr>
        <w:t xml:space="preserve">8. Требования к безопасности оказанных услуг.</w:t>
      </w:r>
      <w:r>
        <w:rPr>
          <w:rFonts w:ascii="Times New Roman" w:hAnsi="Times New Roman"/>
          <w:b/>
          <w:iCs/>
          <w:sz w:val="24"/>
          <w:szCs w:val="24"/>
          <w:lang w:eastAsia="zh-CN"/>
        </w:rPr>
      </w:r>
    </w:p>
    <w:p>
      <w:pPr>
        <w:ind w:firstLine="709"/>
        <w:jc w:val="both"/>
        <w:rPr>
          <w:rFonts w:ascii="Times New Roman" w:hAnsi="Times New Roman"/>
          <w:b/>
          <w:iCs/>
          <w:sz w:val="24"/>
          <w:szCs w:val="24"/>
          <w:lang w:eastAsia="zh-CN"/>
        </w:rPr>
      </w:pPr>
      <w:r>
        <w:rPr>
          <w:rFonts w:ascii="Times New Roman" w:hAnsi="Times New Roman"/>
          <w:b/>
          <w:iCs/>
          <w:sz w:val="24"/>
          <w:szCs w:val="24"/>
          <w:lang w:eastAsia="zh-CN"/>
        </w:rPr>
      </w:r>
      <w:r>
        <w:rPr>
          <w:rFonts w:ascii="Times New Roman" w:hAnsi="Times New Roman"/>
          <w:b/>
          <w:iCs/>
          <w:sz w:val="24"/>
          <w:szCs w:val="24"/>
          <w:lang w:eastAsia="zh-CN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Требования к безопасности оказываемых услуг. 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Исполнитель при оказании Услуг обязан соблюдать требования: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действующего законодательства Российской Федер</w:t>
      </w:r>
      <w:r>
        <w:rPr>
          <w:rFonts w:ascii="Times New Roman" w:hAnsi="Times New Roman"/>
          <w:bCs/>
          <w:sz w:val="24"/>
          <w:szCs w:val="24"/>
        </w:rPr>
        <w:t xml:space="preserve">ации по охране труда, промышленной безопасности и правил противопожарного режима, а также иных нормативных правовых актов, утвержденных постановлениями Правительства Российской Федерации и требованиями установленными локально нормативными актами Заказчика;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государственных стандартов системы безопасности труда, утвержденных Госстандартом России или Госстрой России;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правил электробезопасности и безопасности эксплуатации применяемого оборудования;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государственных санитарно-эпидемиологических правил и нормативов, гигиенических нормативов, санитарных правил и норм, утвержденных Министерством здравоохранения Российской Федерации;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действующих нормативных правовых актов в Российской Федерации в части профилактики распространения и защиты населения от новой </w:t>
      </w:r>
      <w:r>
        <w:rPr>
          <w:rFonts w:ascii="Times New Roman" w:hAnsi="Times New Roman"/>
          <w:bCs/>
          <w:sz w:val="24"/>
          <w:szCs w:val="24"/>
        </w:rPr>
        <w:t xml:space="preserve">коронавирусной</w:t>
      </w:r>
      <w:r>
        <w:rPr>
          <w:rFonts w:ascii="Times New Roman" w:hAnsi="Times New Roman"/>
          <w:bCs/>
          <w:sz w:val="24"/>
          <w:szCs w:val="24"/>
        </w:rPr>
        <w:t xml:space="preserve"> инфекции (2019-nCoV).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Исполнитель обязан обеспечить прохождение вводного инструктажа всеми работниками, привлекаемыми к оказанию услуг на объекте, в соответствии с требованиями, предусмотренными пунктами 10, 11 Правил обучения по охране труда и проверки знания требований охраны</w:t>
      </w:r>
      <w:r>
        <w:rPr>
          <w:rFonts w:ascii="Times New Roman" w:hAnsi="Times New Roman"/>
          <w:bCs/>
          <w:sz w:val="24"/>
          <w:szCs w:val="24"/>
        </w:rPr>
        <w:t xml:space="preserve"> труда, утверждённых Постановлением Правительства РФ от 24.12.2021 N 2464 «О порядке обучения по охране труда и проверки знания требований охраны труда». Без прохождения вводного инструктажа работники Исполнителя к оказанию услуг на объекте не допускаются.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Исполнитель обязан обеспечить работников, привлекаемых к оказанию услуг, необходимым комплектом инструментов и приспособлений, а также спецодеждой, </w:t>
      </w:r>
      <w:r>
        <w:rPr>
          <w:rFonts w:ascii="Times New Roman" w:hAnsi="Times New Roman"/>
          <w:bCs/>
          <w:sz w:val="24"/>
          <w:szCs w:val="24"/>
        </w:rPr>
        <w:t xml:space="preserve">спецобувью</w:t>
      </w:r>
      <w:r>
        <w:rPr>
          <w:rFonts w:ascii="Times New Roman" w:hAnsi="Times New Roman"/>
          <w:bCs/>
          <w:sz w:val="24"/>
          <w:szCs w:val="24"/>
        </w:rPr>
        <w:t xml:space="preserve">, средствами индивидуальной защиты в соответствии с Типовыми нормами обеспечения работников средствами индивидуальной защиты.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Исполнитель, в ходе оказания услуг на Объекте, обязан своевременно устанавливать знаки безопасности, предназначенные для предупреждения людей о не</w:t>
      </w:r>
      <w:r>
        <w:rPr>
          <w:rFonts w:ascii="Times New Roman" w:hAnsi="Times New Roman"/>
          <w:bCs/>
          <w:sz w:val="24"/>
          <w:szCs w:val="24"/>
        </w:rPr>
        <w:t xml:space="preserve">посредственной или возможной опасности, запрещающие, предписывающие или разрешающие определенные действия, а также для информирования о расположении объектов и средств, использование которых исключает или снижает воздействие опасных и/или вредных факторов;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Исполнитель, в ходе оказания услуг на Объекте, обязан: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не производить демонтаж ограждений, установленных Заказчиком без согласования с ним;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-не приступать к оказанию услуг повышенной опасности, без оформленного в установленном законом порядке наряда допуска.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 очистке электрооборудования Исполнитель должен обеспечить полную безопасность оказания услуг для физических лиц и сохранность имущества на Объекте. Предусмотреть все необходимые меры, исключающие травматизм. 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 оказании услуг обеспечивается сохранность (в том числе техническая защита) информации, указанной в паспортах объектов комплексной системы обеспечения безопасно</w:t>
      </w:r>
      <w:r>
        <w:rPr>
          <w:rFonts w:ascii="Times New Roman" w:hAnsi="Times New Roman"/>
          <w:bCs/>
          <w:sz w:val="24"/>
          <w:szCs w:val="24"/>
        </w:rPr>
        <w:t xml:space="preserve">сти (далее – КСОБ), в частности контактная информация о руководителе и ответственных лицах (персональные данные), а также сведения о структуре КСОБ объекта, схемы технической организации КСОБ объекта, особенности и спецификация установленного оборудования.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 оказании услуг на объекте Исполнитель обязуется обеспечить полную безопасность для физических лиц и сохранность имущества на Объектах, а также </w:t>
      </w:r>
      <w:r>
        <w:rPr>
          <w:rFonts w:ascii="Times New Roman" w:hAnsi="Times New Roman"/>
          <w:bCs/>
          <w:sz w:val="24"/>
          <w:szCs w:val="24"/>
        </w:rPr>
        <w:t xml:space="preserve">Исполнитель несет ответственность за причинение вреда жизни, здоровью, имуществу Заказчика и третьих лиц.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tabs>
          <w:tab w:val="left" w:pos="180" w:leader="none"/>
          <w:tab w:val="left" w:pos="90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Исполнитель обязан обеспечить надлежащие условия и охрану труда работников, привлекаемых к оказанию услуг. За</w:t>
      </w:r>
      <w:r>
        <w:rPr>
          <w:rFonts w:ascii="Times New Roman" w:hAnsi="Times New Roman"/>
          <w:bCs/>
          <w:sz w:val="24"/>
          <w:szCs w:val="24"/>
        </w:rPr>
        <w:t xml:space="preserve"> несчастный случай, происшедший с работником Исполнителя при исполнении контракта в месте оказания услуг, явившийся следствием ненадлежащей организации охраны труда, Исполнитель несёт ответственность в соответствии с законодательством Российской Федерации.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</w:r>
      <w:r>
        <w:rPr>
          <w:rFonts w:ascii="Times New Roman" w:hAnsi="Times New Roman"/>
          <w:b/>
          <w:bCs/>
          <w:sz w:val="24"/>
          <w:szCs w:val="24"/>
          <w:lang w:eastAsia="zh-CN"/>
        </w:rPr>
      </w:r>
    </w:p>
    <w:p>
      <w:pPr>
        <w:ind w:firstLine="70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t xml:space="preserve">9. Требования к качеству оказания услуг</w:t>
      </w:r>
      <w:r>
        <w:rPr>
          <w:rFonts w:ascii="Times New Roman" w:hAnsi="Times New Roman"/>
          <w:iCs/>
          <w:sz w:val="24"/>
          <w:szCs w:val="24"/>
          <w:lang w:eastAsia="zh-CN"/>
        </w:rPr>
        <w:t xml:space="preserve">.</w:t>
      </w:r>
      <w:r>
        <w:rPr>
          <w:rFonts w:ascii="Times New Roman" w:hAnsi="Times New Roman"/>
          <w:iCs/>
          <w:sz w:val="24"/>
          <w:szCs w:val="24"/>
          <w:lang w:eastAsia="zh-CN"/>
        </w:rPr>
      </w:r>
    </w:p>
    <w:p>
      <w:pPr>
        <w:ind w:firstLine="70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>
        <w:rPr>
          <w:rFonts w:ascii="Times New Roman" w:hAnsi="Times New Roman"/>
          <w:iCs/>
          <w:sz w:val="24"/>
          <w:szCs w:val="24"/>
          <w:lang w:eastAsia="zh-CN"/>
        </w:rPr>
      </w:r>
      <w:r>
        <w:rPr>
          <w:rFonts w:ascii="Times New Roman" w:hAnsi="Times New Roman"/>
          <w:iCs/>
          <w:sz w:val="24"/>
          <w:szCs w:val="24"/>
          <w:lang w:eastAsia="zh-CN"/>
        </w:rPr>
      </w:r>
    </w:p>
    <w:p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Оказанные</w:t>
      </w:r>
      <w:r>
        <w:rPr>
          <w:rFonts w:ascii="Times New Roman" w:hAnsi="Times New Roman"/>
          <w:bCs/>
          <w:sz w:val="24"/>
          <w:szCs w:val="24"/>
        </w:rPr>
        <w:t xml:space="preserve"> услуги должны соответствовать требованиям, установленным </w:t>
      </w:r>
      <w:r>
        <w:rPr>
          <w:rFonts w:ascii="Times New Roman" w:hAnsi="Times New Roman"/>
          <w:sz w:val="24"/>
          <w:szCs w:val="24"/>
        </w:rPr>
        <w:t xml:space="preserve">правилами, государственными стандартами, техническими регламентами, другими нормативными правовыми документами Российской Федерации, регламентирующими оказание такого вида услуг.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Качество оказываемых услуг должно соответствовать всем требованиям, установленным действующим законодательством Российской Федерации, к такому роду услуг.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процессе оказания услуг должен обеспечиваться непрерывный и устойчивый режим функционирования сетей газопотребления и газораспределения в административных зданиях Заказчика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74652547"/>
      <w:docPartObj>
        <w:docPartGallery w:val="Page Numbers (Top of Page)"/>
        <w:docPartUnique w:val="true"/>
      </w:docPartObj>
      <w:rPr/>
    </w:sdtPr>
    <w:sdtContent>
      <w:p>
        <w:pPr>
          <w:pStyle w:val="68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9</w:t>
        </w:r>
        <w:r>
          <w:fldChar w:fldCharType="end"/>
        </w:r>
        <w:r/>
      </w:p>
    </w:sdtContent>
  </w:sdt>
  <w:p>
    <w:pPr>
      <w:pStyle w:val="68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8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8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8"/>
    <w:link w:val="681"/>
    <w:uiPriority w:val="99"/>
  </w:style>
  <w:style w:type="paragraph" w:styleId="44">
    <w:name w:val="Footer"/>
    <w:basedOn w:val="67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78"/>
    <w:link w:val="44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8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8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  <w:pPr>
      <w:spacing w:after="0" w:line="240" w:lineRule="auto"/>
    </w:pPr>
    <w:rPr>
      <w:rFonts w:ascii="Calibri" w:hAnsi="Calibri" w:eastAsia="Times New Roman" w:cs="Times New Roman"/>
      <w:lang w:eastAsia="ar-SA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>
    <w:name w:val="Header"/>
    <w:basedOn w:val="677"/>
    <w:link w:val="682"/>
    <w:uiPriority w:val="99"/>
    <w:qFormat/>
    <w:pPr>
      <w:tabs>
        <w:tab w:val="center" w:pos="4677" w:leader="none"/>
        <w:tab w:val="right" w:pos="9355" w:leader="none"/>
      </w:tabs>
    </w:pPr>
  </w:style>
  <w:style w:type="character" w:styleId="682" w:customStyle="1">
    <w:name w:val="Верхний колонтитул Знак"/>
    <w:basedOn w:val="678"/>
    <w:link w:val="681"/>
    <w:uiPriority w:val="99"/>
    <w:rPr>
      <w:rFonts w:ascii="Calibri" w:hAnsi="Calibri" w:eastAsia="Times New Roman" w:cs="Times New Roman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Древин Николай Александрович</dc:creator>
  <cp:keywords/>
  <dc:description/>
  <cp:lastModifiedBy>Древин Николай Александрович</cp:lastModifiedBy>
  <cp:revision>7</cp:revision>
  <dcterms:created xsi:type="dcterms:W3CDTF">2026-09-25T06:07:00Z</dcterms:created>
  <dcterms:modified xsi:type="dcterms:W3CDTF">2026-10-02T09:45:49Z</dcterms:modified>
</cp:coreProperties>
</file>