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Государственный</w:t>
      </w:r>
      <w:r>
        <w:rPr>
          <w:rFonts w:ascii="Times New Roman" w:hAnsi="Times New Roman" w:cs="Times New Roman"/>
          <w:sz w:val="24"/>
          <w:szCs w:val="24"/>
        </w:rPr>
        <w:t xml:space="preserve"> контракт №</w:t>
      </w:r>
      <w:r>
        <w:rPr>
          <w:rFonts w:ascii="Times New Roman" w:hAnsi="Times New Roman" w:cs="Times New Roman"/>
          <w:sz w:val="24"/>
          <w:szCs w:val="24"/>
        </w:rPr>
        <w:t xml:space="preserve"> </w:t>
      </w:r>
      <w:r>
        <w:rPr>
          <w:rFonts w:ascii="Times New Roman" w:hAnsi="Times New Roman" w:cs="Times New Roman"/>
          <w:sz w:val="24"/>
          <w:szCs w:val="24"/>
        </w:rPr>
        <w:t xml:space="preserve">_____</w:t>
      </w:r>
      <w:r>
        <w:rPr>
          <w:rFonts w:ascii="Times New Roman" w:hAnsi="Times New Roman" w:cs="Times New Roman"/>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1114"/>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w:t>
      </w:r>
      <w:r>
        <w:rPr>
          <w:rFonts w:ascii="Times New Roman" w:hAnsi="Times New Roman" w:cs="Times New Roman"/>
          <w:sz w:val="24"/>
          <w:szCs w:val="24"/>
        </w:rPr>
        <w:t xml:space="preserve">____</w:t>
      </w:r>
      <w:r>
        <w:rPr>
          <w:rFonts w:ascii="Times New Roman" w:hAnsi="Times New Roman" w:cs="Times New Roman"/>
          <w:sz w:val="24"/>
          <w:szCs w:val="24"/>
        </w:rPr>
        <w:t xml:space="preserve">____</w:t>
      </w:r>
      <w:r>
        <w:rPr>
          <w:rFonts w:ascii="Times New Roman" w:hAnsi="Times New Roman" w:cs="Times New Roman"/>
          <w:sz w:val="24"/>
          <w:szCs w:val="24"/>
        </w:rPr>
        <w:t xml:space="preserve">___</w:t>
      </w:r>
      <w:r>
        <w:rPr>
          <w:rFonts w:ascii="Times New Roman" w:hAnsi="Times New Roman" w:cs="Times New Roman"/>
          <w:sz w:val="24"/>
          <w:szCs w:val="24"/>
        </w:rPr>
        <w:t xml:space="preserve"> 20</w:t>
      </w:r>
      <w:r>
        <w:rPr>
          <w:rFonts w:ascii="Times New Roman" w:hAnsi="Times New Roman" w:cs="Times New Roman"/>
          <w:sz w:val="24"/>
          <w:szCs w:val="24"/>
        </w:rPr>
        <w:t xml:space="preserve">__</w:t>
      </w:r>
      <w:r>
        <w:rPr>
          <w:rFonts w:ascii="Times New Roman" w:hAnsi="Times New Roman" w:cs="Times New Roman"/>
          <w:sz w:val="24"/>
          <w:szCs w:val="24"/>
        </w:rPr>
        <w:t xml:space="preserve"> г.</w:t>
      </w:r>
      <w:r>
        <w:rPr>
          <w:rFonts w:ascii="Times New Roman" w:hAnsi="Times New Roman" w:cs="Times New Roman"/>
          <w:sz w:val="24"/>
          <w:szCs w:val="24"/>
        </w:rPr>
      </w:r>
      <w:r>
        <w:rPr>
          <w:rFonts w:ascii="Times New Roman" w:hAnsi="Times New Roman" w:cs="Times New Roman"/>
          <w:sz w:val="24"/>
          <w:szCs w:val="24"/>
        </w:rPr>
      </w:r>
    </w:p>
    <w:p>
      <w:pPr>
        <w:pStyle w:val="1114"/>
        <w:jc w:val="both"/>
        <w:widowControl w:val="off"/>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ind w:left="0" w:right="14"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Федеральное казенное учреждение «Центр по обеспечению деятельности Казначейства России», выполняющее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w:t>
      </w:r>
      <w:r>
        <w:rPr>
          <w:rFonts w:ascii="Times New Roman" w:hAnsi="Times New Roman" w:eastAsia="Times New Roman" w:cs="Times New Roman"/>
          <w:color w:val="000000"/>
          <w:sz w:val="24"/>
        </w:rPr>
        <w:t xml:space="preserve">ударственной регистрации юридического лица серия 77 № 011767946 (ОГРН 1127746046691)), в лице заместителя начальника Межрегионального филиала Федерального казенного учреждения «Центр по обеспечению деятельности Казначейства России» в г. Владимире Ханбабаев</w:t>
      </w:r>
      <w:r>
        <w:rPr>
          <w:rFonts w:ascii="Times New Roman" w:hAnsi="Times New Roman" w:eastAsia="Times New Roman" w:cs="Times New Roman"/>
          <w:color w:val="000000"/>
          <w:sz w:val="24"/>
        </w:rPr>
        <w:t xml:space="preserve">ой Валерии Валерьевны, действующего на основании Доверенности от 13.08.2024 № 01012408000015512401 и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w:t>
      </w:r>
      <w:r>
        <w:rPr>
          <w:rFonts w:ascii="Times New Roman" w:hAnsi="Times New Roman" w:eastAsia="Times New Roman" w:cs="Times New Roman"/>
          <w:color w:val="000000"/>
          <w:sz w:val="24"/>
        </w:rPr>
        <w:t xml:space="preserve"> приказом Федерального казенного учреждения «Центр по обеспечению деятельности Казначейства России» от 17.06.2026 № 588, с одной стороны, и _________ </w:t>
      </w:r>
      <w:r>
        <w:rPr>
          <w:rFonts w:ascii="Times New Roman" w:hAnsi="Times New Roman" w:eastAsia="Times New Roman" w:cs="Times New Roman"/>
          <w:i/>
          <w:color w:val="000000"/>
          <w:sz w:val="24"/>
        </w:rPr>
        <w:t xml:space="preserve">«Наименование организации»</w:t>
      </w:r>
      <w:r>
        <w:rPr>
          <w:rFonts w:ascii="Times New Roman" w:hAnsi="Times New Roman" w:eastAsia="Times New Roman" w:cs="Times New Roman"/>
          <w:color w:val="000000"/>
          <w:sz w:val="24"/>
        </w:rPr>
        <w:t xml:space="preserve">, именуемое в дальнейшем «Поставщик»,</w:t>
      </w:r>
      <w:r>
        <w:rPr>
          <w:rFonts w:ascii="Times New Roman" w:hAnsi="Times New Roman" w:eastAsia="Times New Roman" w:cs="Times New Roman"/>
          <w:i/>
          <w:color w:val="000000"/>
          <w:sz w:val="24"/>
        </w:rPr>
        <w:t xml:space="preserve"> </w:t>
      </w:r>
      <w:r>
        <w:rPr>
          <w:rFonts w:ascii="Times New Roman" w:hAnsi="Times New Roman" w:eastAsia="Times New Roman" w:cs="Times New Roman"/>
          <w:color w:val="000000"/>
          <w:sz w:val="24"/>
        </w:rPr>
        <w:t xml:space="preserve">в лице __________ </w:t>
      </w:r>
      <w:r>
        <w:rPr>
          <w:rFonts w:ascii="Times New Roman" w:hAnsi="Times New Roman" w:eastAsia="Times New Roman" w:cs="Times New Roman"/>
          <w:i/>
          <w:color w:val="000000"/>
          <w:sz w:val="24"/>
        </w:rPr>
        <w:t xml:space="preserve">(должность), Ф.И.О.</w:t>
      </w:r>
      <w:r>
        <w:rPr>
          <w:rFonts w:ascii="Times New Roman" w:hAnsi="Times New Roman" w:eastAsia="Times New Roman" w:cs="Times New Roman"/>
          <w:color w:val="000000"/>
          <w:sz w:val="24"/>
        </w:rPr>
        <w:t xml:space="preserve">, действующего на основании ___________, с другой стороны,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w:t>
      </w:r>
      <w:r>
        <w:rPr>
          <w:rFonts w:ascii="Times New Roman" w:hAnsi="Times New Roman" w:eastAsia="Times New Roman" w:cs="Times New Roman"/>
          <w:color w:val="000000"/>
          <w:sz w:val="24"/>
        </w:rPr>
        <w:t xml:space="preserve">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rPr>
          <w:rFonts w:ascii="Times New Roman" w:hAnsi="Times New Roman" w:eastAsia="Times New Roman" w:cs="Times New Roman"/>
          <w:sz w:val="24"/>
        </w:rPr>
      </w:r>
      <w:r/>
    </w:p>
    <w:p>
      <w:pPr>
        <w:pStyle w:val="924"/>
        <w:rPr>
          <w:b/>
          <w:bCs/>
        </w:rPr>
      </w:pPr>
      <w:r>
        <w:rPr>
          <w:b/>
          <w:bCs/>
        </w:rPr>
      </w:r>
      <w:r>
        <w:rPr>
          <w:b/>
          <w:bCs/>
        </w:rPr>
      </w:r>
      <w:r>
        <w:rPr>
          <w:b/>
          <w:bCs/>
        </w:rPr>
      </w:r>
    </w:p>
    <w:p>
      <w:pPr>
        <w:pStyle w:val="924"/>
        <w:numPr>
          <w:ilvl w:val="0"/>
          <w:numId w:val="26"/>
        </w:numPr>
        <w:jc w:val="center"/>
        <w:rPr>
          <w:b/>
          <w:bCs/>
        </w:rPr>
      </w:pPr>
      <w:r>
        <w:rPr>
          <w:b/>
          <w:bCs/>
        </w:rPr>
        <w:t xml:space="preserve">Предмет контракта</w:t>
      </w:r>
      <w:r>
        <w:rPr>
          <w:b/>
          <w:bCs/>
        </w:rPr>
      </w:r>
      <w:r>
        <w:rPr>
          <w:b/>
          <w:bCs/>
        </w:rPr>
      </w:r>
    </w:p>
    <w:p>
      <w:pPr>
        <w:pStyle w:val="924"/>
        <w:numPr>
          <w:ilvl w:val="1"/>
          <w:numId w:val="26"/>
        </w:numPr>
      </w:pPr>
      <w:r>
        <w:rPr>
          <w:rFonts w:ascii="Times New Roman" w:hAnsi="Times New Roman" w:eastAsia="Times New Roman" w:cs="Times New Roman"/>
          <w:color w:val="000000"/>
          <w:sz w:val="24"/>
        </w:rPr>
        <w:t xml:space="preserve">Предметом контракта является поставка комплектующих для системы кондиционирования воздуха, обеспечивающей работоспособность серверного оборудования для обеспечения нужд Управления Федерального казначейства по Липецкой области.</w:t>
      </w:r>
      <w:r/>
    </w:p>
    <w:p>
      <w:pPr>
        <w:pStyle w:val="924"/>
        <w:numPr>
          <w:ilvl w:val="1"/>
          <w:numId w:val="26"/>
        </w:numPr>
      </w:pPr>
      <w:r>
        <w:t xml:space="preserve">Количество поставляемого товара:</w:t>
      </w:r>
      <w:r>
        <w:t xml:space="preserve"> </w:t>
      </w:r>
      <w:r>
        <w:t xml:space="preserve">2</w:t>
      </w:r>
      <w:r>
        <w:t xml:space="preserve"> (</w:t>
      </w:r>
      <w:r>
        <w:t xml:space="preserve">две</w:t>
      </w:r>
      <w:r>
        <w:t xml:space="preserve">) штук</w:t>
      </w:r>
      <w:r>
        <w:t xml:space="preserve">и</w:t>
      </w:r>
      <w:r>
        <w:t xml:space="preserve">.</w:t>
      </w:r>
      <w:r/>
    </w:p>
    <w:p>
      <w:pPr>
        <w:pStyle w:val="924"/>
        <w:ind w:firstLine="709"/>
      </w:pPr>
      <w:r>
        <w:t xml:space="preserve">1.3. </w:t>
      </w:r>
      <w:r>
        <w:t xml:space="preserve">Характеристика и наименование </w:t>
      </w:r>
      <w:bookmarkStart w:id="0" w:name="_Hlt127685461"/>
      <w:r>
        <w:t xml:space="preserve">поставляемого товара указаны в </w:t>
      </w:r>
      <w:r>
        <w:t xml:space="preserve">Спецификации поставляемого товара</w:t>
      </w:r>
      <w:r>
        <w:t xml:space="preserve"> - Пр</w:t>
      </w:r>
      <w:r>
        <w:t xml:space="preserve">и</w:t>
      </w:r>
      <w:r>
        <w:t xml:space="preserve">ложение </w:t>
      </w:r>
      <w:bookmarkEnd w:id="0"/>
      <w:r>
        <w:t xml:space="preserve">к контракту.</w:t>
      </w:r>
      <w:r/>
    </w:p>
    <w:p>
      <w:pPr>
        <w:pStyle w:val="1134"/>
        <w:ind w:firstLine="708"/>
        <w:jc w:val="both"/>
        <w:rPr>
          <w:rFonts w:ascii="Times New Roman" w:hAnsi="Times New Roman"/>
          <w:sz w:val="24"/>
          <w:szCs w:val="24"/>
        </w:rPr>
      </w:pPr>
      <w:r>
        <w:rPr>
          <w:rFonts w:ascii="Times New Roman" w:hAnsi="Times New Roman"/>
          <w:sz w:val="24"/>
          <w:szCs w:val="24"/>
        </w:rPr>
        <w:t xml:space="preserve">1.4.</w:t>
      </w:r>
      <w:r>
        <w:t xml:space="preserve"> </w:t>
      </w:r>
      <w:r>
        <w:rPr>
          <w:rFonts w:ascii="Times New Roman" w:hAnsi="Times New Roman"/>
          <w:sz w:val="24"/>
          <w:szCs w:val="24"/>
        </w:rPr>
        <w:t xml:space="preserve">Поставляемый товар должен быть новым товаром (то</w:t>
      </w:r>
      <w:r>
        <w:rPr>
          <w:rFonts w:ascii="Times New Roman" w:hAnsi="Times New Roman"/>
          <w:sz w:val="24"/>
          <w:szCs w:val="24"/>
        </w:rPr>
        <w:t xml:space="preserve">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1134"/>
        <w:ind w:firstLine="708"/>
        <w:jc w:val="both"/>
        <w:widowControl w:val="off"/>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t xml:space="preserve">.</w:t>
      </w:r>
      <w:r>
        <w:t xml:space="preserve"> </w:t>
      </w:r>
      <w:r>
        <w:rPr>
          <w:rFonts w:ascii="Times New Roman" w:hAnsi="Times New Roman"/>
          <w:sz w:val="24"/>
          <w:szCs w:val="24"/>
        </w:rPr>
        <w:t xml:space="preserve">Идент</w:t>
      </w:r>
      <w:r>
        <w:rPr>
          <w:rFonts w:ascii="Times New Roman" w:hAnsi="Times New Roman"/>
          <w:sz w:val="24"/>
          <w:szCs w:val="24"/>
        </w:rPr>
        <w:t xml:space="preserve">ификационный код закупки (ИКЗ)</w:t>
      </w:r>
      <w:r>
        <w:rPr>
          <w:rFonts w:ascii="Times New Roman" w:hAnsi="Times New Roman"/>
          <w:sz w:val="24"/>
          <w:szCs w:val="24"/>
        </w:rPr>
        <w:t xml:space="preserve"> </w:t>
      </w:r>
      <w:r>
        <w:rPr>
          <w:rFonts w:ascii="Times New Roman" w:hAnsi="Times New Roman"/>
          <w:sz w:val="24"/>
          <w:szCs w:val="24"/>
        </w:rPr>
        <w:t xml:space="preserve">26 1 7709895509 332843001 0004 000 0000 000</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924"/>
        <w:ind w:firstLine="708"/>
        <w:widowControl w:val="off"/>
      </w:pPr>
      <w:r/>
      <w:r/>
    </w:p>
    <w:p>
      <w:pPr>
        <w:pStyle w:val="924"/>
        <w:jc w:val="center"/>
        <w:widowControl w:val="off"/>
        <w:rPr>
          <w:b/>
          <w:bCs/>
        </w:rPr>
      </w:pPr>
      <w:r>
        <w:rPr>
          <w:b/>
          <w:bCs/>
        </w:rPr>
        <w:t xml:space="preserve">2. </w:t>
      </w:r>
      <w:r>
        <w:rPr>
          <w:b/>
          <w:bCs/>
        </w:rPr>
        <w:t xml:space="preserve">Цена контракта и порядок расчетов</w:t>
      </w:r>
      <w:r>
        <w:rPr>
          <w:b/>
          <w:bCs/>
        </w:rPr>
      </w:r>
      <w:r>
        <w:rPr>
          <w:b/>
          <w:bCs/>
        </w:rPr>
      </w:r>
    </w:p>
    <w:p>
      <w:pPr>
        <w:pStyle w:val="924"/>
        <w:ind w:firstLine="720"/>
      </w:pPr>
      <w:r>
        <w:t xml:space="preserve">2.1. Цена контракта составляет ___________</w:t>
      </w:r>
      <w:r>
        <w:t xml:space="preserve">(</w:t>
      </w:r>
      <w:r>
        <w:t xml:space="preserve">___________</w:t>
      </w:r>
      <w:r>
        <w:t xml:space="preserve">)</w:t>
      </w:r>
      <w:r>
        <w:t xml:space="preserve"> руб</w:t>
      </w:r>
      <w:r>
        <w:t xml:space="preserve">лей</w:t>
      </w:r>
      <w:r>
        <w:t xml:space="preserve"> ___ коп</w:t>
      </w:r>
      <w:r>
        <w:t xml:space="preserve">еек</w:t>
      </w:r>
      <w:r>
        <w:t xml:space="preserve">, в том числе НДС</w:t>
      </w:r>
      <w:r>
        <w:t xml:space="preserve">.</w:t>
      </w:r>
      <w:r/>
    </w:p>
    <w:p>
      <w:pPr>
        <w:pStyle w:val="924"/>
        <w:ind w:firstLine="720"/>
      </w:pPr>
      <w:r>
        <w:rPr>
          <w:i/>
        </w:rPr>
        <w:t xml:space="preserve">(если Поставщик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924"/>
        <w:ind w:firstLine="720"/>
        <w:rPr>
          <w:i/>
        </w:rPr>
      </w:pPr>
      <w:r>
        <w:t xml:space="preserve">Сумма, подлежащая уплате</w:t>
      </w:r>
      <w:r>
        <w:rPr>
          <w:iCs/>
        </w:rPr>
        <w:t xml:space="preserve"> </w:t>
      </w:r>
      <w:r>
        <w:rPr>
          <w:iCs/>
        </w:rPr>
        <w:t xml:space="preserve">З</w:t>
      </w:r>
      <w:r>
        <w:rPr>
          <w:iCs/>
        </w:rPr>
        <w:t xml:space="preserve">аказчиком Поставщику</w:t>
      </w:r>
      <w:r>
        <w:rPr>
          <w:i/>
          <w:iCs/>
        </w:rPr>
        <w:t xml:space="preserve">,</w:t>
      </w:r>
      <w:r>
        <w:t xml:space="preserve"> будет уменьшена на размер налогов, сборов и иных обязательных платежей в бюджеты бюджетно</w:t>
      </w:r>
      <w:r>
        <w:t xml:space="preserve">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t xml:space="preserve">З</w:t>
      </w:r>
      <w:r>
        <w:t xml:space="preserve">аказчиком.</w:t>
      </w:r>
      <w:r>
        <w:rPr>
          <w:i/>
        </w:rPr>
      </w:r>
      <w:r>
        <w:rPr>
          <w:i/>
        </w:rPr>
      </w:r>
    </w:p>
    <w:p>
      <w:pPr>
        <w:pStyle w:val="924"/>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 xml:space="preserve">«Сумма,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w:t>
      </w:r>
      <w:r>
        <w:t xml:space="preserve">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r>
        <w:rPr>
          <w:i/>
        </w:rPr>
      </w:r>
      <w:r>
        <w:rPr>
          <w:i/>
        </w:rPr>
      </w:r>
    </w:p>
    <w:p>
      <w:pPr>
        <w:pStyle w:val="924"/>
        <w:ind w:firstLine="708"/>
        <w:rPr>
          <w:bCs/>
        </w:rPr>
      </w:pP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r>
        <w:rPr>
          <w:bCs/>
        </w:rPr>
      </w:r>
      <w:r>
        <w:rPr>
          <w:bCs/>
        </w:rPr>
      </w:r>
    </w:p>
    <w:p>
      <w:pPr>
        <w:pStyle w:val="924"/>
        <w:ind w:firstLine="708"/>
        <w:rPr>
          <w:bCs/>
        </w:rPr>
      </w:pPr>
      <w:r>
        <w:rPr>
          <w:bCs/>
        </w:rP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r>
        <w:rPr>
          <w:bCs/>
        </w:rPr>
      </w:r>
    </w:p>
    <w:p>
      <w:pPr>
        <w:pStyle w:val="924"/>
        <w:ind w:firstLine="709"/>
        <w:widowControl w:val="off"/>
        <w:tabs>
          <w:tab w:val="left" w:pos="1418" w:leader="none"/>
        </w:tabs>
        <w:rPr>
          <w:bCs/>
        </w:rPr>
      </w:pPr>
      <w:r>
        <w:rPr>
          <w:bCs/>
        </w:rPr>
        <w:t xml:space="preserve">2.4</w:t>
      </w:r>
      <w:r>
        <w:rPr>
          <w:bCs/>
        </w:rPr>
        <w:t xml:space="preserve">. Форма оплаты – безналичный расчет, путем перечисления денежных средств на расчетный счет Поставщика. </w:t>
      </w:r>
      <w:r>
        <w:rPr>
          <w:bCs/>
        </w:rPr>
        <w:t xml:space="preserve">О</w:t>
      </w:r>
      <w:r>
        <w:rPr>
          <w:bCs/>
        </w:rPr>
        <w:t xml:space="preserve">плата производится </w:t>
      </w:r>
      <w:r>
        <w:rPr>
          <w:bCs/>
        </w:rPr>
        <w:t xml:space="preserve">за фактически поставленный товар в течение </w:t>
      </w:r>
      <w:r>
        <w:rPr>
          <w:bCs/>
        </w:rPr>
        <w:t xml:space="preserve">7</w:t>
      </w:r>
      <w:r>
        <w:rPr>
          <w:bCs/>
        </w:rPr>
        <w:t xml:space="preserve"> (</w:t>
      </w:r>
      <w:r>
        <w:rPr>
          <w:bCs/>
        </w:rPr>
        <w:t xml:space="preserve">семи</w:t>
      </w:r>
      <w:r>
        <w:rPr>
          <w:bCs/>
        </w:rPr>
        <w:t xml:space="preserve">)</w:t>
      </w:r>
      <w:r>
        <w:rPr>
          <w:bCs/>
        </w:rPr>
        <w:t xml:space="preserve"> рабочих дней на основании </w:t>
      </w:r>
      <w:r>
        <w:t xml:space="preserve">акта приемки товаров, работ, услуг (код формы по ОКУД 0510452), подписанного сторонами контракта.</w:t>
      </w:r>
      <w:r>
        <w:rPr>
          <w:bCs/>
        </w:rPr>
      </w:r>
      <w:r>
        <w:rPr>
          <w:bCs/>
        </w:rPr>
      </w:r>
    </w:p>
    <w:p>
      <w:pPr>
        <w:pStyle w:val="924"/>
        <w:ind w:firstLine="708"/>
      </w:pPr>
      <w:r>
        <w:rPr>
          <w:bCs/>
        </w:rPr>
        <w:t xml:space="preserve">2.5. Оплата осуществляется по виду расходов классификации расходов бюджетов</w:t>
      </w:r>
      <w:r>
        <w:rPr>
          <w:bCs/>
        </w:rPr>
        <w:t xml:space="preserve"> </w:t>
      </w:r>
      <w:r>
        <w:rPr>
          <w:bCs/>
        </w:rPr>
        <w:t xml:space="preserve">244 «Прочая закупка товаров, работ и услуг для обеспечения государственных (муниципальных) нужд</w:t>
      </w:r>
      <w:r>
        <w:rPr>
          <w:bCs/>
        </w:rPr>
        <w:t xml:space="preserve">»</w:t>
      </w:r>
      <w:r>
        <w:rPr>
          <w:bCs/>
        </w:rPr>
        <w:t xml:space="preserve">.</w:t>
      </w:r>
      <w:r/>
    </w:p>
    <w:p>
      <w:pPr>
        <w:pStyle w:val="924"/>
        <w:ind w:firstLine="708"/>
      </w:pPr>
      <w:r>
        <w:t xml:space="preserve">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r/>
    </w:p>
    <w:p>
      <w:pPr>
        <w:pStyle w:val="924"/>
        <w:ind w:firstLine="709"/>
        <w:widowControl w:val="off"/>
        <w:tabs>
          <w:tab w:val="left" w:pos="1418" w:leader="none"/>
        </w:tabs>
        <w:rPr>
          <w:bCs/>
        </w:rPr>
      </w:pPr>
      <w:r>
        <w:rPr>
          <w:bCs/>
        </w:rPr>
      </w:r>
      <w:r>
        <w:rPr>
          <w:bCs/>
        </w:rPr>
      </w:r>
      <w:r>
        <w:rPr>
          <w:bCs/>
        </w:rPr>
      </w:r>
    </w:p>
    <w:p>
      <w:pPr>
        <w:pStyle w:val="924"/>
        <w:jc w:val="center"/>
        <w:rPr>
          <w:b/>
          <w:bCs/>
        </w:rPr>
        <w:outlineLvl w:val="0"/>
      </w:pPr>
      <w:r>
        <w:rPr>
          <w:b/>
          <w:bCs/>
        </w:rPr>
        <w:t xml:space="preserve">3. Место, сроки и условия поставки товара</w:t>
      </w:r>
      <w:r>
        <w:rPr>
          <w:b/>
          <w:bCs/>
        </w:rPr>
      </w:r>
      <w:r>
        <w:rPr>
          <w:b/>
          <w:bCs/>
        </w:rPr>
      </w:r>
    </w:p>
    <w:p>
      <w:pPr>
        <w:ind w:left="0" w:right="0" w:firstLine="426"/>
        <w:jc w:val="both"/>
        <w:tabs>
          <w:tab w:val="left" w:pos="567" w:leader="none"/>
          <w:tab w:val="left" w:pos="709" w:leader="none"/>
        </w:tabs>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color w:val="000000"/>
          <w:sz w:val="24"/>
        </w:rPr>
        <w:t xml:space="preserve">3.1. Место поставки товара: </w:t>
      </w:r>
      <w:r/>
    </w:p>
    <w:p>
      <w:pPr>
        <w:ind w:left="0" w:right="0" w:firstLine="426"/>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обл Липецкая, г.о. город Липецк, г Липецк, ул. Интернациональная, дом 5.</w:t>
      </w:r>
      <w:r/>
    </w:p>
    <w:p>
      <w:pPr>
        <w:ind w:firstLine="426"/>
        <w:tabs>
          <w:tab w:val="left" w:pos="567" w:leader="none"/>
          <w:tab w:val="left" w:pos="709" w:leader="none"/>
        </w:tabs>
      </w:pPr>
      <w:r>
        <w:rPr>
          <w:rFonts w:ascii="Times New Roman" w:hAnsi="Times New Roman" w:eastAsia="Times New Roman" w:cs="Times New Roman"/>
          <w:color w:val="000000"/>
          <w:sz w:val="24"/>
        </w:rPr>
        <w:t xml:space="preserve">   3.2. Сроки и условия поставки товара: Поставка товара осуществляется в течение 14 (четырнадцати) рабочих дней с даты заключения контракта. Поставка товара выполняется Поставщиком с 9-00 до 17-00 (время московское) в рабочие дни Заказчика. Время постав</w:t>
      </w:r>
      <w:r>
        <w:rPr>
          <w:rFonts w:ascii="Times New Roman" w:hAnsi="Times New Roman" w:eastAsia="Times New Roman" w:cs="Times New Roman"/>
          <w:color w:val="000000"/>
          <w:sz w:val="24"/>
        </w:rPr>
        <w:t xml:space="preserve">ки согласовывается с Заказчиком.</w:t>
      </w:r>
      <w:r/>
    </w:p>
    <w:p>
      <w:pPr>
        <w:pStyle w:val="1134"/>
        <w:ind w:firstLine="708"/>
        <w:jc w:val="both"/>
        <w:rPr>
          <w:b/>
          <w:bCs/>
        </w:rPr>
      </w:pPr>
      <w:r>
        <w:rPr>
          <w:b/>
          <w:bCs/>
        </w:rPr>
      </w:r>
      <w:r>
        <w:rPr>
          <w:b/>
          <w:bCs/>
        </w:rPr>
      </w:r>
      <w:r>
        <w:rPr>
          <w:b/>
          <w:bCs/>
        </w:rPr>
      </w:r>
    </w:p>
    <w:p>
      <w:pPr>
        <w:pStyle w:val="924"/>
        <w:jc w:val="center"/>
        <w:widowControl w:val="off"/>
        <w:rPr>
          <w:b/>
          <w:bCs/>
        </w:rPr>
      </w:pPr>
      <w:r>
        <w:rPr>
          <w:b/>
          <w:bCs/>
        </w:rPr>
        <w:t xml:space="preserve">4. Права и обязанности Сторон</w:t>
      </w:r>
      <w:r>
        <w:rPr>
          <w:b/>
          <w:bCs/>
        </w:rPr>
      </w:r>
      <w:r>
        <w:rPr>
          <w:b/>
          <w:bCs/>
        </w:rP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Поставщик обязуется: </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 Осуществлять поставку товара в соответствии с требованиями законодательства Российской Федерации и контрактом.</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4.1.2. Осуществлять поставку товара в объеме и в сроки, предусмотренные контрактом.</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4.1.3. Доставить товар на склад Заказчика своими силами и средствами.</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4.1.6. Устранять недостатки товара и его некомплектность в течение 5 (пяти) календарных дней с момента заявления о них Заказчиком.</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Расходы, связанные с устранением недостатков товара и некомплектности, несет Поставщик.</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4.1.7. Участвовать в приемке-передаче товара в соответствии с разделом 5 контракта.</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4.1.8. В случае если при поставке товара персоналом Поставщика нанесены повреждения объекту(ам), ответственность и устранение нанесенного ущерба возложить на Поставщика.</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4.1.9. Осуществлять поставку товара без остановки рабочего процесса Заказчика/ Управления Федерального казначейства по Липецкой области (далее – Получателя).</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4.1.10. Осуществлять поставку товара за свой риск, своими силами и техническими средствами, а также силами и техническими средствами привлеченных им соисполнителей на условиях, установленных контрактом;</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4.1.11. Не разглашать сведения, полученные о Заказчике и Получателе в ходе исполнения контракта.</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4.1.12. По требованию Заказчика заменить товар на товар, соответствующий по качеству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w:t>
      </w:r>
      <w:r>
        <w:rPr>
          <w:rFonts w:ascii="Times New Roman" w:hAnsi="Times New Roman" w:eastAsia="Times New Roman" w:cs="Times New Roman"/>
          <w:color w:val="000000"/>
          <w:sz w:val="24"/>
        </w:rPr>
        <w:t xml:space="preserve">ия Заказчика и забрать товар при обнаружении недостатков и невозможности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w:t>
      </w:r>
      <w:r>
        <w:rPr>
          <w:rFonts w:ascii="Times New Roman" w:hAnsi="Times New Roman" w:eastAsia="Times New Roman" w:cs="Times New Roman"/>
          <w:color w:val="000000"/>
          <w:sz w:val="24"/>
        </w:rPr>
        <w:t xml:space="preserve">ьств по поставке товара в сроки, предусмотренные контрактом.</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 Поставщик имеет право:</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 Заказчик обязуется:</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4.3.1. Обеспечить условия для осуществления поставки товара, обеспечить доступ на объект(ы).</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4.3.3. Оплатить поставку товара в соответствии с условиями контракта.</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 Заказчик имеет право: </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4.4.1. Требовать от Поставщика надлежащего исполнения обязательств по контракту;</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4.4.2. Предъявлять претензии по расчетам и к качеству поставляемого товара.</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4.4.3. Выполнить иные обязательства, предусмотренные контрактом и действующим законодательством Российской Федерации.</w:t>
      </w:r>
      <w:r/>
    </w:p>
    <w:p>
      <w:pPr>
        <w:pStyle w:val="924"/>
        <w:ind w:firstLine="720"/>
        <w:widowControl w:val="off"/>
        <w:rPr>
          <w:b/>
          <w:bCs/>
        </w:rPr>
      </w:pPr>
      <w:r>
        <w:rPr>
          <w:b/>
          <w:bCs/>
        </w:rPr>
      </w:r>
      <w:r>
        <w:rPr>
          <w:b/>
          <w:bCs/>
        </w:rPr>
      </w:r>
      <w:r>
        <w:rPr>
          <w:b/>
          <w:bCs/>
        </w:rPr>
      </w:r>
    </w:p>
    <w:p>
      <w:pPr>
        <w:pStyle w:val="924"/>
        <w:ind w:firstLine="720"/>
        <w:jc w:val="center"/>
        <w:widowControl w:val="off"/>
        <w:rPr>
          <w:b/>
          <w:bCs/>
        </w:rPr>
      </w:pPr>
      <w:r>
        <w:rPr>
          <w:b/>
          <w:bCs/>
        </w:rPr>
        <w:t xml:space="preserve">5. Порядок приемки и сроки осуществления приемки товара</w:t>
      </w:r>
      <w:r>
        <w:rPr>
          <w:b/>
          <w:bCs/>
        </w:rPr>
      </w:r>
      <w:r>
        <w:rPr>
          <w:b/>
          <w:bCs/>
        </w:rP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а) проверка комплектности и номенклатуры поставляемого товара на соответствие контракту;</w:t>
      </w: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б) проверка соответствия наименования и характеристик товара, требованиям, указанным в контракте; </w:t>
      </w: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в) проверка полноты и правильности оформления комплекта документов по передаче товара, в соответствии с условиями контракта;</w:t>
      </w: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г) контроль наличия/отсутствия внешних повреждений.</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w:t>
      </w:r>
      <w:r>
        <w:rPr>
          <w:rFonts w:ascii="Times New Roman" w:hAnsi="Times New Roman" w:eastAsia="Times New Roman" w:cs="Times New Roman"/>
          <w:color w:val="000000"/>
          <w:sz w:val="24"/>
        </w:rPr>
        <w:t xml:space="preserve"> (код формы по ОКУД 0510452) должны быть указаны в соответствии с Приложением к контракту.</w:t>
      </w: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w:t>
      </w:r>
      <w:r>
        <w:rPr>
          <w:rFonts w:ascii="Times New Roman" w:hAnsi="Times New Roman" w:eastAsia="Times New Roman" w:cs="Times New Roman"/>
          <w:color w:val="000000"/>
          <w:sz w:val="24"/>
        </w:rPr>
        <w:t xml:space="preserve">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5.3.1. Заказчик в течение 15 (пятнадцати) рабочих дней, следующих за днем поставки товара,формирует проект акта приемки товаров, работ, услуг (код формы по ОКУД 0510452) и направляет его Поставщику. В случае отказа от приемки Заказчик к проекту акта </w:t>
      </w:r>
      <w:r>
        <w:rPr>
          <w:rFonts w:ascii="Times New Roman" w:hAnsi="Times New Roman" w:eastAsia="Times New Roman" w:cs="Times New Roman"/>
          <w:color w:val="000000"/>
          <w:sz w:val="24"/>
        </w:rPr>
        <w:t xml:space="preserve">приемки товаров, работ, услуг (код формы по ОКУД 0510452)прикладывает мотивированный отказ от приемки товара.</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 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r/>
    </w:p>
    <w:p>
      <w:pPr>
        <w:ind w:left="0" w:right="0" w:firstLine="709"/>
        <w:jc w:val="both"/>
        <w:tabs>
          <w:tab w:val="left" w:pos="9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 Переход права собственности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w:t>
      </w:r>
      <w:r>
        <w:rPr>
          <w:rFonts w:ascii="Times New Roman" w:hAnsi="Times New Roman" w:eastAsia="Times New Roman" w:cs="Times New Roman"/>
          <w:color w:val="000000"/>
          <w:sz w:val="24"/>
        </w:rPr>
        <w:t xml:space="preserve">дения переходит к Заказчику.</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w:t>
      </w:r>
      <w:r>
        <w:rPr>
          <w:rFonts w:ascii="Times New Roman" w:hAnsi="Times New Roman" w:eastAsia="Times New Roman" w:cs="Times New Roman"/>
          <w:color w:val="000000"/>
          <w:sz w:val="24"/>
        </w:rPr>
        <w:t xml:space="preserve">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5.6. По решению Заказчика для приемки товара может создаваться приемочная комиссия, которая состоит не менее чем из пяти человек.</w:t>
      </w:r>
      <w:r/>
    </w:p>
    <w:p>
      <w:pPr>
        <w:ind w:left="0" w:right="0" w:firstLine="72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5.7. 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rFonts w:ascii="Times New Roman" w:hAnsi="Times New Roman" w:eastAsia="Times New Roman" w:cs="Times New Roman"/>
          <w:color w:val="000000"/>
          <w:spacing w:val="-2"/>
          <w:sz w:val="24"/>
        </w:rPr>
        <w:t xml:space="preserve">,</w:t>
      </w:r>
      <w:r>
        <w:rPr>
          <w:rFonts w:ascii="Times New Roman" w:hAnsi="Times New Roman" w:eastAsia="Times New Roman" w:cs="Times New Roman"/>
          <w:color w:val="000000"/>
          <w:sz w:val="24"/>
        </w:rPr>
        <w:t xml:space="preserve">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w:t>
      </w:r>
      <w:r>
        <w:rPr>
          <w:rFonts w:ascii="Times New Roman" w:hAnsi="Times New Roman" w:eastAsia="Times New Roman" w:cs="Times New Roman"/>
          <w:color w:val="000000"/>
          <w:sz w:val="24"/>
        </w:rPr>
        <w:t xml:space="preserve">4 контракта.</w:t>
      </w:r>
      <w:r/>
    </w:p>
    <w:p>
      <w:pPr>
        <w:pStyle w:val="1149"/>
        <w:ind w:firstLine="709"/>
        <w:jc w:val="both"/>
        <w:spacing w:before="0" w:after="0"/>
        <w:rPr>
          <w:b w:val="0"/>
          <w:bCs w:val="0"/>
          <w:sz w:val="24"/>
          <w:szCs w:val="24"/>
          <w:highlight w:val="none"/>
        </w:rPr>
      </w:pPr>
      <w:r>
        <w:rPr>
          <w:rFonts w:ascii="Times New Roman" w:hAnsi="Times New Roman" w:eastAsia="Times New Roman" w:cs="Times New Roman"/>
          <w:b w:val="0"/>
          <w:bCs w:val="0"/>
          <w:color w:val="000000"/>
          <w:sz w:val="24"/>
        </w:rPr>
        <w:t xml:space="preserve">5.8. В случае направления Поставщику повторного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w:t>
      </w:r>
      <w:r>
        <w:rPr>
          <w:rFonts w:ascii="Times New Roman" w:hAnsi="Times New Roman" w:eastAsia="Times New Roman" w:cs="Times New Roman"/>
          <w:b w:val="0"/>
          <w:bCs w:val="0"/>
          <w:color w:val="000000"/>
          <w:sz w:val="24"/>
        </w:rPr>
        <w:t xml:space="preserve">штрафных санкций, предусмотренных контрактом.</w:t>
      </w:r>
      <w:r>
        <w:rPr>
          <w:b w:val="0"/>
          <w:bCs w:val="0"/>
          <w:sz w:val="24"/>
          <w:szCs w:val="24"/>
          <w:highlight w:val="none"/>
        </w:rPr>
      </w:r>
      <w:r>
        <w:rPr>
          <w:b w:val="0"/>
          <w:bCs w:val="0"/>
          <w:sz w:val="24"/>
          <w:szCs w:val="24"/>
          <w:highlight w:val="none"/>
        </w:rPr>
      </w:r>
    </w:p>
    <w:p>
      <w:pPr>
        <w:pStyle w:val="1149"/>
        <w:jc w:val="center"/>
        <w:spacing w:before="0" w:after="0"/>
        <w:rPr>
          <w:sz w:val="24"/>
          <w:szCs w:val="24"/>
        </w:rPr>
      </w:pPr>
      <w:r>
        <w:rPr>
          <w:sz w:val="24"/>
          <w:szCs w:val="24"/>
          <w:highlight w:val="none"/>
        </w:rPr>
      </w:r>
      <w:r>
        <w:rPr>
          <w:sz w:val="24"/>
          <w:szCs w:val="24"/>
          <w:highlight w:val="none"/>
        </w:rPr>
      </w:r>
      <w:r>
        <w:rPr>
          <w:sz w:val="24"/>
          <w:szCs w:val="24"/>
        </w:rPr>
      </w:r>
    </w:p>
    <w:p>
      <w:pPr>
        <w:pStyle w:val="1149"/>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предусмотренных контрактом</w:t>
      </w:r>
      <w:r>
        <w:rPr>
          <w:sz w:val="24"/>
          <w:szCs w:val="24"/>
        </w:rPr>
      </w:r>
      <w:r>
        <w:rPr>
          <w:sz w:val="24"/>
          <w:szCs w:val="24"/>
        </w:rP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Заказчик и Поставщик несут ответственность за неисполнение или ненадлежащее исполнение обязательств, предусмотренных контрактом.</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w:t>
      </w:r>
      <w:r>
        <w:rPr>
          <w:rFonts w:ascii="Times New Roman" w:hAnsi="Times New Roman" w:eastAsia="Times New Roman" w:cs="Times New Roman"/>
          <w:color w:val="000000"/>
          <w:sz w:val="24"/>
        </w:rPr>
        <w:t xml:space="preserve">фов, пеней). </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w:t>
      </w:r>
      <w:r>
        <w:rPr>
          <w:rFonts w:ascii="Times New Roman" w:hAnsi="Times New Roman" w:eastAsia="Times New Roman" w:cs="Times New Roman"/>
          <w:color w:val="000000"/>
          <w:sz w:val="24"/>
        </w:rPr>
        <w:t xml:space="preserve">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w:t>
      </w:r>
      <w:hyperlink r:id="rId11" w:tooltip="consultantplus://offline/ref=D0EA6D5523D853CD89279C5FF8F445E19EBEE92152FF86CA0EF7EDC82FE4F70432FE212BD9BF3EDD3292FD0D1CFFAE26F934FECF71458C29T0F5G" w:history="1">
        <w:r>
          <w:rPr>
            <w:rStyle w:val="955"/>
            <w:rFonts w:ascii="Times New Roman" w:hAnsi="Times New Roman" w:eastAsia="Times New Roman" w:cs="Times New Roman"/>
            <w:color w:val="0000ff"/>
            <w:sz w:val="24"/>
            <w:u w:val="single"/>
          </w:rPr>
          <w:t xml:space="preserve">порядке</w:t>
        </w:r>
      </w:hyperlink>
      <w:r>
        <w:rPr>
          <w:rFonts w:ascii="Times New Roman" w:hAnsi="Times New Roman" w:eastAsia="Times New Roman" w:cs="Times New Roman"/>
          <w:color w:val="000000"/>
          <w:sz w:val="24"/>
        </w:rPr>
        <w:t xml:space="preserve">, установленном Правительством Российской Федерации, и составляет 1000 рублей.</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ab/>
      </w:r>
      <w:r>
        <w:rPr>
          <w:rFonts w:ascii="Times New Roman" w:hAnsi="Times New Roman" w:eastAsia="Times New Roman" w:cs="Times New Roman"/>
          <w:color w:val="000000"/>
          <w:sz w:val="24"/>
        </w:rPr>
        <w:t xml:space="preserve">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w:t>
      </w:r>
      <w:r>
        <w:rPr>
          <w:rFonts w:ascii="Times New Roman" w:hAnsi="Times New Roman" w:eastAsia="Times New Roman" w:cs="Times New Roman"/>
          <w:color w:val="000000"/>
          <w:sz w:val="24"/>
        </w:rPr>
        <w:t xml:space="preserve">к направляет Поставщику требование об уплате неустоек (штрафов, пеней).</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w:t>
      </w:r>
      <w:r>
        <w:rPr>
          <w:rFonts w:ascii="Times New Roman" w:hAnsi="Times New Roman" w:eastAsia="Times New Roman" w:cs="Times New Roman"/>
          <w:color w:val="000000"/>
          <w:sz w:val="24"/>
        </w:rPr>
        <w:t xml:space="preserve">е одной трехсотой действующей на дату уплаты пени ключевой ставки Центрального банка Российской Федерации</w:t>
      </w:r>
      <w:r>
        <w:rPr>
          <w:rFonts w:ascii="Calibri" w:hAnsi="Calibri" w:eastAsia="Calibri" w:cs="Calibri"/>
          <w:color w:val="ff0000"/>
          <w:sz w:val="22"/>
        </w:rPr>
        <w:t xml:space="preserve"> </w:t>
      </w:r>
      <w:r>
        <w:rPr>
          <w:rFonts w:ascii="Times New Roman" w:hAnsi="Times New Roman" w:eastAsia="Times New Roman" w:cs="Times New Roman"/>
          <w:color w:val="000000"/>
          <w:sz w:val="24"/>
        </w:rPr>
        <w:t xml:space="preserve">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6.7. Штраф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w:t>
      </w:r>
      <w:r>
        <w:rPr>
          <w:rFonts w:ascii="Times New Roman" w:hAnsi="Times New Roman" w:eastAsia="Times New Roman" w:cs="Times New Roman"/>
          <w:color w:val="000000"/>
          <w:sz w:val="24"/>
        </w:rPr>
        <w:t xml:space="preserve"> в </w:t>
      </w:r>
      <w:hyperlink r:id="rId12" w:tooltip="consultantplus://offline/ref=D0EA6D5523D853CD89279C5FF8F445E19EBEE92152FF86CA0EF7EDC82FE4F70432FE212BD9BF3EDD3292FD0D1CFFAE26F934FECF71458C29T0F5G" w:history="1">
        <w:r>
          <w:rPr>
            <w:rStyle w:val="955"/>
            <w:rFonts w:ascii="Times New Roman" w:hAnsi="Times New Roman" w:eastAsia="Times New Roman" w:cs="Times New Roman"/>
            <w:color w:val="0000ff"/>
            <w:sz w:val="24"/>
            <w:u w:val="single"/>
          </w:rPr>
          <w:t xml:space="preserve">порядке</w:t>
        </w:r>
      </w:hyperlink>
      <w:r>
        <w:rPr>
          <w:rFonts w:ascii="Times New Roman" w:hAnsi="Times New Roman" w:eastAsia="Times New Roman" w:cs="Times New Roman"/>
          <w:color w:val="000000"/>
          <w:sz w:val="24"/>
        </w:rPr>
        <w:t xml:space="preserve">, установленном Правительством Российской Федерации,  и составляет ________рублей.</w:t>
      </w:r>
      <w:r/>
    </w:p>
    <w:p>
      <w:pPr>
        <w:ind w:left="0" w:right="0" w:firstLine="54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10 процентов цены контракта (этапа) в случае, если цена контракта (этапа) не превышает 3 млн. рублей;</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6.8. Штраф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1000 рублей.</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6.10. В случае принятия решения о взыскании с Поставщика неустоек (штрафов, пеней), предусмотренных контрактом, Заказчиком в соответствии с пунктом 6.5. контракта выставляется Поставщику требование о выплате неустойки (штрафа, пеней), в котором, в том числ</w:t>
      </w:r>
      <w:r>
        <w:rPr>
          <w:rFonts w:ascii="Times New Roman" w:hAnsi="Times New Roman" w:eastAsia="Times New Roman" w:cs="Times New Roman"/>
          <w:color w:val="000000"/>
          <w:sz w:val="24"/>
        </w:rPr>
        <w:t xml:space="preserve">е, указывается сумма неустойки (штрафа, пеней) по контракту, расчет суммы неустойки (штрафа, пеней) на конкретную дату, а также реквизиты счета, на который Поставщик должен перечислить денежные средства в уплату такой неустойки (штрафа, пеней), и сроки пер</w:t>
      </w:r>
      <w:r>
        <w:rPr>
          <w:rFonts w:ascii="Times New Roman" w:hAnsi="Times New Roman" w:eastAsia="Times New Roman" w:cs="Times New Roman"/>
          <w:color w:val="000000"/>
          <w:sz w:val="24"/>
        </w:rPr>
        <w:t xml:space="preserve">ечисления неустойки (штрафа, пеней).</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Выплата неустоек (штрафов, пеней), предусмотренных контрактом, не освобождает Стороны от исполнения обязательств по контракту.</w:t>
      </w:r>
      <w:r/>
    </w:p>
    <w:p>
      <w:pPr>
        <w:ind w:left="0" w:right="0" w:firstLine="708"/>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p>
    <w:p>
      <w:pPr>
        <w:pStyle w:val="1134"/>
        <w:ind w:firstLine="708"/>
        <w:jc w:val="both"/>
        <w:rPr>
          <w:rFonts w:ascii="Times New Roman" w:hAnsi="Times New Roman"/>
          <w:sz w:val="24"/>
          <w:szCs w:val="24"/>
          <w:highlight w:val="none"/>
        </w:rPr>
      </w:pPr>
      <w:r>
        <w:rPr>
          <w:rFonts w:ascii="Times New Roman" w:hAnsi="Times New Roman" w:eastAsia="Times New Roman" w:cs="Times New Roman"/>
          <w:color w:val="000000"/>
          <w:sz w:val="24"/>
        </w:rPr>
        <w:t xml:space="preserve">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highlight w:val="none"/>
        </w:rPr>
      </w:r>
      <w:r>
        <w:rPr>
          <w:rFonts w:ascii="Times New Roman" w:hAnsi="Times New Roman"/>
          <w:sz w:val="24"/>
          <w:szCs w:val="24"/>
          <w:highlight w:val="none"/>
        </w:rPr>
      </w:r>
    </w:p>
    <w:p>
      <w:pPr>
        <w:pStyle w:val="1134"/>
        <w:ind w:firstLine="708"/>
        <w:jc w:val="both"/>
        <w:rPr>
          <w:rFonts w:ascii="Times New Roman" w:hAnsi="Times New Roman"/>
          <w:sz w:val="24"/>
          <w:szCs w:val="24"/>
        </w:rPr>
      </w:pPr>
      <w:r>
        <w:rPr>
          <w:rFonts w:ascii="Times New Roman" w:hAnsi="Times New Roman"/>
          <w:sz w:val="24"/>
          <w:szCs w:val="24"/>
          <w:highlight w:val="none"/>
        </w:rPr>
      </w:r>
      <w:r>
        <w:rPr>
          <w:rFonts w:ascii="Times New Roman" w:hAnsi="Times New Roman"/>
          <w:sz w:val="24"/>
          <w:szCs w:val="24"/>
          <w:highlight w:val="none"/>
        </w:rPr>
      </w:r>
      <w:r>
        <w:rPr>
          <w:rFonts w:ascii="Times New Roman" w:hAnsi="Times New Roman"/>
          <w:sz w:val="24"/>
          <w:szCs w:val="24"/>
        </w:rPr>
      </w:r>
    </w:p>
    <w:p>
      <w:pPr>
        <w:pStyle w:val="924"/>
        <w:jc w:val="center"/>
        <w:rPr>
          <w:b/>
        </w:rPr>
      </w:pPr>
      <w:r>
        <w:rPr>
          <w:b/>
        </w:rPr>
        <w:t xml:space="preserve">7. Обстоятельства непреодолимой силы</w:t>
      </w:r>
      <w:r>
        <w:rPr>
          <w:b/>
        </w:rPr>
      </w:r>
      <w:r>
        <w:rPr>
          <w:b/>
        </w:rPr>
      </w:r>
    </w:p>
    <w:p>
      <w:pPr>
        <w:ind w:left="0" w:right="0" w:firstLine="72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Ни одна из Сторон не будет нести ответственность за полное или частичное неисполнение обязательств по контракту, если оно явилось</w:t>
      </w:r>
      <w:r>
        <w:rPr>
          <w:rFonts w:ascii="Times New Roman" w:hAnsi="Times New Roman" w:eastAsia="Times New Roman" w:cs="Times New Roman"/>
          <w:color w:val="000000"/>
          <w:spacing w:val="-2"/>
          <w:sz w:val="24"/>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p>
    <w:p>
      <w:pPr>
        <w:ind w:left="0" w:right="0" w:firstLine="72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письменной форме другую Сторону о наступлении и прекращении вышеуказанных</w:t>
      </w:r>
      <w:r>
        <w:rPr>
          <w:rFonts w:ascii="Times New Roman" w:hAnsi="Times New Roman" w:eastAsia="Times New Roman" w:cs="Times New Roman"/>
          <w:color w:val="000000"/>
          <w:sz w:val="24"/>
        </w:rPr>
        <w:t xml:space="preserve">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ind w:left="0" w:right="0" w:firstLine="720"/>
        <w:jc w:val="both"/>
        <w:spacing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 Несвоевременное извещение об обстоятельствах непреодолимой силы лишает соответствующую Сторону права ссылаться на них в будущем.</w:t>
      </w:r>
      <w:r/>
    </w:p>
    <w:p>
      <w:pPr>
        <w:pStyle w:val="997"/>
        <w:ind w:firstLine="720"/>
        <w:spacing w:after="0"/>
        <w:rPr>
          <w:highlight w:val="none"/>
          <w:lang w:val="ru-RU"/>
        </w:rPr>
      </w:pPr>
      <w:r>
        <w:rPr>
          <w:rFonts w:ascii="Times New Roman" w:hAnsi="Times New Roman" w:eastAsia="Times New Roman" w:cs="Times New Roman"/>
          <w:color w:val="000000"/>
          <w:sz w:val="24"/>
        </w:rPr>
        <w:t xml:space="preserve">7.4.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rPr>
          <w:highlight w:val="none"/>
          <w:lang w:val="ru-RU"/>
        </w:rPr>
      </w:r>
      <w:r>
        <w:rPr>
          <w:highlight w:val="none"/>
          <w:lang w:val="ru-RU"/>
        </w:rPr>
      </w:r>
    </w:p>
    <w:p>
      <w:pPr>
        <w:pStyle w:val="997"/>
        <w:ind w:firstLine="720"/>
        <w:spacing w:after="0"/>
        <w:rPr>
          <w:lang w:val="ru-RU"/>
        </w:rPr>
      </w:pPr>
      <w:r>
        <w:rPr>
          <w:highlight w:val="none"/>
          <w:lang w:val="ru-RU"/>
        </w:rPr>
      </w:r>
      <w:r>
        <w:rPr>
          <w:highlight w:val="none"/>
          <w:lang w:val="ru-RU"/>
        </w:rPr>
      </w:r>
      <w:r>
        <w:rPr>
          <w:lang w:val="ru-RU"/>
        </w:rPr>
      </w:r>
    </w:p>
    <w:p>
      <w:pPr>
        <w:pStyle w:val="997"/>
        <w:jc w:val="center"/>
        <w:spacing w:after="0"/>
        <w:rPr>
          <w:b/>
          <w:lang w:val="ru-RU"/>
        </w:rPr>
      </w:pPr>
      <w:r>
        <w:rPr>
          <w:b/>
          <w:lang w:val="ru-RU"/>
        </w:rPr>
        <w:t xml:space="preserve">8</w:t>
      </w:r>
      <w:r>
        <w:rPr>
          <w:b/>
          <w:lang w:val="ru-RU"/>
        </w:rPr>
        <w:t xml:space="preserve">. Срок действия контракта</w:t>
      </w:r>
      <w:r>
        <w:rPr>
          <w:b/>
          <w:lang w:val="ru-RU"/>
        </w:rPr>
      </w:r>
      <w:r>
        <w:rPr>
          <w:b/>
          <w:lang w:val="ru-RU"/>
        </w:rPr>
      </w:r>
    </w:p>
    <w:p>
      <w:pPr>
        <w:pStyle w:val="997"/>
        <w:ind w:firstLine="709"/>
        <w:spacing w:after="0"/>
        <w:widowControl w:val="off"/>
      </w:pPr>
      <w:r>
        <w:t xml:space="preserve">8.1. </w:t>
      </w:r>
      <w:r>
        <w:t xml:space="preserve">Контракт вступает в силу с момента заключения и действует до полного выполнения Сторонами всех обязательств по контракту.</w:t>
      </w:r>
      <w:r/>
    </w:p>
    <w:p>
      <w:pPr>
        <w:pStyle w:val="924"/>
        <w:ind w:right="-13" w:firstLine="708"/>
        <w:rPr>
          <w:b/>
          <w:lang w:val="en-US"/>
        </w:rPr>
      </w:pPr>
      <w:r>
        <w:rPr>
          <w:b/>
          <w:lang w:val="en-US"/>
        </w:rPr>
      </w:r>
      <w:r>
        <w:rPr>
          <w:b/>
          <w:lang w:val="en-US"/>
        </w:rPr>
      </w:r>
      <w:r>
        <w:rPr>
          <w:b/>
          <w:lang w:val="en-US"/>
        </w:rPr>
      </w:r>
    </w:p>
    <w:p>
      <w:pPr>
        <w:pStyle w:val="924"/>
        <w:ind w:firstLine="708"/>
        <w:jc w:val="center"/>
        <w:rPr>
          <w:b/>
        </w:rPr>
      </w:pPr>
      <w:r>
        <w:rPr>
          <w:b/>
        </w:rPr>
        <w:t xml:space="preserve">9. Порядок и условия изменения (расторжения) контракта</w:t>
      </w:r>
      <w:r>
        <w:rPr>
          <w:b/>
        </w:rPr>
      </w:r>
      <w:r>
        <w:rPr>
          <w:b/>
        </w:rPr>
      </w:r>
    </w:p>
    <w:p>
      <w:pPr>
        <w:pStyle w:val="924"/>
        <w:ind w:firstLine="709"/>
      </w:pPr>
      <w:r>
        <w:t xml:space="preserve">9.1.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r/>
    </w:p>
    <w:p>
      <w:pPr>
        <w:pStyle w:val="924"/>
        <w:ind w:firstLine="709"/>
      </w:pPr>
      <w:r>
        <w:t xml:space="preserve">9.2.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r/>
    </w:p>
    <w:p>
      <w:pPr>
        <w:pStyle w:val="924"/>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924"/>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r>
        <w:rPr>
          <w:bCs/>
        </w:rPr>
      </w:r>
    </w:p>
    <w:p>
      <w:pPr>
        <w:pStyle w:val="924"/>
        <w:ind w:firstLine="708"/>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924"/>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924"/>
        <w:ind w:firstLine="708"/>
      </w:pPr>
      <w:r/>
      <w:r/>
    </w:p>
    <w:p>
      <w:pPr>
        <w:pStyle w:val="997"/>
        <w:jc w:val="center"/>
        <w:spacing w:after="0"/>
        <w:widowControl w:val="off"/>
        <w:rPr>
          <w:b/>
          <w:bCs/>
          <w:lang w:val="ru-RU"/>
        </w:rPr>
      </w:pPr>
      <w:r>
        <w:rPr>
          <w:b/>
          <w:bCs/>
          <w:lang w:val="ru-RU"/>
        </w:rPr>
        <w:t xml:space="preserve">10</w:t>
      </w:r>
      <w:r>
        <w:rPr>
          <w:b/>
          <w:bCs/>
        </w:rPr>
        <w:t xml:space="preserve">. Разрешение споров</w:t>
      </w:r>
      <w:r>
        <w:rPr>
          <w:b/>
          <w:bCs/>
          <w:lang w:val="ru-RU"/>
        </w:rPr>
      </w:r>
      <w:r>
        <w:rPr>
          <w:b/>
          <w:bCs/>
          <w:lang w:val="ru-RU"/>
        </w:rPr>
      </w:r>
    </w:p>
    <w:p>
      <w:pPr>
        <w:pStyle w:val="924"/>
        <w:ind w:firstLine="708"/>
        <w:widowControl w:val="off"/>
        <w:rPr>
          <w:lang w:val="en-US" w:eastAsia="en-US"/>
        </w:rPr>
      </w:pPr>
      <w:r>
        <w:rPr>
          <w:lang w:eastAsia="en-US"/>
        </w:rPr>
        <w:t xml:space="preserve">10</w:t>
      </w:r>
      <w:r>
        <w:rPr>
          <w:lang w:val="en-US" w:eastAsia="en-US"/>
        </w:rPr>
        <w:t xml:space="preserve">.</w:t>
      </w:r>
      <w:r>
        <w:rPr>
          <w:lang w:eastAsia="en-US"/>
        </w:rPr>
        <w:t xml:space="preserve">1</w:t>
      </w:r>
      <w:r>
        <w:rPr>
          <w:lang w:val="en-US" w:eastAsia="en-US"/>
        </w:rPr>
        <w:t xml:space="preserve">. Все споры и разногласия, связанные с контрактом, Стороны обязуются разрешать путем переговоров. </w:t>
      </w:r>
      <w:r>
        <w:rPr>
          <w:lang w:val="en-US" w:eastAsia="en-US"/>
        </w:rPr>
      </w:r>
      <w:r>
        <w:rPr>
          <w:lang w:val="en-US" w:eastAsia="en-US"/>
        </w:rPr>
      </w:r>
    </w:p>
    <w:p>
      <w:pPr>
        <w:pStyle w:val="997"/>
        <w:ind w:firstLine="708"/>
        <w:spacing w:after="0"/>
        <w:widowControl w:val="off"/>
      </w:pPr>
      <w:r>
        <w:rPr>
          <w:lang w:val="ru-RU" w:eastAsia="ru-RU"/>
        </w:rPr>
        <w:t xml:space="preserve">10.2. В случае если Стороны не смогут прийти к соглашению, все споры и разногласия по выполнению контракта, а также споры, связанные с его заключением, изменением, расторжен</w:t>
      </w:r>
      <w:r>
        <w:rPr>
          <w:lang w:val="ru-RU" w:eastAsia="ru-RU"/>
        </w:rPr>
        <w:t xml:space="preserve">ием, исполнением, подлежат разрешению в Арбитражном суде Владимирской области в соответствии с законодательством Российской Федерации (в случае, если контракт заключается с физическим лицом – в суде в соответствии с законодательством Российской Федерации).</w:t>
      </w:r>
      <w:r/>
    </w:p>
    <w:p>
      <w:pPr>
        <w:pStyle w:val="997"/>
        <w:spacing w:after="0"/>
        <w:widowControl w:val="off"/>
        <w:rPr>
          <w:b/>
          <w:bCs/>
          <w:lang w:val="ru-RU"/>
        </w:rPr>
      </w:pPr>
      <w:r>
        <w:rPr>
          <w:b/>
          <w:bCs/>
          <w:lang w:val="ru-RU"/>
        </w:rPr>
      </w:r>
      <w:r>
        <w:rPr>
          <w:b/>
          <w:bCs/>
          <w:lang w:val="ru-RU"/>
        </w:rPr>
      </w:r>
      <w:r>
        <w:rPr>
          <w:b/>
          <w:bCs/>
          <w:lang w:val="ru-RU"/>
        </w:rPr>
      </w:r>
    </w:p>
    <w:p>
      <w:pPr>
        <w:pStyle w:val="997"/>
        <w:jc w:val="center"/>
        <w:spacing w:after="0"/>
        <w:widowControl w:val="off"/>
        <w:rPr>
          <w:b/>
          <w:bCs/>
          <w:lang w:val="ru-RU"/>
        </w:rPr>
      </w:pPr>
      <w:r>
        <w:rPr>
          <w:b/>
          <w:bCs/>
          <w:lang w:val="ru-RU"/>
        </w:rPr>
        <w:t xml:space="preserve">11</w:t>
      </w:r>
      <w:r>
        <w:rPr>
          <w:b/>
          <w:bCs/>
        </w:rPr>
        <w:t xml:space="preserve">. Дополнительные условия</w:t>
      </w:r>
      <w:r>
        <w:rPr>
          <w:b/>
          <w:bCs/>
          <w:lang w:val="ru-RU"/>
        </w:rPr>
      </w:r>
      <w:r>
        <w:rPr>
          <w:b/>
          <w:bCs/>
          <w:lang w:val="ru-RU"/>
        </w:rPr>
      </w:r>
    </w:p>
    <w:p>
      <w:pPr>
        <w:pStyle w:val="924"/>
        <w:ind w:firstLine="708"/>
        <w:widowControl w:val="off"/>
      </w:pPr>
      <w:r>
        <w:t xml:space="preserve">11.1. Контракт составлен в 2-х экземплярах по одному для каждой из Сторон. Каждый экземпляр имеет равную юридическую силу.</w:t>
      </w:r>
      <w:r/>
    </w:p>
    <w:p>
      <w:pPr>
        <w:pStyle w:val="924"/>
        <w:ind w:firstLine="708"/>
        <w:widowControl w:val="off"/>
      </w:pPr>
      <w:r>
        <w:t xml:space="preserve">11.2. Изменение и доп</w:t>
      </w:r>
      <w:r>
        <w:t xml:space="preserve">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r/>
    </w:p>
    <w:p>
      <w:pPr>
        <w:pStyle w:val="924"/>
        <w:ind w:firstLine="708"/>
        <w:widowControl w:val="off"/>
      </w:pPr>
      <w:r>
        <w:t xml:space="preserve">11.3. Все уведомления в рамках контракта должны направляться Сторонами по электронной почте, либо факсом, либо почтовой связью.</w:t>
      </w:r>
      <w:r/>
    </w:p>
    <w:p>
      <w:pPr>
        <w:pStyle w:val="924"/>
        <w:ind w:firstLine="708"/>
        <w:rPr>
          <w:lang w:val="en-US" w:eastAsia="en-US"/>
        </w:rPr>
      </w:pPr>
      <w:r>
        <w:rPr>
          <w:lang w:val="en-US" w:eastAsia="en-US"/>
        </w:rPr>
        <w:t xml:space="preserve">11.4. Стороны обязаны в течение 5 (пяти) рабочих дней письменно уведомлять друг друга об изменении наименования, местонахождения и банковских реквизитов.</w:t>
      </w:r>
      <w:r>
        <w:rPr>
          <w:lang w:val="en-US" w:eastAsia="en-US"/>
        </w:rPr>
      </w:r>
      <w:r>
        <w:rPr>
          <w:lang w:val="en-US" w:eastAsia="en-US"/>
        </w:rPr>
      </w:r>
    </w:p>
    <w:p>
      <w:pPr>
        <w:pStyle w:val="997"/>
        <w:ind w:firstLine="708"/>
        <w:spacing w:after="0"/>
        <w:rPr>
          <w:lang w:val="ru-RU"/>
        </w:rPr>
      </w:pPr>
      <w:r>
        <w:rPr>
          <w:lang w:val="ru-RU" w:eastAsia="ru-RU"/>
        </w:rPr>
        <w:t xml:space="preserve">11.5. В случае изменения наименования, местонахождения или банковских реквизитов Сторон заключение дополнительного соглашения не требуется.</w:t>
      </w:r>
      <w:r>
        <w:rPr>
          <w:lang w:val="ru-RU"/>
        </w:rPr>
      </w:r>
      <w:r>
        <w:rPr>
          <w:lang w:val="ru-RU"/>
        </w:rPr>
      </w:r>
    </w:p>
    <w:p>
      <w:pPr>
        <w:pStyle w:val="924"/>
        <w:ind w:firstLine="708"/>
        <w:widowControl w:val="off"/>
      </w:pPr>
      <w:r/>
      <w:r/>
    </w:p>
    <w:p>
      <w:pPr>
        <w:pStyle w:val="924"/>
        <w:ind w:firstLine="708"/>
        <w:jc w:val="center"/>
        <w:rPr>
          <w:b/>
        </w:rPr>
      </w:pPr>
      <w:r>
        <w:rPr>
          <w:b/>
        </w:rPr>
        <w:t xml:space="preserve">1</w:t>
      </w:r>
      <w:r>
        <w:rPr>
          <w:b/>
        </w:rPr>
        <w:t xml:space="preserve">2</w:t>
      </w:r>
      <w:r>
        <w:rPr>
          <w:b/>
        </w:rPr>
        <w:t xml:space="preserve">. Гарантийные обязательства</w:t>
      </w:r>
      <w:r>
        <w:rPr>
          <w:b/>
        </w:rPr>
      </w:r>
      <w:r>
        <w:rPr>
          <w:b/>
        </w:rPr>
      </w:r>
    </w:p>
    <w:p>
      <w:pPr>
        <w:pStyle w:val="924"/>
        <w:ind w:firstLine="567"/>
        <w:rPr>
          <w:rFonts w:eastAsia="Calibri"/>
        </w:rPr>
      </w:pPr>
      <w:r>
        <w:rPr>
          <w:rFonts w:eastAsia="Calibri"/>
          <w:shd w:val="clear" w:color="auto" w:fill="ffffff"/>
        </w:rPr>
        <w:t xml:space="preserve">12.1. </w:t>
      </w:r>
      <w:r>
        <w:rPr>
          <w:rFonts w:eastAsia="Calibri"/>
        </w:rPr>
      </w:r>
      <w:r>
        <w:rPr>
          <w:rFonts w:ascii="Times New Roman" w:hAnsi="Times New Roman" w:eastAsia="Times New Roman" w:cs="Times New Roman"/>
          <w:color w:val="000000"/>
          <w:sz w:val="24"/>
        </w:rPr>
        <w:t xml:space="preserve">Поставщик гарантирует качество и безопасность поставляемого Товара в соответствии с действующими стандартами, утверждёнными на данный вид товара, и наличие сертификатов, обязательных для данного вида товара, оформленных в соответствии с российским законода</w:t>
      </w:r>
      <w:r>
        <w:rPr>
          <w:rFonts w:ascii="Times New Roman" w:hAnsi="Times New Roman" w:eastAsia="Times New Roman" w:cs="Times New Roman"/>
          <w:color w:val="000000"/>
          <w:sz w:val="24"/>
        </w:rPr>
        <w:t xml:space="preserve">тельством. </w:t>
      </w:r>
      <w:r>
        <w:rPr>
          <w:rFonts w:eastAsia="Calibri"/>
        </w:rPr>
      </w:r>
    </w:p>
    <w:p>
      <w:pPr>
        <w:pStyle w:val="924"/>
        <w:ind w:firstLine="567"/>
        <w:rPr>
          <w:rFonts w:eastAsia="Calibri"/>
        </w:rPr>
      </w:pPr>
      <w:r>
        <w:rPr>
          <w:rFonts w:eastAsia="Calibri"/>
          <w:shd w:val="clear" w:color="auto" w:fill="ffffff"/>
        </w:rPr>
        <w:t xml:space="preserve">12.2. </w:t>
      </w:r>
      <w:r>
        <w:rPr>
          <w:rFonts w:eastAsia="Calibri"/>
        </w:rPr>
      </w:r>
      <w:r>
        <w:rPr>
          <w:rFonts w:ascii="Times New Roman" w:hAnsi="Times New Roman" w:eastAsia="Times New Roman" w:cs="Times New Roman"/>
          <w:color w:val="000000"/>
          <w:sz w:val="24"/>
        </w:rPr>
        <w:t xml:space="preserve">Поставщик гарантирует, что Товар, поставляемый в рамках государственного контракта, является новым, неиспользованным, не имеет дефектов, связанных с конструкцией, материалами, изготовлением, функционированием при использовании.</w:t>
      </w:r>
      <w:r/>
      <w:r>
        <w:rPr>
          <w:rFonts w:eastAsia="Calibri"/>
        </w:rPr>
      </w:r>
    </w:p>
    <w:p>
      <w:pPr>
        <w:pStyle w:val="924"/>
        <w:ind w:firstLine="567"/>
        <w:rPr>
          <w:rFonts w:eastAsia="Calibri"/>
        </w:rPr>
      </w:pPr>
      <w:r>
        <w:rPr>
          <w:rFonts w:eastAsia="Calibri"/>
          <w:shd w:val="clear" w:color="auto" w:fill="ffffff"/>
        </w:rPr>
        <w:t xml:space="preserve">12.3. </w:t>
      </w:r>
      <w:r>
        <w:rPr>
          <w:rFonts w:ascii="Times New Roman" w:hAnsi="Times New Roman" w:eastAsia="Times New Roman" w:cs="Times New Roman"/>
          <w:color w:val="000000"/>
          <w:sz w:val="24"/>
          <w:highlight w:val="white"/>
        </w:rPr>
        <w:t xml:space="preserve">Гарантийный срок эксплуатации Товара, установленный Поставщиком на Товар, составляет </w:t>
      </w:r>
      <w:r>
        <w:rPr>
          <w:rFonts w:ascii="Times New Roman" w:hAnsi="Times New Roman" w:eastAsia="Times New Roman" w:cs="Times New Roman"/>
          <w:color w:val="000000"/>
          <w:sz w:val="24"/>
          <w:highlight w:val="white"/>
        </w:rPr>
        <w:t xml:space="preserve">24 (двадцать четыре) месяца</w:t>
      </w:r>
      <w:r>
        <w:rPr>
          <w:rFonts w:ascii="Times New Roman" w:hAnsi="Times New Roman" w:eastAsia="Times New Roman" w:cs="Times New Roman"/>
          <w:color w:val="000000"/>
          <w:sz w:val="24"/>
          <w:highlight w:val="white"/>
        </w:rPr>
        <w:t xml:space="preserve"> и исчисляется с даты приемки поставленного товара</w:t>
      </w:r>
      <w:r>
        <w:rPr>
          <w:rFonts w:ascii="Times New Roman" w:hAnsi="Times New Roman" w:eastAsia="Times New Roman" w:cs="Times New Roman"/>
          <w:color w:val="000000"/>
          <w:sz w:val="24"/>
        </w:rPr>
        <w:t xml:space="preserve">.</w:t>
      </w:r>
      <w:r>
        <w:rPr>
          <w:rFonts w:eastAsia="Calibri"/>
        </w:rPr>
      </w:r>
    </w:p>
    <w:p>
      <w:pPr>
        <w:pStyle w:val="924"/>
        <w:ind w:firstLine="567"/>
        <w:rPr>
          <w:rFonts w:eastAsia="Calibri"/>
        </w:rPr>
      </w:pPr>
      <w:r>
        <w:rPr>
          <w:rFonts w:eastAsia="Calibri"/>
          <w:shd w:val="clear" w:color="auto" w:fill="ffffff"/>
        </w:rPr>
        <w:t xml:space="preserve">12.4. </w:t>
      </w:r>
      <w:r>
        <w:rPr>
          <w:rFonts w:eastAsia="Calibri"/>
        </w:rPr>
      </w:r>
      <w:r>
        <w:rPr>
          <w:rFonts w:ascii="Times New Roman" w:hAnsi="Times New Roman" w:eastAsia="Times New Roman" w:cs="Times New Roman"/>
          <w:color w:val="000000"/>
          <w:sz w:val="24"/>
        </w:rPr>
        <w:t xml:space="preserve">Наличие гарантии качества удостоверяется выдачей Поставщиком гарантийного талона (сертификата) или предоставлением иного надлежащего документа</w:t>
      </w:r>
      <w:r>
        <w:rPr>
          <w:rFonts w:ascii="Times New Roman" w:hAnsi="Times New Roman" w:eastAsia="Times New Roman" w:cs="Times New Roman"/>
          <w:color w:val="000000"/>
          <w:sz w:val="24"/>
        </w:rPr>
        <w:t xml:space="preserve">.</w:t>
      </w:r>
      <w:r>
        <w:rPr>
          <w:rFonts w:eastAsia="Calibri"/>
        </w:rPr>
      </w:r>
    </w:p>
    <w:p>
      <w:pPr>
        <w:pStyle w:val="924"/>
        <w:ind w:firstLine="567"/>
        <w:rPr>
          <w:rFonts w:eastAsia="Calibri"/>
          <w:highlight w:val="white"/>
        </w:rPr>
      </w:pPr>
      <w:r>
        <w:rPr>
          <w:rFonts w:eastAsia="Calibri"/>
          <w:shd w:val="clear" w:color="auto" w:fill="ffffff"/>
        </w:rPr>
        <w:t xml:space="preserve">12.5. </w:t>
      </w:r>
      <w:r>
        <w:rPr>
          <w:rFonts w:ascii="Times New Roman" w:hAnsi="Times New Roman" w:eastAsia="Times New Roman" w:cs="Times New Roman"/>
          <w:color w:val="000000"/>
          <w:sz w:val="24"/>
          <w:highlight w:val="white"/>
        </w:rPr>
        <w:t xml:space="preserve">Поставщик предоставляет гарантию производителя Товара со сроком действия не менее </w:t>
      </w:r>
      <w:r>
        <w:rPr>
          <w:rFonts w:ascii="Times New Roman" w:hAnsi="Times New Roman" w:eastAsia="Times New Roman" w:cs="Times New Roman"/>
          <w:color w:val="000000"/>
          <w:sz w:val="24"/>
          <w:highlight w:val="white"/>
        </w:rPr>
        <w:t xml:space="preserve">24 (двадцати четырех)</w:t>
      </w:r>
      <w:r>
        <w:rPr>
          <w:rFonts w:ascii="Times New Roman" w:hAnsi="Times New Roman" w:eastAsia="Times New Roman" w:cs="Times New Roman"/>
          <w:color w:val="000000"/>
          <w:sz w:val="24"/>
          <w:highlight w:val="white"/>
        </w:rPr>
        <w:t xml:space="preserve">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r>
        <w:rPr>
          <w:rFonts w:eastAsia="Calibri"/>
          <w:highlight w:val="white"/>
        </w:rPr>
      </w:r>
      <w:r>
        <w:rPr>
          <w:rFonts w:eastAsia="Calibri"/>
          <w:highlight w:val="white"/>
        </w:rPr>
      </w:r>
    </w:p>
    <w:p>
      <w:pPr>
        <w:pStyle w:val="924"/>
        <w:ind w:firstLine="567"/>
        <w:rPr>
          <w:rFonts w:eastAsia="Calibri"/>
        </w:rPr>
      </w:pPr>
      <w:r>
        <w:rPr>
          <w:rFonts w:eastAsia="Calibri"/>
          <w:shd w:val="clear" w:color="auto" w:fill="ffffff"/>
        </w:rPr>
        <w:t xml:space="preserve">12.6. </w:t>
      </w:r>
      <w:r>
        <w:rPr>
          <w:rFonts w:eastAsia="Calibri"/>
        </w:rPr>
      </w:r>
      <w:r>
        <w:rPr>
          <w:rFonts w:ascii="Times New Roman" w:hAnsi="Times New Roman" w:eastAsia="Times New Roman" w:cs="Times New Roman"/>
          <w:color w:val="000000"/>
          <w:sz w:val="24"/>
        </w:rPr>
        <w:t xml:space="preserve">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r>
        <w:rPr>
          <w:rFonts w:eastAsia="Calibri"/>
        </w:rPr>
      </w:r>
    </w:p>
    <w:p>
      <w:pPr>
        <w:pStyle w:val="924"/>
        <w:ind w:firstLine="567"/>
        <w:rPr>
          <w:rFonts w:eastAsia="Calibri"/>
        </w:rPr>
      </w:pPr>
      <w:r>
        <w:rPr>
          <w:rFonts w:eastAsia="Calibri"/>
          <w:shd w:val="clear" w:color="auto" w:fill="ffffff"/>
        </w:rPr>
        <w:t xml:space="preserve">12.7. </w:t>
      </w:r>
      <w:r>
        <w:rPr>
          <w:rFonts w:eastAsia="Calibri"/>
        </w:rPr>
      </w:r>
      <w:r>
        <w:rPr>
          <w:rFonts w:ascii="Times New Roman" w:hAnsi="Times New Roman" w:eastAsia="Times New Roman" w:cs="Times New Roman"/>
          <w:color w:val="000000"/>
          <w:sz w:val="24"/>
        </w:rP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w:t>
      </w:r>
      <w:r>
        <w:rPr>
          <w:rFonts w:eastAsia="Calibri"/>
        </w:rPr>
      </w:r>
      <w:r>
        <w:rPr>
          <w:rFonts w:eastAsia="Calibri"/>
        </w:rPr>
      </w:r>
    </w:p>
    <w:p>
      <w:pPr>
        <w:pStyle w:val="924"/>
        <w:ind w:firstLine="567"/>
        <w:rPr>
          <w:rFonts w:eastAsia="Calibri"/>
        </w:rPr>
      </w:pPr>
      <w:r>
        <w:rPr>
          <w:rFonts w:eastAsia="Calibri"/>
          <w:shd w:val="clear" w:color="auto" w:fill="ffffff"/>
        </w:rPr>
        <w:t xml:space="preserve">12.8. </w:t>
      </w:r>
      <w:r>
        <w:rPr>
          <w:rFonts w:eastAsia="Calibri"/>
        </w:rPr>
      </w:r>
      <w:r>
        <w:rPr>
          <w:rFonts w:ascii="Times New Roman" w:hAnsi="Times New Roman" w:eastAsia="Times New Roman" w:cs="Times New Roman"/>
          <w:color w:val="000000"/>
          <w:sz w:val="24"/>
        </w:rPr>
        <w:t xml:space="preserve">При обнаружении дефектов Товара в период гарантийного срока, возникших по независящим от Заказчика причинам, Поставщик обязан за свой счёт устранить дефекты либо заменить Товар ненадлежащего качества новым, в срок 45 (сорок пять) рабочих дней с момента пол</w:t>
      </w:r>
      <w:r>
        <w:rPr>
          <w:rFonts w:ascii="Times New Roman" w:hAnsi="Times New Roman" w:eastAsia="Times New Roman" w:cs="Times New Roman"/>
          <w:color w:val="000000"/>
          <w:sz w:val="24"/>
        </w:rPr>
        <w:t xml:space="preserve">учения письменного уведомления от Заказчика (в том числе посредством факсимильной связи с последующим направлением оригинала).</w:t>
      </w:r>
      <w:r>
        <w:rPr>
          <w:rFonts w:eastAsia="Calibri"/>
        </w:rPr>
      </w:r>
      <w:r>
        <w:rPr>
          <w:rFonts w:eastAsia="Calibri"/>
        </w:rPr>
      </w:r>
    </w:p>
    <w:p>
      <w:pPr>
        <w:pStyle w:val="924"/>
        <w:ind w:firstLine="567"/>
        <w:rPr>
          <w:rFonts w:eastAsia="Calibri"/>
        </w:rPr>
      </w:pPr>
      <w:r>
        <w:rPr>
          <w:rFonts w:eastAsia="Calibri"/>
          <w:shd w:val="clear" w:color="auto" w:fill="ffffff"/>
        </w:rPr>
        <w:t xml:space="preserve">12.9. </w:t>
      </w:r>
      <w:r>
        <w:rPr>
          <w:rFonts w:eastAsia="Calibri"/>
        </w:rPr>
      </w:r>
      <w:r>
        <w:rPr>
          <w:rFonts w:ascii="Times New Roman" w:hAnsi="Times New Roman" w:eastAsia="Times New Roman" w:cs="Times New Roman"/>
          <w:color w:val="000000"/>
          <w:sz w:val="24"/>
        </w:rPr>
        <w:t xml:space="preserve">В случае замены или ремонта какой-либо части Товара, на такую заменённую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w:t>
      </w:r>
      <w:r>
        <w:rPr>
          <w:rFonts w:ascii="Times New Roman" w:hAnsi="Times New Roman" w:eastAsia="Times New Roman" w:cs="Times New Roman"/>
          <w:color w:val="000000"/>
          <w:sz w:val="24"/>
        </w:rPr>
        <w:t xml:space="preserve"> в контракте.</w:t>
      </w:r>
      <w:r>
        <w:rPr>
          <w:rFonts w:eastAsia="Calibri"/>
        </w:rPr>
      </w:r>
      <w:r>
        <w:rPr>
          <w:rFonts w:eastAsia="Calibri"/>
        </w:rPr>
      </w:r>
    </w:p>
    <w:p>
      <w:pPr>
        <w:pStyle w:val="924"/>
        <w:ind w:firstLine="567"/>
        <w:rPr>
          <w:rFonts w:eastAsia="Calibri"/>
        </w:rPr>
      </w:pPr>
      <w:r>
        <w:rPr>
          <w:rFonts w:eastAsia="Calibri"/>
          <w:shd w:val="clear" w:color="auto" w:fill="ffffff"/>
        </w:rPr>
        <w:t xml:space="preserve">12.10. </w:t>
      </w:r>
      <w:r>
        <w:rPr>
          <w:rFonts w:eastAsia="Calibri"/>
        </w:rPr>
      </w:r>
      <w:r>
        <w:rPr>
          <w:rFonts w:ascii="Times New Roman" w:hAnsi="Times New Roman" w:eastAsia="Times New Roman" w:cs="Times New Roman"/>
          <w:color w:val="000000"/>
          <w:sz w:val="24"/>
        </w:rPr>
        <w:t xml:space="preserve">Все сопутствующие гарантийному обслуживанию мероприятия (доставка, погрузка, разгрузка) осуществляются силами и за счёт Поставщика.</w:t>
      </w:r>
      <w:r>
        <w:rPr>
          <w:rFonts w:eastAsia="Calibri"/>
        </w:rPr>
      </w:r>
      <w:r>
        <w:rPr>
          <w:rFonts w:eastAsia="Calibri"/>
          <w:shd w:val="clear" w:color="auto" w:fill="ffffff"/>
        </w:rPr>
      </w:r>
      <w:r>
        <w:rPr>
          <w:rFonts w:eastAsia="Calibri"/>
          <w:shd w:val="clear" w:color="auto" w:fill="ffffff"/>
        </w:rPr>
      </w:r>
      <w:r>
        <w:rPr>
          <w:rFonts w:eastAsia="Calibri"/>
        </w:rPr>
      </w:r>
    </w:p>
    <w:p>
      <w:pPr>
        <w:pStyle w:val="924"/>
        <w:ind w:firstLine="708"/>
        <w:jc w:val="center"/>
        <w:rPr>
          <w:b/>
        </w:rPr>
      </w:pPr>
      <w:r>
        <w:rPr>
          <w:b/>
        </w:rPr>
      </w:r>
      <w:r>
        <w:rPr>
          <w:b/>
        </w:rPr>
      </w:r>
      <w:r>
        <w:rPr>
          <w:b/>
        </w:rPr>
      </w:r>
    </w:p>
    <w:p>
      <w:pPr>
        <w:pStyle w:val="924"/>
        <w:ind w:firstLine="708"/>
        <w:jc w:val="center"/>
        <w:rPr>
          <w:b/>
        </w:rPr>
      </w:pPr>
      <w:r>
        <w:rPr>
          <w:b/>
        </w:rPr>
        <w:t xml:space="preserve">13. Приложения</w:t>
      </w:r>
      <w:r>
        <w:rPr>
          <w:b/>
        </w:rPr>
      </w:r>
      <w:r>
        <w:rPr>
          <w:b/>
        </w:rPr>
      </w:r>
    </w:p>
    <w:p>
      <w:pPr>
        <w:pStyle w:val="924"/>
        <w:ind w:firstLine="709"/>
        <w:jc w:val="left"/>
        <w:widowControl w:val="off"/>
        <w:tabs>
          <w:tab w:val="left" w:pos="709" w:leader="none"/>
        </w:tabs>
      </w:pPr>
      <w:r>
        <w:rPr>
          <w:bCs/>
        </w:rPr>
        <w:t xml:space="preserve">13.1. </w:t>
      </w:r>
      <w:r>
        <w:rPr>
          <w:bCs/>
        </w:rPr>
        <w:t xml:space="preserve">Приложение - </w:t>
      </w:r>
      <w:r>
        <w:t xml:space="preserve">Спецификация поставляемого товара</w:t>
      </w:r>
      <w:r>
        <w:t xml:space="preserve">.</w:t>
      </w:r>
      <w:r/>
    </w:p>
    <w:p>
      <w:pPr>
        <w:pStyle w:val="924"/>
        <w:ind w:firstLine="709"/>
        <w:jc w:val="left"/>
        <w:widowControl w:val="off"/>
        <w:tabs>
          <w:tab w:val="left" w:pos="709" w:leader="none"/>
        </w:tabs>
      </w:pPr>
      <w:r>
        <w:t xml:space="preserve">Приложение(я) к контракту является(ются) его неотъемлемой частью.</w:t>
      </w:r>
      <w:r/>
    </w:p>
    <w:p>
      <w:pPr>
        <w:pStyle w:val="924"/>
        <w:ind w:firstLine="709"/>
        <w:jc w:val="left"/>
        <w:widowControl w:val="off"/>
        <w:tabs>
          <w:tab w:val="left" w:pos="709" w:leader="none"/>
        </w:tabs>
        <w:rPr>
          <w:b/>
        </w:rPr>
      </w:pPr>
      <w:r>
        <w:rPr>
          <w:b/>
        </w:rPr>
      </w:r>
      <w:r>
        <w:rPr>
          <w:b/>
        </w:rPr>
      </w:r>
      <w:r>
        <w:rPr>
          <w:b/>
        </w:rPr>
      </w:r>
    </w:p>
    <w:p>
      <w:pPr>
        <w:pStyle w:val="997"/>
        <w:ind w:firstLine="709"/>
        <w:jc w:val="center"/>
        <w:spacing w:after="0"/>
        <w:widowControl w:val="off"/>
        <w:rPr>
          <w:b/>
        </w:rPr>
      </w:pPr>
      <w:r>
        <w:rPr>
          <w:b/>
          <w:lang w:val="ru-RU"/>
        </w:rPr>
        <w:t xml:space="preserve">1</w:t>
      </w:r>
      <w:r>
        <w:rPr>
          <w:b/>
          <w:lang w:val="ru-RU"/>
        </w:rPr>
        <w:t xml:space="preserve">4</w:t>
      </w:r>
      <w:r>
        <w:rPr>
          <w:b/>
        </w:rPr>
        <w:t xml:space="preserve">. Адреса, банковские реквизиты и подписи сторон</w:t>
      </w:r>
      <w:r>
        <w:rPr>
          <w:b/>
        </w:rPr>
      </w:r>
      <w:r>
        <w:rPr>
          <w:b/>
        </w:rP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210"/>
        <w:gridCol w:w="5211"/>
      </w:tblGrid>
      <w:tr>
        <w:tblPrEx/>
        <w:trPr/>
        <w:tc>
          <w:tcPr>
            <w:tcBorders>
              <w:top w:val="none" w:color="000000" w:sz="0" w:space="0"/>
              <w:left w:val="none" w:color="000000" w:sz="0" w:space="0"/>
              <w:bottom w:val="none" w:color="000000" w:sz="0" w:space="0"/>
              <w:right w:val="none" w:color="000000" w:sz="0" w:space="0"/>
            </w:tcBorders>
            <w:tcW w:w="5210" w:type="dxa"/>
            <w:vAlign w:val="top"/>
            <w:textDirection w:val="lrTb"/>
            <w:noWrap w:val="false"/>
          </w:tcPr>
          <w:p>
            <w:pPr>
              <w:pStyle w:val="924"/>
              <w:jc w:val="center"/>
              <w:widowControl w:val="off"/>
              <w:rPr>
                <w:b/>
              </w:rPr>
            </w:pPr>
            <w:r>
              <w:rPr>
                <w:b/>
              </w:rPr>
              <w:t xml:space="preserve">Заказчик:</w:t>
            </w:r>
            <w:r>
              <w:rPr>
                <w:b/>
              </w:rPr>
            </w:r>
            <w:r>
              <w:rPr>
                <w:b/>
              </w:rPr>
            </w:r>
          </w:p>
          <w:p>
            <w:pPr>
              <w:pStyle w:val="924"/>
              <w:jc w:val="left"/>
              <w:widowControl w:val="off"/>
            </w:pPr>
            <w:r/>
            <w:r/>
          </w:p>
          <w:p>
            <w:pPr>
              <w:pStyle w:val="924"/>
              <w:jc w:val="left"/>
              <w:widowControl w:val="off"/>
            </w:pPr>
            <w:r>
              <w:t xml:space="preserve">Федеральное казенное учреждение «Центр по обеспечению деятельности Казначейства России»  (ФКУ «ЦОКР»)</w:t>
            </w:r>
            <w:r/>
          </w:p>
          <w:p>
            <w:pPr>
              <w:pStyle w:val="924"/>
              <w:jc w:val="left"/>
              <w:widowControl w:val="off"/>
            </w:pPr>
            <w:r>
              <w:t xml:space="preserve">Адрес (место нахождения): 109012, г.Москва, Площадь Славянская, д. 4, стр. 1, эт. 4, ком. 2-8, 10, 12-19, 23-28, 109-117, 119-122, 122А</w:t>
            </w:r>
            <w:r/>
          </w:p>
          <w:p>
            <w:pPr>
              <w:pStyle w:val="924"/>
              <w:jc w:val="left"/>
              <w:widowControl w:val="off"/>
            </w:pPr>
            <w:r>
              <w:t xml:space="preserve">Фактический адрес: 103132, г. Москва, Ипатьевский пер., д. 12, стр. 1</w:t>
            </w:r>
            <w:r/>
          </w:p>
          <w:p>
            <w:pPr>
              <w:pStyle w:val="924"/>
              <w:jc w:val="left"/>
              <w:widowControl w:val="off"/>
            </w:pPr>
            <w:r>
              <w:t xml:space="preserve">ИНН 7709895509 / КПП 770901001</w:t>
            </w:r>
            <w:r/>
          </w:p>
          <w:p>
            <w:pPr>
              <w:pStyle w:val="924"/>
              <w:jc w:val="left"/>
              <w:widowControl w:val="off"/>
            </w:pPr>
            <w:r>
              <w:t xml:space="preserve">Адрес и наименование филиала:</w:t>
            </w:r>
            <w:r/>
          </w:p>
          <w:p>
            <w:pPr>
              <w:pStyle w:val="924"/>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924"/>
              <w:jc w:val="left"/>
              <w:widowControl w:val="off"/>
            </w:pPr>
            <w:r>
              <w:t xml:space="preserve">(Межрегиональный филиал ФКУ «ЦОКР» в г. Владимире)</w:t>
            </w:r>
            <w:r/>
          </w:p>
          <w:p>
            <w:pPr>
              <w:pStyle w:val="924"/>
              <w:jc w:val="left"/>
              <w:widowControl w:val="off"/>
            </w:pPr>
            <w:r>
              <w:t xml:space="preserve">600017, Владимирская область,                          г. Владимир, ул. Кирова, д. 7.</w:t>
            </w:r>
            <w:r/>
          </w:p>
          <w:p>
            <w:pPr>
              <w:pStyle w:val="924"/>
              <w:widowControl w:val="off"/>
            </w:pPr>
            <w:r>
              <w:t xml:space="preserve">Плательщик: УФК по Владимирской области (МЕЖРЕГИОНАЛЬНЫЙ ФИЛИАЛ ФКУ "ЦОКР" В Г.ВЛАДИМИРЕ)</w:t>
              <w:tab/>
            </w:r>
            <w:r/>
          </w:p>
          <w:p>
            <w:pPr>
              <w:pStyle w:val="924"/>
              <w:widowControl w:val="off"/>
            </w:pPr>
            <w:r>
              <w:t xml:space="preserve">л/с 03281D00040</w:t>
            </w:r>
            <w:r/>
          </w:p>
          <w:p>
            <w:pPr>
              <w:pStyle w:val="924"/>
              <w:widowControl w:val="off"/>
            </w:pPr>
            <w:r>
              <w:t xml:space="preserve">ИНН 7709895509 / КПП 332843001</w:t>
            </w:r>
            <w:r/>
          </w:p>
          <w:p>
            <w:pPr>
              <w:pStyle w:val="924"/>
              <w:widowControl w:val="off"/>
            </w:pPr>
            <w:r>
              <w:t xml:space="preserve">Номер казначейского счета 03211643000000013236</w:t>
            </w:r>
            <w:r/>
          </w:p>
          <w:p>
            <w:pPr>
              <w:pStyle w:val="924"/>
              <w:widowControl w:val="off"/>
            </w:pPr>
            <w:r>
              <w:t xml:space="preserve">Номер банковского счета, входящего в состав ЕКС: 40102810745370000024</w:t>
            </w:r>
            <w:r/>
          </w:p>
          <w:p>
            <w:pPr>
              <w:pStyle w:val="924"/>
              <w:widowControl w:val="off"/>
            </w:pPr>
            <w:r>
              <w:t xml:space="preserve">БИК: 012202102</w:t>
            </w:r>
            <w:r/>
          </w:p>
          <w:p>
            <w:pPr>
              <w:pStyle w:val="924"/>
              <w:widowControl w:val="off"/>
            </w:pPr>
            <w:r>
              <w:t xml:space="preserve">Наименование Банка – </w:t>
            </w:r>
            <w:r>
              <w:t xml:space="preserve">ОКЦ № 1 ВВГУ Банка России//УФК по Нижегородской области,            г. Нижний Новгород</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Тел.8 (4922) 77-12-26</w:t>
            </w:r>
            <w:r/>
          </w:p>
          <w:p>
            <w:pPr>
              <w:pStyle w:val="924"/>
              <w:widowControl w:val="off"/>
            </w:pPr>
            <w:r>
              <w:t xml:space="preserve">эл. почта: cokr_vladimir@roskazna.ru</w:t>
            </w:r>
            <w:r/>
          </w:p>
          <w:p>
            <w:pPr>
              <w:pStyle w:val="924"/>
              <w:widowControl w:val="off"/>
            </w:pPr>
            <w:r>
              <w:t xml:space="preserve">Код по ОКТМО 17701000</w:t>
            </w:r>
            <w:r/>
          </w:p>
          <w:p>
            <w:pPr>
              <w:pStyle w:val="924"/>
              <w:widowControl w:val="off"/>
            </w:pPr>
            <w:r>
              <w:t xml:space="preserve">Код по ОКПО 32915652</w:t>
            </w:r>
            <w:r/>
          </w:p>
          <w:p>
            <w:pPr>
              <w:pStyle w:val="997"/>
              <w:jc w:val="left"/>
              <w:spacing w:after="0"/>
              <w:widowControl w:val="off"/>
              <w:rPr>
                <w:b/>
                <w:lang w:val="ru-RU"/>
              </w:rPr>
            </w:pPr>
            <w:r>
              <w:rPr>
                <w:rFonts w:ascii="Times New Roman" w:hAnsi="Times New Roman" w:eastAsia="Times New Roman" w:cs="Times New Roman"/>
                <w:color w:val="000000"/>
                <w:sz w:val="24"/>
              </w:rPr>
              <w:t xml:space="preserve">______________В.В. Ханбабаева</w:t>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5211" w:type="dxa"/>
            <w:vAlign w:val="top"/>
            <w:textDirection w:val="lrTb"/>
            <w:noWrap w:val="false"/>
          </w:tcPr>
          <w:p>
            <w:pPr>
              <w:pStyle w:val="924"/>
              <w:ind w:left="720" w:hanging="720"/>
              <w:jc w:val="center"/>
              <w:widowControl w:val="off"/>
              <w:rPr>
                <w:b/>
              </w:rPr>
            </w:pPr>
            <w:r>
              <w:rPr>
                <w:b/>
              </w:rPr>
              <w:t xml:space="preserve">Поставщик:</w:t>
            </w:r>
            <w:r>
              <w:rPr>
                <w:b/>
              </w:rPr>
            </w:r>
            <w:r>
              <w:rPr>
                <w:b/>
              </w:rP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24"/>
              <w:jc w:val="left"/>
              <w:widowControl w:val="off"/>
            </w:pPr>
            <w:r/>
            <w:r/>
          </w:p>
          <w:p>
            <w:pPr>
              <w:pStyle w:val="997"/>
              <w:jc w:val="center"/>
              <w:spacing w:after="0"/>
              <w:widowControl w:val="off"/>
              <w:rPr>
                <w:b/>
                <w:lang w:val="ru-RU"/>
              </w:rPr>
            </w:pPr>
            <w:r>
              <w:rPr>
                <w:b/>
                <w:lang w:val="ru-RU"/>
              </w:rPr>
            </w:r>
            <w:r>
              <w:rPr>
                <w:b/>
                <w:lang w:val="ru-RU"/>
              </w:rPr>
            </w:r>
            <w:r>
              <w:rPr>
                <w:b/>
                <w:lang w:val="ru-RU"/>
              </w:rPr>
            </w:r>
          </w:p>
        </w:tc>
      </w:tr>
    </w:tbl>
    <w:p>
      <w:pPr>
        <w:pStyle w:val="924"/>
        <w:jc w:val="right"/>
      </w:pPr>
      <w:r/>
      <w:r/>
    </w:p>
    <w:p>
      <w:pPr>
        <w:pStyle w:val="924"/>
      </w:pPr>
      <w:r/>
      <w:r/>
    </w:p>
    <w:p>
      <w:pPr>
        <w:pStyle w:val="924"/>
      </w:pPr>
      <w:r/>
      <w:r/>
    </w:p>
    <w:p>
      <w:pPr>
        <w:pStyle w:val="924"/>
        <w:tabs>
          <w:tab w:val="left" w:pos="1122" w:leader="none"/>
        </w:tabs>
        <w:sectPr>
          <w:footerReference w:type="default" r:id="rId9"/>
          <w:footerReference w:type="even" r:id="rId10"/>
          <w:footnotePr/>
          <w:endnotePr/>
          <w:type w:val="nextPage"/>
          <w:pgSz w:w="11906" w:h="16838" w:orient="portrait"/>
          <w:pgMar w:top="1134" w:right="567" w:bottom="1134" w:left="1134" w:header="709" w:footer="408" w:gutter="0"/>
          <w:cols w:num="1" w:sep="0" w:space="708" w:equalWidth="1"/>
          <w:docGrid w:linePitch="360"/>
        </w:sectPr>
      </w:pPr>
      <w:r>
        <w:tab/>
      </w:r>
      <w:r/>
    </w:p>
    <w:p>
      <w:pPr>
        <w:pStyle w:val="924"/>
        <w:ind w:firstLine="708"/>
        <w:jc w:val="right"/>
        <w:rPr>
          <w:lang w:eastAsia="en-US"/>
        </w:rPr>
      </w:pPr>
      <w:r>
        <w:rPr>
          <w:lang w:eastAsia="en-US"/>
        </w:rPr>
        <w:t xml:space="preserve">Приложение</w:t>
      </w:r>
      <w:r>
        <w:rPr>
          <w:lang w:eastAsia="en-US"/>
        </w:rPr>
      </w:r>
      <w:r>
        <w:rPr>
          <w:lang w:eastAsia="en-US"/>
        </w:rPr>
      </w:r>
    </w:p>
    <w:p>
      <w:pPr>
        <w:pStyle w:val="924"/>
        <w:ind w:firstLine="708"/>
        <w:jc w:val="right"/>
        <w:rPr>
          <w:lang w:eastAsia="en-US"/>
        </w:rPr>
      </w:pPr>
      <w:r>
        <w:rPr>
          <w:lang w:val="en-US" w:eastAsia="en-US"/>
        </w:rPr>
        <w:t xml:space="preserve">к государственному контракту от «</w:t>
      </w:r>
      <w:r>
        <w:rPr>
          <w:lang w:eastAsia="en-US"/>
        </w:rPr>
        <w:t xml:space="preserve">__</w:t>
      </w:r>
      <w:r>
        <w:rPr>
          <w:lang w:val="en-US" w:eastAsia="en-US"/>
        </w:rPr>
        <w:t xml:space="preserve">» </w:t>
      </w:r>
      <w:r>
        <w:rPr>
          <w:lang w:eastAsia="en-US"/>
        </w:rPr>
        <w:t xml:space="preserve">________</w:t>
      </w:r>
      <w:r>
        <w:rPr>
          <w:lang w:val="en-US" w:eastAsia="en-US"/>
        </w:rPr>
        <w:t xml:space="preserve">г. №</w:t>
      </w:r>
      <w:r>
        <w:rPr>
          <w:lang w:eastAsia="en-US"/>
        </w:rPr>
        <w:t xml:space="preserve"> ______</w:t>
      </w:r>
      <w:r>
        <w:rPr>
          <w:lang w:eastAsia="en-US"/>
        </w:rPr>
      </w:r>
      <w:r>
        <w:rPr>
          <w:lang w:eastAsia="en-US"/>
        </w:rPr>
      </w:r>
    </w:p>
    <w:p>
      <w:pPr>
        <w:pStyle w:val="924"/>
        <w:jc w:val="right"/>
      </w:pPr>
      <w:r/>
      <w:r/>
    </w:p>
    <w:p>
      <w:pPr>
        <w:pStyle w:val="924"/>
        <w:jc w:val="center"/>
        <w:rPr>
          <w:bCs/>
        </w:rPr>
      </w:pPr>
      <w:r>
        <w:rPr>
          <w:bCs/>
        </w:rPr>
      </w:r>
      <w:r>
        <w:rPr>
          <w:bCs/>
        </w:rPr>
      </w:r>
      <w:r>
        <w:rPr>
          <w:bCs/>
        </w:rPr>
      </w:r>
    </w:p>
    <w:p>
      <w:pPr>
        <w:pStyle w:val="924"/>
        <w:jc w:val="center"/>
        <w:rPr>
          <w:bCs/>
        </w:rPr>
      </w:pPr>
      <w:r>
        <w:rPr>
          <w:bCs/>
        </w:rPr>
      </w:r>
      <w:r>
        <w:rPr>
          <w:bCs/>
        </w:rPr>
      </w:r>
      <w:r>
        <w:rPr>
          <w:bCs/>
        </w:rPr>
      </w:r>
    </w:p>
    <w:p>
      <w:pPr>
        <w:pStyle w:val="924"/>
        <w:jc w:val="center"/>
        <w:rPr>
          <w:b/>
          <w:bCs/>
        </w:rPr>
      </w:pPr>
      <w:r>
        <w:rPr>
          <w:b/>
          <w:bCs/>
        </w:rPr>
        <w:t xml:space="preserve">Спецификация поставляемого товара</w:t>
      </w:r>
      <w:r>
        <w:rPr>
          <w:b/>
          <w:bCs/>
        </w:rPr>
      </w:r>
      <w:r>
        <w:rPr>
          <w:b/>
          <w:bCs/>
        </w:rPr>
      </w:r>
    </w:p>
    <w:p>
      <w:pPr>
        <w:pStyle w:val="924"/>
        <w:ind w:firstLine="708"/>
        <w:rPr>
          <w:b/>
          <w:bCs/>
        </w:rPr>
      </w:pPr>
      <w:r>
        <w:rPr>
          <w:b/>
          <w:bCs/>
        </w:rPr>
      </w:r>
      <w:r>
        <w:rPr>
          <w:b/>
          <w:bCs/>
        </w:rPr>
      </w:r>
      <w:r>
        <w:rPr>
          <w:b/>
          <w:bCs/>
        </w:rPr>
      </w:r>
    </w:p>
    <w:p>
      <w:pPr>
        <w:pStyle w:val="924"/>
        <w:numPr>
          <w:ilvl w:val="0"/>
          <w:numId w:val="30"/>
        </w:numPr>
        <w:contextualSpacing/>
        <w:jc w:val="left"/>
        <w:rPr>
          <w:b/>
        </w:rPr>
      </w:pPr>
      <w:r>
        <w:rPr>
          <w:b/>
        </w:rPr>
        <w:t xml:space="preserve">Наименование объекта закупки (предмет государственного контракта):</w:t>
      </w:r>
      <w:r>
        <w:rPr>
          <w:b/>
        </w:rPr>
      </w:r>
      <w:r>
        <w:rPr>
          <w:b/>
        </w:rPr>
      </w:r>
    </w:p>
    <w:p>
      <w:pPr>
        <w:pStyle w:val="924"/>
        <w:ind w:firstLine="708"/>
      </w:pPr>
      <w:r>
        <w:rPr>
          <w:color w:val="000000"/>
        </w:rPr>
      </w:r>
      <w:r>
        <w:rPr>
          <w:rFonts w:ascii="Times New Roman" w:hAnsi="Times New Roman" w:eastAsia="Times New Roman" w:cs="Times New Roman"/>
          <w:color w:val="000000"/>
          <w:sz w:val="24"/>
        </w:rPr>
        <w:t xml:space="preserve">Поставка комплектующих для системы кондиционирования воздуха, обеспечивающей работоспособность серверного оборудования для обеспечения нужд Управления Федерального казначейства по Липецкой области.</w:t>
      </w:r>
      <w:r>
        <w:rPr>
          <w:color w:val="000000"/>
        </w:rPr>
      </w:r>
      <w:r/>
    </w:p>
    <w:p>
      <w:pPr>
        <w:pStyle w:val="924"/>
        <w:ind w:firstLine="708"/>
        <w:rPr>
          <w:b/>
        </w:rPr>
      </w:pPr>
      <w:r>
        <w:rPr>
          <w:b/>
        </w:rPr>
      </w:r>
      <w:r>
        <w:rPr>
          <w:b/>
        </w:rPr>
      </w:r>
      <w:r>
        <w:rPr>
          <w:b/>
        </w:rPr>
      </w:r>
    </w:p>
    <w:p>
      <w:pPr>
        <w:pStyle w:val="924"/>
        <w:ind w:firstLine="708"/>
      </w:pPr>
      <w:r>
        <w:rPr>
          <w:b/>
        </w:rPr>
        <w:t xml:space="preserve">2.Описание объекта закупки: </w:t>
      </w:r>
      <w:r>
        <w:t xml:space="preserve">Количество поставляемого товара</w:t>
      </w:r>
      <w:r>
        <w:t xml:space="preserve"> </w:t>
      </w:r>
      <w:r>
        <w:rPr>
          <w:b/>
        </w:rPr>
        <w:t xml:space="preserve">–</w:t>
      </w:r>
      <w:r>
        <w:rPr>
          <w:b/>
        </w:rPr>
        <w:t xml:space="preserve"> </w:t>
      </w:r>
      <w:r>
        <w:t xml:space="preserve">2 (две) штуки</w:t>
      </w:r>
      <w:r>
        <w:t xml:space="preserve">.</w:t>
      </w:r>
      <w:r/>
    </w:p>
    <w:p>
      <w:pPr>
        <w:pStyle w:val="924"/>
      </w:pPr>
      <w:r>
        <w:t xml:space="preserve">            </w:t>
      </w:r>
      <w:r/>
    </w:p>
    <w:p>
      <w:pPr>
        <w:pStyle w:val="924"/>
        <w:ind w:firstLine="709"/>
        <w:tabs>
          <w:tab w:val="left" w:pos="993" w:leader="none"/>
        </w:tabs>
        <w:rPr>
          <w:b/>
        </w:rPr>
      </w:pPr>
      <w:r>
        <w:rPr>
          <w:b/>
        </w:rPr>
        <w:t xml:space="preserve">Функциональные, технические и качественные характеристики, эксплуатационные характеристики объекта закупки:</w:t>
      </w:r>
      <w:r>
        <w:rPr>
          <w:b/>
        </w:rPr>
      </w:r>
      <w:r>
        <w:rPr>
          <w:b/>
        </w:rPr>
      </w:r>
    </w:p>
    <w:p>
      <w:pPr>
        <w:pStyle w:val="924"/>
        <w:ind w:firstLine="709"/>
      </w:pPr>
      <w:r>
        <w:t xml:space="preserve">Поставляемый товар должен быть новым (товаром, который не был в употреб</w:t>
      </w:r>
      <w:r>
        <w:t xml:space="preserve">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Корпус поставляемого товара не должен иметь потертостей, царапин, сколов и следов вскрытия.</w:t>
      </w:r>
      <w:r/>
    </w:p>
    <w:p>
      <w:pPr>
        <w:pStyle w:val="924"/>
      </w:pPr>
      <w:r/>
      <w:r/>
    </w:p>
    <w:p>
      <w:pPr>
        <w:pStyle w:val="924"/>
        <w:jc w:val="center"/>
        <w:rPr>
          <w:b/>
          <w:bCs/>
        </w:rPr>
      </w:pPr>
      <w:r>
        <w:rPr>
          <w:b/>
          <w:bCs/>
        </w:rPr>
        <w:t xml:space="preserve">Спецификация поставляемого товара</w:t>
      </w:r>
      <w:r>
        <w:rPr>
          <w:b/>
          <w:bCs/>
        </w:rPr>
      </w:r>
      <w:r>
        <w:rPr>
          <w:b/>
          <w:bCs/>
        </w:rP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40"/>
        <w:gridCol w:w="2828"/>
        <w:gridCol w:w="2835"/>
        <w:gridCol w:w="2976"/>
        <w:gridCol w:w="1559"/>
        <w:gridCol w:w="2551"/>
        <w:gridCol w:w="1417"/>
      </w:tblGrid>
      <w:tr>
        <w:tblPrEx/>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br/>
              <w:t xml:space="preserve"> п/п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Наименование поставляемого товара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Наименование характеристики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Значение характеристики</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Единица измерения</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хар-ки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Единица</w:t>
            </w:r>
            <w:r/>
          </w:p>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измерения поставляемого товара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Количество</w:t>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vMerge w:val="restart"/>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8" w:type="dxa"/>
            <w:vAlign w:val="center"/>
            <w:vMerge w:val="restart"/>
            <w:textDirection w:val="lrTb"/>
            <w:noWrap w:val="false"/>
          </w:tcPr>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Кондиционер бытовой</w:t>
            </w:r>
            <w:r/>
          </w:p>
          <w:p>
            <w:pPr>
              <w:ind w:left="0" w:right="0" w:firstLine="0"/>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Код позиции КТРУ: 28.25.12.130-00000010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Вид кондиционера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сплит-система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vMerge w:val="restart"/>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штука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vMerge w:val="restart"/>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Инверторный тип кондиционера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нет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Режим работы кондиционера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охлаждение, обогрев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Тип внутреннего блока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настенный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Вид блока кондиционера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внутренний, наружный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Класс энергоэффективности (в режиме охлаждения)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не ниже 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Мощность в режиме охлаждения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&gt;= 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кВт</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Мощность в режиме нагрева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&gt;= 5,5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кВт</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Наличие антибактериального фильтра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нет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Наличие системы антиобледенения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нет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Наличие фильтров тонкой очистки воздуха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да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Дополнительные функции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Режим автоматической поддержки температуры, Режим вентиляции (без охлаждения и обогрева), Режим осушения, Устройство зимнего пуска кондиционера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Наличие фильтров грубой очистки воздуха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да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Класс энергоэффективности (в режиме нагрева)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не ниже 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57"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Наличие пульта дистанционного управления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да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vMerge w:val="continue"/>
            <w:textDirection w:val="lrTb"/>
            <w:noWrap w:val="false"/>
          </w:tcPr>
          <w:p>
            <w:r/>
            <w:r/>
          </w:p>
        </w:tc>
      </w:tr>
      <w:tr>
        <w:tblPrEx/>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98" w:type="dxa"/>
            <w:vAlign w:val="center"/>
            <w:textDirection w:val="lrTb"/>
            <w:noWrap w:val="false"/>
          </w:tcPr>
          <w:p>
            <w:pPr>
              <w:ind w:left="0" w:right="0" w:firstLine="0"/>
              <w:jc w:val="righ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ИТОГО: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штука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r>
    </w:tbl>
    <w:p>
      <w:pPr>
        <w:pStyle w:val="924"/>
        <w:ind w:firstLine="567"/>
        <w:rPr>
          <w:b/>
        </w:rPr>
      </w:pPr>
      <w:r>
        <w:rPr>
          <w:b/>
        </w:rPr>
      </w:r>
      <w:r>
        <w:rPr>
          <w:b/>
        </w:rPr>
      </w:r>
      <w:r>
        <w:rPr>
          <w:b/>
        </w:rP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Требования к упаковке товара:</w:t>
      </w:r>
      <w:r>
        <w:rPr>
          <w:rFonts w:ascii="Times New Roman" w:hAnsi="Times New Roman" w:eastAsia="Times New Roman" w:cs="Times New Roman"/>
          <w:color w:val="000000"/>
          <w:sz w:val="24"/>
        </w:rPr>
        <w:t xml:space="preserve"> товар поставляется в упаковке производителя, отвечающей требованиям действующего законодательства Российской Федерации, обеспечивающей защиту товара от повреждения, порчи во время транспортировки, погрузочных работ и хранения.</w:t>
      </w: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Товар должна иметь техническое описание, выпущенное производителем на русском или английском языке. Все необходимые Руководства пользователя должны быть на русском языке.</w:t>
      </w:r>
      <w:r/>
    </w:p>
    <w:p>
      <w:pPr>
        <w:pStyle w:val="924"/>
        <w:ind w:firstLine="567"/>
        <w:rPr>
          <w:highlight w:val="none"/>
        </w:rPr>
      </w:pPr>
      <w:r>
        <w:rPr>
          <w:rFonts w:ascii="Times New Roman" w:hAnsi="Times New Roman" w:eastAsia="Times New Roman" w:cs="Times New Roman"/>
          <w:color w:val="000000"/>
          <w:sz w:val="24"/>
        </w:rPr>
        <w:t xml:space="preserve">Во всех случаях недопустимо предоставление технической документации на поставляемые товары и Руководства пользователя в виде ксерокопий.</w:t>
      </w:r>
      <w:r>
        <w:rPr>
          <w:highlight w:val="none"/>
        </w:rPr>
      </w:r>
    </w:p>
    <w:p>
      <w:pPr>
        <w:ind w:firstLine="567"/>
      </w:pPr>
      <w:r>
        <w:rPr>
          <w:highlight w:val="none"/>
        </w:rPr>
      </w:r>
      <w:r>
        <w:rPr>
          <w:highlight w:val="none"/>
        </w:rPr>
      </w:r>
      <w:r/>
    </w:p>
    <w:p>
      <w:pPr>
        <w:tabs>
          <w:tab w:val="left" w:pos="1122" w:leader="none"/>
        </w:tabs>
      </w:pPr>
      <w:r/>
      <w:r/>
    </w:p>
    <w:p>
      <w:pPr>
        <w:pStyle w:val="924"/>
        <w:tabs>
          <w:tab w:val="left" w:pos="1122" w:leader="none"/>
        </w:tabs>
      </w:pPr>
      <w:r/>
      <w:r/>
    </w:p>
    <w:tbl>
      <w:tblPr>
        <w:tblW w:w="10462" w:type="dxa"/>
        <w:tblInd w:w="0" w:type="dxa"/>
        <w:tblLayout w:type="autofit"/>
        <w:tblCellMar>
          <w:left w:w="108" w:type="dxa"/>
          <w:top w:w="0" w:type="dxa"/>
          <w:right w:w="108" w:type="dxa"/>
          <w:bottom w:w="0" w:type="dxa"/>
        </w:tblCellMar>
        <w:tblLook w:val="04A0" w:firstRow="1" w:lastRow="0" w:firstColumn="1" w:lastColumn="0" w:noHBand="0" w:noVBand="1"/>
      </w:tblPr>
      <w:tblGrid>
        <w:gridCol w:w="4814"/>
        <w:gridCol w:w="5648"/>
      </w:tblGrid>
      <w:tr>
        <w:tblPrEx/>
        <w:trPr>
          <w:trHeight w:val="128"/>
        </w:trPr>
        <w:tc>
          <w:tcPr>
            <w:tcBorders>
              <w:top w:val="none" w:color="000000" w:sz="0" w:space="0"/>
              <w:left w:val="none" w:color="000000" w:sz="0" w:space="0"/>
              <w:bottom w:val="none" w:color="000000" w:sz="0" w:space="0"/>
              <w:right w:val="none" w:color="000000" w:sz="0" w:space="0"/>
            </w:tcBorders>
            <w:tcW w:w="4814" w:type="dxa"/>
            <w:vAlign w:val="top"/>
            <w:textDirection w:val="lrTb"/>
            <w:noWrap w:val="false"/>
          </w:tcPr>
          <w:p>
            <w:pPr>
              <w:pStyle w:val="924"/>
              <w:widowControl w:val="off"/>
            </w:pPr>
            <w:r>
              <w:rPr>
                <w:b/>
              </w:rPr>
              <w:t xml:space="preserve">                             </w:t>
            </w:r>
            <w:r>
              <w:rPr>
                <w:b/>
              </w:rPr>
              <w:t xml:space="preserve">Заказчик</w:t>
            </w:r>
            <w:r/>
          </w:p>
        </w:tc>
        <w:tc>
          <w:tcPr>
            <w:tcBorders>
              <w:top w:val="none" w:color="000000" w:sz="0" w:space="0"/>
              <w:left w:val="none" w:color="000000" w:sz="0" w:space="0"/>
              <w:bottom w:val="none" w:color="000000" w:sz="0" w:space="0"/>
              <w:right w:val="none" w:color="000000" w:sz="0" w:space="0"/>
            </w:tcBorders>
            <w:tcW w:w="5648" w:type="dxa"/>
            <w:vAlign w:val="top"/>
            <w:textDirection w:val="lrTb"/>
            <w:noWrap w:val="false"/>
          </w:tcPr>
          <w:p>
            <w:pPr>
              <w:pStyle w:val="924"/>
              <w:ind w:left="1975"/>
              <w:jc w:val="center"/>
              <w:widowControl w:val="off"/>
            </w:pPr>
            <w:r>
              <w:rPr>
                <w:b/>
              </w:rPr>
              <w:t xml:space="preserve">Поставщик</w:t>
            </w:r>
            <w:r/>
          </w:p>
        </w:tc>
      </w:tr>
      <w:tr>
        <w:tblPrEx/>
        <w:trPr>
          <w:trHeight w:val="1377"/>
        </w:trPr>
        <w:tc>
          <w:tcPr>
            <w:tcBorders>
              <w:top w:val="none" w:color="000000" w:sz="0" w:space="0"/>
              <w:left w:val="none" w:color="000000" w:sz="0" w:space="0"/>
              <w:bottom w:val="none" w:color="000000" w:sz="0" w:space="0"/>
              <w:right w:val="none" w:color="000000" w:sz="0" w:space="0"/>
            </w:tcBorders>
            <w:tcW w:w="4814" w:type="dxa"/>
            <w:vAlign w:val="top"/>
            <w:textDirection w:val="lrTb"/>
            <w:noWrap w:val="false"/>
          </w:tcPr>
          <w:p>
            <w:pPr>
              <w:pStyle w:val="924"/>
              <w:jc w:val="left"/>
              <w:shd w:val="clear" w:color="auto" w:fill="ffffff"/>
              <w:rPr>
                <w:color w:val="000000"/>
              </w:rPr>
            </w:pPr>
            <w:r>
              <w:rPr>
                <w:color w:val="000000"/>
              </w:rPr>
              <w:t xml:space="preserve">Заместитель начальника Межрегионального филиала Федерального казенного учреждения</w:t>
            </w:r>
            <w:r>
              <w:rPr>
                <w:color w:val="000000"/>
              </w:rPr>
              <w:t xml:space="preserve"> </w:t>
            </w:r>
            <w:r>
              <w:rPr>
                <w:color w:val="000000"/>
              </w:rPr>
              <w:t xml:space="preserve">«</w:t>
            </w:r>
            <w:r>
              <w:t xml:space="preserve">Центр по обеспечению деятельности Казначейства России</w:t>
            </w:r>
            <w:r>
              <w:rPr>
                <w:color w:val="000000"/>
              </w:rPr>
              <w:t xml:space="preserve">» </w:t>
            </w:r>
            <w:r>
              <w:rPr>
                <w:color w:val="000000"/>
              </w:rPr>
            </w:r>
            <w:r>
              <w:rPr>
                <w:color w:val="000000"/>
              </w:rPr>
            </w:r>
          </w:p>
          <w:p>
            <w:pPr>
              <w:pStyle w:val="924"/>
              <w:jc w:val="left"/>
              <w:widowControl w:val="off"/>
              <w:rPr>
                <w:color w:val="000000"/>
              </w:rPr>
            </w:pPr>
            <w:r>
              <w:rPr>
                <w:color w:val="000000"/>
              </w:rPr>
              <w:t xml:space="preserve">в г. Владимире</w:t>
            </w:r>
            <w:r>
              <w:rPr>
                <w:color w:val="000000"/>
              </w:rPr>
            </w:r>
            <w:r>
              <w:rPr>
                <w:color w:val="000000"/>
              </w:rPr>
            </w:r>
          </w:p>
          <w:p>
            <w:pPr>
              <w:pStyle w:val="924"/>
              <w:widowControl w:val="off"/>
            </w:pPr>
            <w:r>
              <w:t xml:space="preserve">__________________</w:t>
            </w:r>
            <w:r>
              <w:t xml:space="preserve"> В.В. Ханбабаева</w:t>
            </w:r>
            <w:r/>
          </w:p>
        </w:tc>
        <w:tc>
          <w:tcPr>
            <w:tcBorders>
              <w:top w:val="none" w:color="000000" w:sz="0" w:space="0"/>
              <w:left w:val="none" w:color="000000" w:sz="0" w:space="0"/>
              <w:bottom w:val="none" w:color="000000" w:sz="0" w:space="0"/>
              <w:right w:val="none" w:color="000000" w:sz="0" w:space="0"/>
            </w:tcBorders>
            <w:tcW w:w="5648" w:type="dxa"/>
            <w:vAlign w:val="top"/>
            <w:textDirection w:val="lrTb"/>
            <w:noWrap w:val="false"/>
          </w:tcPr>
          <w:p>
            <w:pPr>
              <w:pStyle w:val="924"/>
              <w:widowControl w:val="off"/>
            </w:pPr>
            <w:r/>
            <w:r/>
          </w:p>
        </w:tc>
      </w:tr>
    </w:tbl>
    <w:p>
      <w:pPr>
        <w:pStyle w:val="924"/>
        <w:tabs>
          <w:tab w:val="left" w:pos="1122" w:leader="none"/>
        </w:tabs>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3" o:title=""/>
              </v:shape>
            </w:pict>
          </mc:Fallback>
        </mc:AlternateContent>
      </w:r>
      <w:r>
        <w:rPr>
          <w:vanish/>
        </w:rPr>
      </w:r>
      <w:r>
        <w:rPr>
          <w:vanish/>
        </w:rPr>
      </w:r>
    </w:p>
    <w:sectPr>
      <w:footnotePr/>
      <w:endnotePr/>
      <w:type w:val="nextPage"/>
      <w:pgSz w:w="16838" w:h="11906" w:orient="landscape"/>
      <w:pgMar w:top="1134" w:right="1134" w:bottom="567" w:left="1134" w:header="709" w:footer="4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Tahoma">
    <w:panose1 w:val="020B0604030504040204"/>
  </w:font>
  <w:font w:name="MS Mincho">
    <w:panose1 w:val="02020603050405090304"/>
  </w:font>
  <w:font w:name="Cambria">
    <w:panose1 w:val="02040803050406030204"/>
  </w:font>
  <w:font w:name="Monotype Corsiva">
    <w:panose1 w:val="02000000000000000000"/>
  </w:font>
  <w:font w:name="Arial Narrow">
    <w:panose1 w:val="020B0604020202020204"/>
  </w:font>
  <w:font w:name="Times New Roman">
    <w:panose1 w:val="02020603050405020304"/>
  </w:font>
  <w:font w:name="MS Reference Sans Serif">
    <w:panose1 w:val="020B06040305040402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fldChar w:fldCharType="begin"/>
    </w:r>
    <w:r>
      <w:instrText xml:space="preserve"> PAGE   \* MERGEFORMAT </w:instrText>
    </w:r>
    <w:r>
      <w:fldChar w:fldCharType="separate"/>
    </w:r>
    <w:r>
      <w:t xml:space="preserve">9</w:t>
    </w:r>
    <w:r>
      <w:fldChar w:fldCharType="end"/>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fldChar w:fldCharType="begin"/>
    </w:r>
    <w: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9"/>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1"/>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77"/>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6"/>
      <w:isLgl w:val="false"/>
      <w:suff w:val="tab"/>
      <w:lvlText w:val=""/>
      <w:lvlJc w:val="left"/>
      <w:pPr>
        <w:ind w:left="1209" w:hanging="360"/>
        <w:tabs>
          <w:tab w:val="num" w:pos="1209" w:leader="none"/>
        </w:tabs>
      </w:pPr>
      <w:rPr>
        <w:rFonts w:ascii="Symbol" w:hAnsi="Symbol"/>
      </w:rPr>
    </w:lvl>
    <w:lvl w:ilvl="1">
      <w:start w:val="1"/>
      <w:numFmt w:val="bullet"/>
      <w:pStyle w:val="109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75"/>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57"/>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78"/>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0">
    <w:multiLevelType w:val="hybridMultilevel"/>
    <w:lvl w:ilvl="0">
      <w:start w:val="1324"/>
      <w:numFmt w:val="decimal"/>
      <w:isLgl w:val="false"/>
      <w:suff w:val="tab"/>
      <w:lvlText w:val="%1"/>
      <w:lvlJc w:val="left"/>
      <w:pPr>
        <w:ind w:left="5300" w:hanging="480"/>
      </w:pPr>
    </w:lvl>
    <w:lvl w:ilvl="1">
      <w:start w:val="1"/>
      <w:numFmt w:val="lowerLetter"/>
      <w:isLgl w:val="false"/>
      <w:suff w:val="tab"/>
      <w:lvlText w:val="%2."/>
      <w:lvlJc w:val="left"/>
      <w:pPr>
        <w:ind w:left="5900" w:hanging="360"/>
      </w:pPr>
    </w:lvl>
    <w:lvl w:ilvl="2">
      <w:start w:val="1"/>
      <w:numFmt w:val="lowerRoman"/>
      <w:isLgl w:val="false"/>
      <w:suff w:val="tab"/>
      <w:lvlText w:val="%3."/>
      <w:lvlJc w:val="right"/>
      <w:pPr>
        <w:ind w:left="6620" w:hanging="180"/>
      </w:pPr>
    </w:lvl>
    <w:lvl w:ilvl="3">
      <w:start w:val="1"/>
      <w:numFmt w:val="decimal"/>
      <w:isLgl w:val="false"/>
      <w:suff w:val="tab"/>
      <w:lvlText w:val="%4."/>
      <w:lvlJc w:val="left"/>
      <w:pPr>
        <w:ind w:left="7340" w:hanging="360"/>
      </w:pPr>
    </w:lvl>
    <w:lvl w:ilvl="4">
      <w:start w:val="1"/>
      <w:numFmt w:val="lowerLetter"/>
      <w:isLgl w:val="false"/>
      <w:suff w:val="tab"/>
      <w:lvlText w:val="%5."/>
      <w:lvlJc w:val="left"/>
      <w:pPr>
        <w:ind w:left="8060" w:hanging="360"/>
      </w:pPr>
    </w:lvl>
    <w:lvl w:ilvl="5">
      <w:start w:val="1"/>
      <w:numFmt w:val="lowerRoman"/>
      <w:isLgl w:val="false"/>
      <w:suff w:val="tab"/>
      <w:lvlText w:val="%6."/>
      <w:lvlJc w:val="right"/>
      <w:pPr>
        <w:ind w:left="8780" w:hanging="180"/>
      </w:pPr>
    </w:lvl>
    <w:lvl w:ilvl="6">
      <w:start w:val="1"/>
      <w:numFmt w:val="decimal"/>
      <w:isLgl w:val="false"/>
      <w:suff w:val="tab"/>
      <w:lvlText w:val="%7."/>
      <w:lvlJc w:val="left"/>
      <w:pPr>
        <w:ind w:left="9500" w:hanging="360"/>
      </w:pPr>
    </w:lvl>
    <w:lvl w:ilvl="7">
      <w:start w:val="1"/>
      <w:numFmt w:val="lowerLetter"/>
      <w:isLgl w:val="false"/>
      <w:suff w:val="tab"/>
      <w:lvlText w:val="%8."/>
      <w:lvlJc w:val="left"/>
      <w:pPr>
        <w:ind w:left="10220" w:hanging="360"/>
      </w:pPr>
    </w:lvl>
    <w:lvl w:ilvl="8">
      <w:start w:val="1"/>
      <w:numFmt w:val="lowerRoman"/>
      <w:isLgl w:val="false"/>
      <w:suff w:val="tab"/>
      <w:lvlText w:val="%9."/>
      <w:lvlJc w:val="right"/>
      <w:pPr>
        <w:ind w:left="10940" w:hanging="180"/>
      </w:pPr>
    </w:lvl>
  </w:abstractNum>
  <w:abstractNum w:abstractNumId="11">
    <w:multiLevelType w:val="hybridMultilevel"/>
    <w:lvl w:ilvl="0">
      <w:start w:val="1"/>
      <w:numFmt w:val="decimal"/>
      <w:pStyle w:val="985"/>
      <w:isLgl w:val="false"/>
      <w:suff w:val="tab"/>
      <w:lvlText w:val="%1."/>
      <w:lvlJc w:val="left"/>
      <w:pPr>
        <w:ind w:left="567" w:hanging="567"/>
        <w:tabs>
          <w:tab w:val="num" w:pos="567" w:leader="none"/>
        </w:tabs>
      </w:pPr>
    </w:lvl>
    <w:lvl w:ilvl="1">
      <w:start w:val="1"/>
      <w:numFmt w:val="decimal"/>
      <w:pStyle w:val="972"/>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2">
    <w:multiLevelType w:val="hybridMultilevel"/>
    <w:lvl w:ilvl="0">
      <w:start w:val="1"/>
      <w:numFmt w:val="decimal"/>
      <w:pStyle w:val="98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01"/>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5">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6">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1080"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7">
    <w:multiLevelType w:val="hybridMultilevel"/>
    <w:lvl w:ilvl="0">
      <w:start w:val="1"/>
      <w:numFmt w:val="decimal"/>
      <w:pStyle w:val="1107"/>
      <w:isLgl w:val="false"/>
      <w:suff w:val="space"/>
      <w:lvlText w:val="%1"/>
      <w:lvlJc w:val="center"/>
      <w:pPr>
        <w:ind w:left="1066" w:firstLine="0"/>
      </w:pPr>
    </w:lvl>
    <w:lvl w:ilvl="1">
      <w:start w:val="1"/>
      <w:numFmt w:val="decimal"/>
      <w:pStyle w:val="1105"/>
      <w:isLgl w:val="false"/>
      <w:suff w:val="space"/>
      <w:lvlText w:val="%1.%2"/>
      <w:lvlJc w:val="left"/>
      <w:pPr>
        <w:ind w:left="1066" w:firstLine="708"/>
      </w:pPr>
    </w:lvl>
    <w:lvl w:ilvl="2">
      <w:start w:val="1"/>
      <w:numFmt w:val="decimal"/>
      <w:pStyle w:val="1106"/>
      <w:isLgl w:val="false"/>
      <w:suff w:val="space"/>
      <w:lvlText w:val="%1.%2.%3"/>
      <w:lvlJc w:val="left"/>
      <w:pPr>
        <w:ind w:left="1066" w:firstLine="708"/>
      </w:pPr>
    </w:lvl>
    <w:lvl w:ilvl="3">
      <w:start w:val="1"/>
      <w:numFmt w:val="decimal"/>
      <w:pStyle w:val="1104"/>
      <w:isLgl w:val="false"/>
      <w:suff w:val="space"/>
      <w:lvlText w:val="%1.%2.%3.%4"/>
      <w:lvlJc w:val="left"/>
      <w:pPr>
        <w:ind w:left="1066" w:firstLine="708"/>
      </w:pPr>
    </w:lvl>
    <w:lvl w:ilvl="4">
      <w:start w:val="1"/>
      <w:numFmt w:val="decimal"/>
      <w:pStyle w:val="1103"/>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18">
    <w:multiLevelType w:val="hybridMultilevel"/>
    <w:lvl w:ilvl="0">
      <w:start w:val="1"/>
      <w:numFmt w:val="thaiNumbers"/>
      <w:pStyle w:val="1035"/>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19">
    <w:multiLevelType w:val="hybridMultilevel"/>
    <w:lvl w:ilvl="0">
      <w:start w:val="1"/>
      <w:numFmt w:val="decimal"/>
      <w:pStyle w:val="992"/>
      <w:isLgl w:val="false"/>
      <w:suff w:val="tab"/>
      <w:lvlText w:val="%1."/>
      <w:lvlJc w:val="left"/>
      <w:pPr>
        <w:ind w:left="360" w:hanging="360"/>
        <w:tabs>
          <w:tab w:val="num" w:pos="360" w:leader="none"/>
        </w:tabs>
      </w:pPr>
    </w:lvl>
    <w:lvl w:ilvl="1">
      <w:start w:val="1"/>
      <w:numFmt w:val="decimal"/>
      <w:pStyle w:val="993"/>
      <w:isLgl w:val="false"/>
      <w:suff w:val="tab"/>
      <w:lvlText w:val="%1.%2."/>
      <w:lvlJc w:val="left"/>
      <w:pPr>
        <w:ind w:left="972" w:hanging="432"/>
        <w:tabs>
          <w:tab w:val="num" w:pos="972" w:leader="none"/>
        </w:tabs>
      </w:pPr>
      <w:rPr>
        <w:b/>
      </w:rPr>
    </w:lvl>
    <w:lvl w:ilvl="2">
      <w:start w:val="1"/>
      <w:numFmt w:val="decimal"/>
      <w:pStyle w:val="1022"/>
      <w:isLgl w:val="false"/>
      <w:suff w:val="tab"/>
      <w:lvlText w:val="%1.%2.%3."/>
      <w:lvlJc w:val="left"/>
      <w:pPr>
        <w:ind w:left="1224" w:hanging="504"/>
        <w:tabs>
          <w:tab w:val="num" w:pos="1440" w:leader="none"/>
        </w:tabs>
      </w:pPr>
    </w:lvl>
    <w:lvl w:ilvl="3">
      <w:start w:val="1"/>
      <w:numFmt w:val="decimal"/>
      <w:pStyle w:val="1033"/>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0">
    <w:multiLevelType w:val="hybridMultilevel"/>
    <w:lvl w:ilvl="0">
      <w:start w:val="1"/>
      <w:numFmt w:val="decimal"/>
      <w:pStyle w:val="1119"/>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120"/>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121"/>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1">
    <w:multiLevelType w:val="hybridMultilevel"/>
    <w:lvl w:ilvl="0">
      <w:start w:val="1"/>
      <w:numFmt w:val="decimal"/>
      <w:isLgl w:val="false"/>
      <w:suff w:val="tab"/>
      <w:lvlText w:val="%1."/>
      <w:lvlJc w:val="left"/>
      <w:pPr>
        <w:ind w:left="1069" w:hanging="360"/>
      </w:pPr>
      <w:rPr>
        <w:b/>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2">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024"/>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3">
    <w:multiLevelType w:val="hybridMultilevel"/>
    <w:lvl w:ilvl="0">
      <w:start w:val="1"/>
      <w:numFmt w:val="decimal"/>
      <w:pStyle w:val="1110"/>
      <w:isLgl w:val="false"/>
      <w:suff w:val="tab"/>
      <w:lvlText w:val="%1."/>
      <w:lvlJc w:val="left"/>
      <w:pPr>
        <w:ind w:left="851" w:hanging="851"/>
        <w:tabs>
          <w:tab w:val="num" w:pos="851" w:leader="none"/>
        </w:tabs>
      </w:pPr>
    </w:lvl>
    <w:lvl w:ilvl="1">
      <w:start w:val="1"/>
      <w:numFmt w:val="decimal"/>
      <w:pStyle w:val="1111"/>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113"/>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4">
    <w:multiLevelType w:val="hybridMultilevel"/>
    <w:lvl w:ilvl="0">
      <w:start w:val="1"/>
      <w:numFmt w:val="decimal"/>
      <w:isLgl w:val="false"/>
      <w:suff w:val="tab"/>
      <w:lvlText w:val="%1."/>
      <w:lvlJc w:val="left"/>
      <w:pPr>
        <w:ind w:left="480" w:hanging="480"/>
      </w:pPr>
    </w:lvl>
    <w:lvl w:ilvl="1">
      <w:start w:val="1"/>
      <w:numFmt w:val="decimal"/>
      <w:isLgl w:val="false"/>
      <w:suff w:val="tab"/>
      <w:lvlText w:val="%1.%2."/>
      <w:lvlJc w:val="left"/>
      <w:pPr>
        <w:ind w:left="1189" w:hanging="48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5">
    <w:multiLevelType w:val="hybridMultilevel"/>
    <w:lvl w:ilvl="0">
      <w:start w:val="1324"/>
      <w:numFmt w:val="decimal"/>
      <w:isLgl w:val="false"/>
      <w:suff w:val="tab"/>
      <w:lvlText w:val="%1"/>
      <w:lvlJc w:val="left"/>
      <w:pPr>
        <w:ind w:left="5158" w:hanging="480"/>
      </w:pPr>
    </w:lvl>
    <w:lvl w:ilvl="1">
      <w:start w:val="1"/>
      <w:numFmt w:val="lowerLetter"/>
      <w:isLgl w:val="false"/>
      <w:suff w:val="tab"/>
      <w:lvlText w:val="%2."/>
      <w:lvlJc w:val="left"/>
      <w:pPr>
        <w:ind w:left="5758" w:hanging="360"/>
      </w:pPr>
    </w:lvl>
    <w:lvl w:ilvl="2">
      <w:start w:val="1"/>
      <w:numFmt w:val="lowerRoman"/>
      <w:isLgl w:val="false"/>
      <w:suff w:val="tab"/>
      <w:lvlText w:val="%3."/>
      <w:lvlJc w:val="right"/>
      <w:pPr>
        <w:ind w:left="6478" w:hanging="180"/>
      </w:pPr>
    </w:lvl>
    <w:lvl w:ilvl="3">
      <w:start w:val="1"/>
      <w:numFmt w:val="decimal"/>
      <w:isLgl w:val="false"/>
      <w:suff w:val="tab"/>
      <w:lvlText w:val="%4."/>
      <w:lvlJc w:val="left"/>
      <w:pPr>
        <w:ind w:left="7198" w:hanging="360"/>
      </w:pPr>
    </w:lvl>
    <w:lvl w:ilvl="4">
      <w:start w:val="1"/>
      <w:numFmt w:val="lowerLetter"/>
      <w:isLgl w:val="false"/>
      <w:suff w:val="tab"/>
      <w:lvlText w:val="%5."/>
      <w:lvlJc w:val="left"/>
      <w:pPr>
        <w:ind w:left="7918" w:hanging="360"/>
      </w:pPr>
    </w:lvl>
    <w:lvl w:ilvl="5">
      <w:start w:val="1"/>
      <w:numFmt w:val="lowerRoman"/>
      <w:isLgl w:val="false"/>
      <w:suff w:val="tab"/>
      <w:lvlText w:val="%6."/>
      <w:lvlJc w:val="right"/>
      <w:pPr>
        <w:ind w:left="8638" w:hanging="180"/>
      </w:pPr>
    </w:lvl>
    <w:lvl w:ilvl="6">
      <w:start w:val="1"/>
      <w:numFmt w:val="decimal"/>
      <w:isLgl w:val="false"/>
      <w:suff w:val="tab"/>
      <w:lvlText w:val="%7."/>
      <w:lvlJc w:val="left"/>
      <w:pPr>
        <w:ind w:left="9358" w:hanging="360"/>
      </w:pPr>
    </w:lvl>
    <w:lvl w:ilvl="7">
      <w:start w:val="1"/>
      <w:numFmt w:val="lowerLetter"/>
      <w:isLgl w:val="false"/>
      <w:suff w:val="tab"/>
      <w:lvlText w:val="%8."/>
      <w:lvlJc w:val="left"/>
      <w:pPr>
        <w:ind w:left="10078" w:hanging="360"/>
      </w:pPr>
    </w:lvl>
    <w:lvl w:ilvl="8">
      <w:start w:val="1"/>
      <w:numFmt w:val="lowerRoman"/>
      <w:isLgl w:val="false"/>
      <w:suff w:val="tab"/>
      <w:lvlText w:val="%9."/>
      <w:lvlJc w:val="right"/>
      <w:pPr>
        <w:ind w:left="10798" w:hanging="180"/>
      </w:pPr>
    </w:lvl>
  </w:abstractNum>
  <w:abstractNum w:abstractNumId="26">
    <w:multiLevelType w:val="hybridMultilevel"/>
    <w:lvl w:ilvl="0">
      <w:start w:val="1"/>
      <w:numFmt w:val="decimal"/>
      <w:pStyle w:val="104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948"/>
      <w:isLgl w:val="false"/>
      <w:suff w:val="tab"/>
      <w:lvlText w:val="%1."/>
      <w:lvlJc w:val="left"/>
      <w:pPr>
        <w:ind w:left="432" w:hanging="432"/>
        <w:tabs>
          <w:tab w:val="num" w:pos="432" w:leader="none"/>
        </w:tabs>
      </w:pPr>
    </w:lvl>
    <w:lvl w:ilvl="1">
      <w:start w:val="1"/>
      <w:numFmt w:val="decimal"/>
      <w:pStyle w:val="949"/>
      <w:isLgl w:val="false"/>
      <w:suff w:val="tab"/>
      <w:lvlText w:val="%1.%2"/>
      <w:lvlJc w:val="left"/>
      <w:pPr>
        <w:ind w:left="576" w:hanging="576"/>
        <w:tabs>
          <w:tab w:val="num" w:pos="576" w:leader="none"/>
        </w:tabs>
      </w:pPr>
    </w:lvl>
    <w:lvl w:ilvl="2">
      <w:start w:val="1"/>
      <w:numFmt w:val="decimal"/>
      <w:pStyle w:val="951"/>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8">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982"/>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29">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112"/>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num w:numId="1">
    <w:abstractNumId w:val="3"/>
  </w:num>
  <w:num w:numId="2">
    <w:abstractNumId w:val="27"/>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28"/>
  </w:num>
  <w:num w:numId="12">
    <w:abstractNumId w:val="12"/>
  </w:num>
  <w:num w:numId="13">
    <w:abstractNumId w:val="11"/>
  </w:num>
  <w:num w:numId="14">
    <w:abstractNumId w:val="19"/>
  </w:num>
  <w:num w:numId="15">
    <w:abstractNumId w:val="22"/>
  </w:num>
  <w:num w:numId="16">
    <w:abstractNumId w:val="18"/>
  </w:num>
  <w:num w:numId="17">
    <w:abstractNumId w:val="26"/>
  </w:num>
  <w:num w:numId="18">
    <w:abstractNumId w:val="13"/>
  </w:num>
  <w:num w:numId="19">
    <w:abstractNumId w:val="17"/>
  </w:num>
  <w:num w:numId="20">
    <w:abstractNumId w:val="23"/>
  </w:num>
  <w:num w:numId="21">
    <w:abstractNumId w:val="29"/>
  </w:num>
  <w:num w:numId="22">
    <w:abstractNumId w:val="20"/>
  </w:num>
  <w:num w:numId="2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4"/>
  </w:num>
  <w:num w:numId="27">
    <w:abstractNumId w:val="25"/>
  </w:num>
  <w:num w:numId="28">
    <w:abstractNumId w:val="10"/>
  </w:num>
  <w:num w:numId="29">
    <w:abstractNumId w:val="21"/>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4"/>
    <w:next w:val="924"/>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4"/>
    <w:next w:val="924"/>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4"/>
    <w:next w:val="924"/>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4"/>
    <w:next w:val="924"/>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4"/>
    <w:next w:val="924"/>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4"/>
    <w:next w:val="924"/>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4"/>
    <w:next w:val="924"/>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4"/>
    <w:next w:val="924"/>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4"/>
    <w:next w:val="924"/>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7"/>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link w:val="779"/>
    <w:uiPriority w:val="35"/>
    <w:semiHidden/>
    <w:unhideWhenUsed/>
    <w:qFormat/>
    <w:pPr>
      <w:spacing w:line="276" w:lineRule="auto"/>
    </w:pPr>
    <w:rPr>
      <w:b/>
      <w:bCs/>
      <w:color w:val="4f81bd" w:themeColor="accent1"/>
      <w:sz w:val="18"/>
      <w:szCs w:val="18"/>
    </w:rPr>
  </w:style>
  <w:style w:type="character" w:styleId="779">
    <w:name w:val="Caption Char"/>
    <w:link w:val="778"/>
    <w:uiPriority w:val="35"/>
    <w:rPr>
      <w:b/>
      <w:bCs/>
      <w:color w:val="4f81bd" w:themeColor="accent1"/>
      <w:sz w:val="18"/>
      <w:szCs w:val="18"/>
    </w:rPr>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pPr>
    <w:rPr>
      <w:sz w:val="24"/>
      <w:szCs w:val="24"/>
      <w:lang w:val="ru-RU" w:eastAsia="ru-RU" w:bidi="ar-SA"/>
    </w:rPr>
  </w:style>
  <w:style w:type="paragraph" w:styleId="925">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924"/>
    <w:next w:val="924"/>
    <w:link w:val="937"/>
    <w:uiPriority w:val="99"/>
    <w:qFormat/>
    <w:pPr>
      <w:jc w:val="center"/>
      <w:keepNext/>
      <w:spacing w:before="240" w:after="60"/>
      <w:outlineLvl w:val="0"/>
    </w:pPr>
    <w:rPr>
      <w:b/>
      <w:sz w:val="36"/>
      <w:szCs w:val="20"/>
      <w:lang w:val="en-US" w:eastAsia="en-US"/>
    </w:rPr>
  </w:style>
  <w:style w:type="paragraph" w:styleId="926">
    <w:name w:val="Заголовок 2"/>
    <w:basedOn w:val="924"/>
    <w:next w:val="924"/>
    <w:link w:val="938"/>
    <w:qFormat/>
    <w:pPr>
      <w:jc w:val="center"/>
      <w:keepNext/>
      <w:outlineLvl w:val="1"/>
    </w:pPr>
    <w:rPr>
      <w:b/>
      <w:bCs/>
      <w:lang w:val="en-US" w:eastAsia="en-US"/>
    </w:rPr>
  </w:style>
  <w:style w:type="paragraph" w:styleId="927">
    <w:name w:val="Заголовок 3"/>
    <w:basedOn w:val="924"/>
    <w:next w:val="924"/>
    <w:link w:val="939"/>
    <w:qFormat/>
    <w:pPr>
      <w:jc w:val="both"/>
      <w:keepNext/>
      <w:spacing w:before="240" w:after="60"/>
      <w:outlineLvl w:val="2"/>
    </w:pPr>
    <w:rPr>
      <w:rFonts w:ascii="Arial" w:hAnsi="Arial"/>
      <w:b/>
      <w:szCs w:val="20"/>
      <w:lang w:val="en-US" w:eastAsia="en-US"/>
    </w:rPr>
  </w:style>
  <w:style w:type="paragraph" w:styleId="928">
    <w:name w:val="Заголовок 4"/>
    <w:basedOn w:val="924"/>
    <w:next w:val="924"/>
    <w:link w:val="940"/>
    <w:qFormat/>
    <w:pPr>
      <w:jc w:val="both"/>
      <w:keepNext/>
      <w:spacing w:before="240" w:after="60"/>
      <w:outlineLvl w:val="3"/>
    </w:pPr>
    <w:rPr>
      <w:rFonts w:ascii="Arial" w:hAnsi="Arial"/>
      <w:szCs w:val="20"/>
      <w:lang w:val="en-US" w:eastAsia="en-US"/>
    </w:rPr>
  </w:style>
  <w:style w:type="paragraph" w:styleId="929">
    <w:name w:val="Заголовок 5"/>
    <w:basedOn w:val="924"/>
    <w:next w:val="924"/>
    <w:link w:val="941"/>
    <w:qFormat/>
    <w:pPr>
      <w:jc w:val="both"/>
      <w:spacing w:before="240" w:after="60"/>
      <w:outlineLvl w:val="4"/>
    </w:pPr>
    <w:rPr>
      <w:sz w:val="22"/>
      <w:szCs w:val="20"/>
      <w:lang w:val="en-US" w:eastAsia="en-US"/>
    </w:rPr>
  </w:style>
  <w:style w:type="paragraph" w:styleId="930">
    <w:name w:val="Заголовок 6"/>
    <w:basedOn w:val="924"/>
    <w:next w:val="924"/>
    <w:link w:val="942"/>
    <w:qFormat/>
    <w:pPr>
      <w:jc w:val="both"/>
      <w:spacing w:before="240" w:after="60"/>
      <w:outlineLvl w:val="5"/>
    </w:pPr>
    <w:rPr>
      <w:i/>
      <w:sz w:val="22"/>
      <w:szCs w:val="20"/>
      <w:lang w:val="en-US" w:eastAsia="en-US"/>
    </w:rPr>
  </w:style>
  <w:style w:type="paragraph" w:styleId="931">
    <w:name w:val="Заголовок 7"/>
    <w:basedOn w:val="924"/>
    <w:next w:val="924"/>
    <w:link w:val="943"/>
    <w:qFormat/>
    <w:pPr>
      <w:jc w:val="both"/>
      <w:spacing w:before="240" w:after="60"/>
      <w:outlineLvl w:val="6"/>
    </w:pPr>
    <w:rPr>
      <w:rFonts w:ascii="Arial" w:hAnsi="Arial"/>
      <w:sz w:val="20"/>
      <w:szCs w:val="20"/>
      <w:lang w:val="en-US" w:eastAsia="en-US"/>
    </w:rPr>
  </w:style>
  <w:style w:type="paragraph" w:styleId="932">
    <w:name w:val="Заголовок 8"/>
    <w:basedOn w:val="924"/>
    <w:next w:val="924"/>
    <w:link w:val="944"/>
    <w:qFormat/>
    <w:pPr>
      <w:jc w:val="both"/>
      <w:spacing w:before="240" w:after="60"/>
      <w:outlineLvl w:val="7"/>
    </w:pPr>
    <w:rPr>
      <w:rFonts w:ascii="Arial" w:hAnsi="Arial"/>
      <w:i/>
      <w:sz w:val="20"/>
      <w:szCs w:val="20"/>
      <w:lang w:val="en-US" w:eastAsia="en-US"/>
    </w:rPr>
  </w:style>
  <w:style w:type="paragraph" w:styleId="933">
    <w:name w:val="Заголовок 9"/>
    <w:basedOn w:val="924"/>
    <w:next w:val="924"/>
    <w:link w:val="945"/>
    <w:qFormat/>
    <w:pPr>
      <w:jc w:val="both"/>
      <w:spacing w:before="240" w:after="60"/>
      <w:outlineLvl w:val="8"/>
    </w:pPr>
    <w:rPr>
      <w:rFonts w:ascii="Arial" w:hAnsi="Arial"/>
      <w:b/>
      <w:i/>
      <w:sz w:val="18"/>
      <w:szCs w:val="20"/>
      <w:lang w:val="en-US" w:eastAsia="en-US"/>
    </w:rPr>
  </w:style>
  <w:style w:type="character" w:styleId="934">
    <w:name w:val="Основной шрифт абзаца"/>
    <w:next w:val="934"/>
    <w:link w:val="924"/>
    <w:uiPriority w:val="1"/>
    <w:unhideWhenUsed/>
  </w:style>
  <w:style w:type="table" w:styleId="935">
    <w:name w:val="Обычная таблица"/>
    <w:next w:val="935"/>
    <w:link w:val="924"/>
    <w:uiPriority w:val="99"/>
    <w:semiHidden/>
    <w:unhideWhenUsed/>
    <w:qFormat/>
    <w:tblPr/>
  </w:style>
  <w:style w:type="numbering" w:styleId="936">
    <w:name w:val="Нет списка"/>
    <w:next w:val="936"/>
    <w:link w:val="924"/>
    <w:uiPriority w:val="99"/>
    <w:semiHidden/>
    <w:unhideWhenUsed/>
  </w:style>
  <w:style w:type="character" w:styleId="937">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937"/>
    <w:link w:val="925"/>
    <w:uiPriority w:val="99"/>
    <w:rPr>
      <w:b/>
      <w:sz w:val="36"/>
    </w:rPr>
  </w:style>
  <w:style w:type="character" w:styleId="938">
    <w:name w:val="Заголовок 2 Знак"/>
    <w:next w:val="938"/>
    <w:link w:val="926"/>
    <w:rPr>
      <w:b/>
      <w:bCs/>
      <w:sz w:val="24"/>
      <w:szCs w:val="24"/>
    </w:rPr>
  </w:style>
  <w:style w:type="character" w:styleId="939">
    <w:name w:val="Заголовок 3 Знак1"/>
    <w:next w:val="939"/>
    <w:link w:val="927"/>
    <w:rPr>
      <w:rFonts w:ascii="Arial" w:hAnsi="Arial"/>
      <w:b/>
      <w:sz w:val="24"/>
    </w:rPr>
  </w:style>
  <w:style w:type="character" w:styleId="940">
    <w:name w:val="Заголовок 4 Знак"/>
    <w:next w:val="940"/>
    <w:link w:val="928"/>
    <w:rPr>
      <w:rFonts w:ascii="Arial" w:hAnsi="Arial"/>
      <w:sz w:val="24"/>
    </w:rPr>
  </w:style>
  <w:style w:type="character" w:styleId="941">
    <w:name w:val="Заголовок 5 Знак"/>
    <w:next w:val="941"/>
    <w:link w:val="929"/>
    <w:rPr>
      <w:sz w:val="22"/>
    </w:rPr>
  </w:style>
  <w:style w:type="character" w:styleId="942">
    <w:name w:val="Заголовок 6 Знак"/>
    <w:next w:val="942"/>
    <w:link w:val="930"/>
    <w:rPr>
      <w:i/>
      <w:sz w:val="22"/>
    </w:rPr>
  </w:style>
  <w:style w:type="character" w:styleId="943">
    <w:name w:val="Заголовок 7 Знак"/>
    <w:next w:val="943"/>
    <w:link w:val="931"/>
    <w:rPr>
      <w:rFonts w:ascii="Arial" w:hAnsi="Arial"/>
    </w:rPr>
  </w:style>
  <w:style w:type="character" w:styleId="944">
    <w:name w:val="Заголовок 8 Знак"/>
    <w:next w:val="944"/>
    <w:link w:val="932"/>
    <w:rPr>
      <w:rFonts w:ascii="Arial" w:hAnsi="Arial"/>
      <w:i/>
    </w:rPr>
  </w:style>
  <w:style w:type="character" w:styleId="945">
    <w:name w:val="Заголовок 9 Знак"/>
    <w:next w:val="945"/>
    <w:link w:val="933"/>
    <w:rPr>
      <w:rFonts w:ascii="Arial" w:hAnsi="Arial"/>
      <w:b/>
      <w:i/>
      <w:sz w:val="18"/>
    </w:rPr>
  </w:style>
  <w:style w:type="paragraph" w:styleId="946">
    <w:name w:val="Основной текст с отступом"/>
    <w:basedOn w:val="924"/>
    <w:next w:val="946"/>
    <w:link w:val="947"/>
    <w:pPr>
      <w:ind w:left="5760"/>
    </w:pPr>
    <w:rPr>
      <w:lang w:val="en-US" w:eastAsia="en-US"/>
    </w:rPr>
  </w:style>
  <w:style w:type="character" w:styleId="947">
    <w:name w:val="Основной текст с отступом Знак"/>
    <w:next w:val="947"/>
    <w:link w:val="946"/>
    <w:rPr>
      <w:sz w:val="24"/>
      <w:szCs w:val="24"/>
    </w:rPr>
  </w:style>
  <w:style w:type="paragraph" w:styleId="948">
    <w:name w:val="Стиль1"/>
    <w:basedOn w:val="924"/>
    <w:next w:val="948"/>
    <w:link w:val="924"/>
    <w:pPr>
      <w:numPr>
        <w:ilvl w:val="0"/>
        <w:numId w:val="2"/>
      </w:numPr>
      <w:keepLines/>
      <w:keepNext/>
      <w:spacing w:after="60"/>
      <w:widowControl w:val="off"/>
      <w:suppressLineNumbers/>
    </w:pPr>
    <w:rPr>
      <w:b/>
      <w:sz w:val="28"/>
    </w:rPr>
  </w:style>
  <w:style w:type="paragraph" w:styleId="949">
    <w:name w:val="Стиль2"/>
    <w:basedOn w:val="950"/>
    <w:next w:val="949"/>
    <w:link w:val="924"/>
    <w:pPr>
      <w:numPr>
        <w:ilvl w:val="1"/>
        <w:numId w:val="2"/>
      </w:numPr>
      <w:keepLines/>
      <w:keepNext/>
      <w:spacing w:after="60"/>
      <w:widowControl w:val="off"/>
      <w:suppressLineNumbers/>
    </w:pPr>
    <w:rPr>
      <w:b/>
      <w:szCs w:val="20"/>
    </w:rPr>
  </w:style>
  <w:style w:type="paragraph" w:styleId="950">
    <w:name w:val="Нумерованный список 2"/>
    <w:basedOn w:val="924"/>
    <w:next w:val="950"/>
    <w:link w:val="924"/>
    <w:pPr>
      <w:numPr>
        <w:ilvl w:val="0"/>
        <w:numId w:val="1"/>
      </w:numPr>
    </w:pPr>
  </w:style>
  <w:style w:type="paragraph" w:styleId="951">
    <w:name w:val="Стиль3 Знак"/>
    <w:basedOn w:val="952"/>
    <w:next w:val="951"/>
    <w:link w:val="924"/>
    <w:pPr>
      <w:numPr>
        <w:ilvl w:val="2"/>
        <w:numId w:val="2"/>
      </w:numPr>
      <w:spacing w:after="0" w:line="240" w:lineRule="auto"/>
      <w:widowControl w:val="off"/>
    </w:pPr>
    <w:rPr>
      <w:szCs w:val="20"/>
    </w:rPr>
  </w:style>
  <w:style w:type="paragraph" w:styleId="952">
    <w:name w:val="Основной текст с отступом 2"/>
    <w:basedOn w:val="924"/>
    <w:next w:val="952"/>
    <w:link w:val="953"/>
    <w:pPr>
      <w:ind w:left="283"/>
      <w:spacing w:after="120" w:line="480" w:lineRule="auto"/>
    </w:pPr>
    <w:rPr>
      <w:lang w:val="en-US" w:eastAsia="en-US"/>
    </w:rPr>
  </w:style>
  <w:style w:type="character" w:styleId="953">
    <w:name w:val="Основной текст с отступом 2 Знак"/>
    <w:next w:val="953"/>
    <w:link w:val="952"/>
    <w:rPr>
      <w:sz w:val="24"/>
      <w:szCs w:val="24"/>
    </w:rPr>
  </w:style>
  <w:style w:type="paragraph" w:styleId="954">
    <w:name w:val="ConsNormal"/>
    <w:next w:val="954"/>
    <w:link w:val="924"/>
    <w:pPr>
      <w:ind w:left="709" w:right="19772" w:firstLine="720"/>
      <w:jc w:val="both"/>
      <w:widowControl w:val="off"/>
    </w:pPr>
    <w:rPr>
      <w:rFonts w:ascii="Arial" w:hAnsi="Arial" w:cs="Arial"/>
      <w:lang w:val="ru-RU" w:eastAsia="ru-RU" w:bidi="ar-SA"/>
    </w:rPr>
  </w:style>
  <w:style w:type="character" w:styleId="955">
    <w:name w:val="Гиперссылка"/>
    <w:next w:val="955"/>
    <w:link w:val="924"/>
    <w:rPr>
      <w:color w:val="0000ff"/>
      <w:u w:val="single"/>
    </w:rPr>
  </w:style>
  <w:style w:type="paragraph" w:styleId="956">
    <w:name w:val="Оглавление 2"/>
    <w:basedOn w:val="924"/>
    <w:next w:val="924"/>
    <w:link w:val="924"/>
    <w:uiPriority w:val="39"/>
    <w:pPr>
      <w:ind w:left="240"/>
      <w:jc w:val="left"/>
      <w:tabs>
        <w:tab w:val="left" w:pos="720" w:leader="none"/>
        <w:tab w:val="right" w:pos="9720" w:leader="dot"/>
      </w:tabs>
    </w:pPr>
    <w:rPr>
      <w:smallCaps/>
      <w:sz w:val="20"/>
      <w:szCs w:val="20"/>
    </w:rPr>
  </w:style>
  <w:style w:type="paragraph" w:styleId="957">
    <w:name w:val="Маркированный список 2"/>
    <w:basedOn w:val="924"/>
    <w:next w:val="957"/>
    <w:link w:val="924"/>
    <w:pPr>
      <w:numPr>
        <w:ilvl w:val="0"/>
        <w:numId w:val="3"/>
      </w:numPr>
      <w:spacing w:after="60"/>
    </w:pPr>
    <w:rPr>
      <w:szCs w:val="20"/>
    </w:rPr>
  </w:style>
  <w:style w:type="paragraph" w:styleId="958">
    <w:name w:val="Основной текст с отступом 3"/>
    <w:basedOn w:val="924"/>
    <w:next w:val="958"/>
    <w:link w:val="959"/>
    <w:pPr>
      <w:ind w:left="720"/>
      <w:jc w:val="both"/>
      <w:keepLines/>
      <w:keepNext/>
      <w:widowControl w:val="off"/>
      <w:tabs>
        <w:tab w:val="num" w:pos="252" w:leader="none"/>
      </w:tabs>
      <w:suppressLineNumbers/>
    </w:pPr>
    <w:rPr>
      <w:lang w:val="en-US" w:eastAsia="en-US"/>
    </w:rPr>
  </w:style>
  <w:style w:type="character" w:styleId="959">
    <w:name w:val="Основной текст с отступом 3 Знак"/>
    <w:next w:val="959"/>
    <w:link w:val="958"/>
    <w:rPr>
      <w:sz w:val="24"/>
      <w:szCs w:val="24"/>
    </w:rPr>
  </w:style>
  <w:style w:type="paragraph" w:styleId="960">
    <w:name w:val="Оглавление 1"/>
    <w:basedOn w:val="924"/>
    <w:next w:val="924"/>
    <w:link w:val="924"/>
    <w:uiPriority w:val="39"/>
    <w:pPr>
      <w:keepLines/>
      <w:keepNext/>
      <w:spacing w:before="120" w:after="120"/>
      <w:widowControl w:val="off"/>
      <w:tabs>
        <w:tab w:val="right" w:pos="9720" w:leader="dot"/>
      </w:tabs>
      <w:suppressLineNumbers/>
    </w:pPr>
    <w:rPr>
      <w:bCs/>
      <w:caps/>
    </w:rPr>
  </w:style>
  <w:style w:type="paragraph" w:styleId="961">
    <w:name w:val="Оглавление 3"/>
    <w:basedOn w:val="924"/>
    <w:next w:val="924"/>
    <w:link w:val="924"/>
    <w:uiPriority w:val="39"/>
    <w:pPr>
      <w:ind w:left="480"/>
      <w:jc w:val="left"/>
      <w:tabs>
        <w:tab w:val="left" w:pos="1200" w:leader="none"/>
        <w:tab w:val="right" w:pos="9720" w:leader="dot"/>
      </w:tabs>
    </w:pPr>
    <w:rPr>
      <w:i/>
      <w:iCs/>
      <w:sz w:val="20"/>
      <w:szCs w:val="20"/>
    </w:rPr>
  </w:style>
  <w:style w:type="paragraph" w:styleId="962">
    <w:name w:val="Оглавление 4"/>
    <w:basedOn w:val="924"/>
    <w:next w:val="924"/>
    <w:link w:val="924"/>
    <w:pPr>
      <w:ind w:left="720"/>
    </w:pPr>
    <w:rPr>
      <w:sz w:val="18"/>
      <w:szCs w:val="18"/>
    </w:rPr>
  </w:style>
  <w:style w:type="paragraph" w:styleId="963">
    <w:name w:val="Оглавление 5"/>
    <w:basedOn w:val="924"/>
    <w:next w:val="924"/>
    <w:link w:val="924"/>
    <w:pPr>
      <w:ind w:left="960"/>
    </w:pPr>
    <w:rPr>
      <w:sz w:val="18"/>
      <w:szCs w:val="18"/>
    </w:rPr>
  </w:style>
  <w:style w:type="paragraph" w:styleId="964">
    <w:name w:val="Оглавление 6"/>
    <w:basedOn w:val="924"/>
    <w:next w:val="924"/>
    <w:link w:val="924"/>
    <w:pPr>
      <w:ind w:left="1200"/>
    </w:pPr>
    <w:rPr>
      <w:sz w:val="18"/>
      <w:szCs w:val="18"/>
    </w:rPr>
  </w:style>
  <w:style w:type="paragraph" w:styleId="965">
    <w:name w:val="Оглавление 7"/>
    <w:basedOn w:val="924"/>
    <w:next w:val="924"/>
    <w:link w:val="924"/>
    <w:pPr>
      <w:ind w:left="1440"/>
    </w:pPr>
    <w:rPr>
      <w:sz w:val="18"/>
      <w:szCs w:val="18"/>
    </w:rPr>
  </w:style>
  <w:style w:type="paragraph" w:styleId="966">
    <w:name w:val="Оглавление 8"/>
    <w:basedOn w:val="924"/>
    <w:next w:val="924"/>
    <w:link w:val="924"/>
    <w:pPr>
      <w:ind w:left="1680"/>
    </w:pPr>
    <w:rPr>
      <w:sz w:val="18"/>
      <w:szCs w:val="18"/>
    </w:rPr>
  </w:style>
  <w:style w:type="paragraph" w:styleId="967">
    <w:name w:val="Оглавление 9"/>
    <w:basedOn w:val="924"/>
    <w:next w:val="924"/>
    <w:link w:val="924"/>
    <w:pPr>
      <w:ind w:left="1920"/>
    </w:pPr>
    <w:rPr>
      <w:sz w:val="18"/>
      <w:szCs w:val="18"/>
    </w:rPr>
  </w:style>
  <w:style w:type="paragraph" w:styleId="968">
    <w:name w:val="Текст"/>
    <w:basedOn w:val="924"/>
    <w:next w:val="968"/>
    <w:link w:val="969"/>
    <w:rPr>
      <w:rFonts w:ascii="Courier New" w:hAnsi="Courier New"/>
      <w:sz w:val="20"/>
      <w:szCs w:val="20"/>
      <w:lang w:val="en-US" w:eastAsia="en-US"/>
    </w:rPr>
  </w:style>
  <w:style w:type="character" w:styleId="969">
    <w:name w:val="Текст Знак"/>
    <w:next w:val="969"/>
    <w:link w:val="968"/>
    <w:rPr>
      <w:rFonts w:ascii="Courier New" w:hAnsi="Courier New" w:cs="Courier New"/>
    </w:rPr>
  </w:style>
  <w:style w:type="paragraph" w:styleId="970">
    <w:name w:val="Основной текст 2"/>
    <w:basedOn w:val="924"/>
    <w:next w:val="970"/>
    <w:link w:val="971"/>
    <w:pPr>
      <w:numPr>
        <w:ilvl w:val="1"/>
        <w:numId w:val="13"/>
      </w:numPr>
      <w:spacing w:after="60"/>
    </w:pPr>
    <w:rPr>
      <w:szCs w:val="20"/>
      <w:lang w:val="en-US" w:eastAsia="en-US"/>
    </w:rPr>
  </w:style>
  <w:style w:type="character" w:styleId="971">
    <w:name w:val="Основной текст 2 Знак"/>
    <w:next w:val="971"/>
    <w:link w:val="970"/>
    <w:rPr>
      <w:sz w:val="24"/>
      <w:lang w:val="en-US" w:eastAsia="en-US" w:bidi="ar-SA"/>
    </w:rPr>
  </w:style>
  <w:style w:type="paragraph" w:styleId="972">
    <w:name w:val="Маркированный список 3"/>
    <w:basedOn w:val="924"/>
    <w:next w:val="972"/>
    <w:link w:val="924"/>
    <w:pPr>
      <w:numPr>
        <w:ilvl w:val="0"/>
        <w:numId w:val="4"/>
      </w:numPr>
      <w:spacing w:after="60"/>
    </w:pPr>
    <w:rPr>
      <w:szCs w:val="20"/>
    </w:rPr>
  </w:style>
  <w:style w:type="paragraph" w:styleId="973">
    <w:name w:val="Маркированный список 4"/>
    <w:basedOn w:val="924"/>
    <w:next w:val="973"/>
    <w:link w:val="924"/>
    <w:pPr>
      <w:numPr>
        <w:ilvl w:val="0"/>
        <w:numId w:val="4"/>
      </w:numPr>
      <w:ind w:left="1209"/>
      <w:spacing w:after="60"/>
      <w:tabs>
        <w:tab w:val="clear" w:pos="926" w:leader="none"/>
        <w:tab w:val="num" w:pos="1209" w:leader="none"/>
      </w:tabs>
    </w:pPr>
    <w:rPr>
      <w:szCs w:val="20"/>
    </w:rPr>
  </w:style>
  <w:style w:type="paragraph" w:styleId="974">
    <w:name w:val="Маркированный список 5"/>
    <w:basedOn w:val="924"/>
    <w:next w:val="974"/>
    <w:link w:val="924"/>
    <w:pPr>
      <w:numPr>
        <w:ilvl w:val="0"/>
        <w:numId w:val="5"/>
      </w:numPr>
      <w:ind w:left="1492"/>
      <w:spacing w:after="60"/>
      <w:tabs>
        <w:tab w:val="clear" w:pos="1209" w:leader="none"/>
        <w:tab w:val="num" w:pos="1492" w:leader="none"/>
      </w:tabs>
    </w:pPr>
    <w:rPr>
      <w:szCs w:val="20"/>
    </w:rPr>
  </w:style>
  <w:style w:type="paragraph" w:styleId="975">
    <w:name w:val="Нумерованный список"/>
    <w:basedOn w:val="924"/>
    <w:next w:val="975"/>
    <w:link w:val="924"/>
    <w:pPr>
      <w:numPr>
        <w:ilvl w:val="0"/>
        <w:numId w:val="6"/>
      </w:numPr>
      <w:ind w:left="360"/>
      <w:spacing w:after="60"/>
      <w:tabs>
        <w:tab w:val="num" w:pos="360" w:leader="none"/>
        <w:tab w:val="clear" w:pos="1492" w:leader="none"/>
      </w:tabs>
    </w:pPr>
    <w:rPr>
      <w:szCs w:val="20"/>
    </w:rPr>
  </w:style>
  <w:style w:type="paragraph" w:styleId="976">
    <w:name w:val="Нумерованный список 3"/>
    <w:basedOn w:val="924"/>
    <w:next w:val="976"/>
    <w:link w:val="924"/>
    <w:pPr>
      <w:numPr>
        <w:ilvl w:val="0"/>
        <w:numId w:val="7"/>
      </w:numPr>
      <w:ind w:left="926"/>
      <w:spacing w:after="60"/>
      <w:tabs>
        <w:tab w:val="clear" w:pos="360" w:leader="none"/>
        <w:tab w:val="num" w:pos="926" w:leader="none"/>
      </w:tabs>
    </w:pPr>
    <w:rPr>
      <w:szCs w:val="20"/>
    </w:rPr>
  </w:style>
  <w:style w:type="paragraph" w:styleId="977">
    <w:name w:val="Нумерованный список 4"/>
    <w:basedOn w:val="924"/>
    <w:next w:val="977"/>
    <w:link w:val="924"/>
    <w:pPr>
      <w:numPr>
        <w:ilvl w:val="0"/>
        <w:numId w:val="8"/>
      </w:numPr>
      <w:ind w:left="1209"/>
      <w:spacing w:after="60"/>
      <w:tabs>
        <w:tab w:val="clear" w:pos="926" w:leader="none"/>
        <w:tab w:val="num" w:pos="1209" w:leader="none"/>
      </w:tabs>
    </w:pPr>
    <w:rPr>
      <w:szCs w:val="20"/>
    </w:rPr>
  </w:style>
  <w:style w:type="paragraph" w:styleId="978">
    <w:name w:val="Нумерованный список 5"/>
    <w:basedOn w:val="924"/>
    <w:next w:val="978"/>
    <w:link w:val="924"/>
    <w:pPr>
      <w:numPr>
        <w:ilvl w:val="0"/>
        <w:numId w:val="9"/>
      </w:numPr>
      <w:ind w:left="1492"/>
      <w:spacing w:after="60"/>
      <w:tabs>
        <w:tab w:val="clear" w:pos="1209" w:leader="none"/>
        <w:tab w:val="num" w:pos="1492" w:leader="none"/>
      </w:tabs>
    </w:pPr>
    <w:rPr>
      <w:szCs w:val="20"/>
    </w:rPr>
  </w:style>
  <w:style w:type="paragraph" w:styleId="979">
    <w:name w:val="Раздел"/>
    <w:basedOn w:val="924"/>
    <w:next w:val="979"/>
    <w:link w:val="924"/>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980">
    <w:name w:val="Раздел 3"/>
    <w:basedOn w:val="924"/>
    <w:next w:val="980"/>
    <w:link w:val="924"/>
    <w:semiHidden/>
    <w:pPr>
      <w:numPr>
        <w:ilvl w:val="1"/>
        <w:numId w:val="11"/>
      </w:numPr>
      <w:ind w:left="360" w:hanging="360"/>
      <w:jc w:val="center"/>
      <w:spacing w:before="120" w:after="120"/>
      <w:tabs>
        <w:tab w:val="num" w:pos="360" w:leader="none"/>
        <w:tab w:val="clear" w:pos="1440" w:leader="none"/>
      </w:tabs>
    </w:pPr>
    <w:rPr>
      <w:b/>
      <w:szCs w:val="20"/>
    </w:rPr>
  </w:style>
  <w:style w:type="paragraph" w:styleId="981">
    <w:name w:val="Условия контракта"/>
    <w:basedOn w:val="924"/>
    <w:next w:val="981"/>
    <w:link w:val="924"/>
    <w:semiHidden/>
    <w:pPr>
      <w:numPr>
        <w:ilvl w:val="0"/>
        <w:numId w:val="13"/>
      </w:numPr>
      <w:spacing w:before="240" w:after="120"/>
    </w:pPr>
    <w:rPr>
      <w:b/>
      <w:szCs w:val="20"/>
    </w:rPr>
  </w:style>
  <w:style w:type="paragraph" w:styleId="982">
    <w:name w:val="Instruction"/>
    <w:basedOn w:val="970"/>
    <w:next w:val="982"/>
    <w:link w:val="924"/>
    <w:semiHidden/>
    <w:pPr>
      <w:numPr>
        <w:ilvl w:val="0"/>
        <w:numId w:val="12"/>
      </w:numPr>
      <w:spacing w:before="180"/>
    </w:pPr>
    <w:rPr>
      <w:b/>
    </w:rPr>
  </w:style>
  <w:style w:type="paragraph" w:styleId="983">
    <w:name w:val="Обычный (веб),Обычный (Web),Обычный (веб)1,Обычный (Web)1"/>
    <w:basedOn w:val="924"/>
    <w:next w:val="983"/>
    <w:link w:val="924"/>
    <w:pPr>
      <w:numPr>
        <w:ilvl w:val="0"/>
        <w:numId w:val="13"/>
      </w:numPr>
      <w:ind w:left="0" w:firstLine="0"/>
      <w:spacing w:before="100" w:beforeAutospacing="1" w:after="100" w:afterAutospacing="1"/>
      <w:tabs>
        <w:tab w:val="clear" w:pos="567" w:leader="none"/>
      </w:tabs>
    </w:pPr>
  </w:style>
  <w:style w:type="character" w:styleId="984">
    <w:name w:val="Номер страницы"/>
    <w:next w:val="984"/>
    <w:link w:val="924"/>
    <w:rPr>
      <w:rFonts w:ascii="Times New Roman" w:hAnsi="Times New Roman"/>
    </w:rPr>
  </w:style>
  <w:style w:type="paragraph" w:styleId="985">
    <w:name w:val="Стиль3"/>
    <w:basedOn w:val="952"/>
    <w:next w:val="985"/>
    <w:link w:val="924"/>
    <w:pPr>
      <w:ind w:left="1080"/>
      <w:jc w:val="both"/>
      <w:spacing w:after="0" w:line="240" w:lineRule="auto"/>
      <w:widowControl w:val="off"/>
      <w:tabs>
        <w:tab w:val="num" w:pos="1307" w:leader="none"/>
      </w:tabs>
    </w:pPr>
    <w:rPr>
      <w:szCs w:val="20"/>
    </w:rPr>
  </w:style>
  <w:style w:type="paragraph" w:styleId="986">
    <w:name w:val="содержание2-11"/>
    <w:basedOn w:val="924"/>
    <w:next w:val="986"/>
    <w:link w:val="924"/>
    <w:pPr>
      <w:jc w:val="both"/>
      <w:spacing w:after="60"/>
    </w:pPr>
  </w:style>
  <w:style w:type="paragraph" w:styleId="987">
    <w:name w:val="Маркированный список"/>
    <w:basedOn w:val="924"/>
    <w:next w:val="987"/>
    <w:link w:val="924"/>
    <w:pPr>
      <w:jc w:val="both"/>
      <w:spacing w:after="60"/>
      <w:widowControl w:val="off"/>
    </w:pPr>
  </w:style>
  <w:style w:type="paragraph" w:styleId="988">
    <w:name w:val="Тендерные данные"/>
    <w:basedOn w:val="924"/>
    <w:next w:val="988"/>
    <w:link w:val="924"/>
    <w:semiHidden/>
    <w:pPr>
      <w:jc w:val="both"/>
      <w:spacing w:before="120" w:after="60"/>
      <w:tabs>
        <w:tab w:val="left" w:pos="1985" w:leader="none"/>
      </w:tabs>
    </w:pPr>
    <w:rPr>
      <w:b/>
      <w:szCs w:val="20"/>
    </w:rPr>
  </w:style>
  <w:style w:type="paragraph" w:styleId="989">
    <w:name w:val="Заголовок 2 со списком"/>
    <w:basedOn w:val="926"/>
    <w:next w:val="924"/>
    <w:link w:val="990"/>
    <w:pPr>
      <w:numPr>
        <w:ilvl w:val="0"/>
        <w:numId w:val="14"/>
      </w:numPr>
      <w:spacing w:line="360" w:lineRule="auto"/>
    </w:pPr>
    <w:rPr>
      <w:b w:val="0"/>
    </w:rPr>
  </w:style>
  <w:style w:type="character" w:styleId="990">
    <w:name w:val="Заголовок 2 со списком Знак"/>
    <w:next w:val="990"/>
    <w:link w:val="989"/>
    <w:rPr>
      <w:bCs/>
      <w:sz w:val="24"/>
      <w:szCs w:val="24"/>
      <w:lang w:val="en-US" w:eastAsia="en-US" w:bidi="ar-SA"/>
    </w:rPr>
  </w:style>
  <w:style w:type="paragraph" w:styleId="991">
    <w:name w:val="Заголовок 3 со списком"/>
    <w:basedOn w:val="927"/>
    <w:next w:val="991"/>
    <w:link w:val="992"/>
    <w:pPr>
      <w:numPr>
        <w:ilvl w:val="1"/>
        <w:numId w:val="14"/>
      </w:numPr>
    </w:pPr>
  </w:style>
  <w:style w:type="character" w:styleId="992">
    <w:name w:val="Заголовок 3 со списком Знак"/>
    <w:next w:val="992"/>
    <w:link w:val="991"/>
    <w:rPr>
      <w:rFonts w:ascii="Arial" w:hAnsi="Arial"/>
      <w:b/>
      <w:sz w:val="24"/>
      <w:lang w:val="en-US" w:eastAsia="en-US" w:bidi="ar-SA"/>
    </w:rPr>
  </w:style>
  <w:style w:type="paragraph" w:styleId="993">
    <w:name w:val="Нижний колонтитул"/>
    <w:basedOn w:val="924"/>
    <w:next w:val="993"/>
    <w:link w:val="994"/>
    <w:uiPriority w:val="99"/>
    <w:pPr>
      <w:tabs>
        <w:tab w:val="center" w:pos="4677" w:leader="none"/>
        <w:tab w:val="right" w:pos="9355" w:leader="none"/>
      </w:tabs>
    </w:pPr>
    <w:rPr>
      <w:lang w:val="en-US" w:eastAsia="en-US"/>
    </w:rPr>
  </w:style>
  <w:style w:type="character" w:styleId="994">
    <w:name w:val="Нижний колонтитул Знак"/>
    <w:next w:val="994"/>
    <w:link w:val="993"/>
    <w:uiPriority w:val="99"/>
    <w:rPr>
      <w:sz w:val="24"/>
      <w:szCs w:val="24"/>
    </w:rPr>
  </w:style>
  <w:style w:type="paragraph" w:styleId="995">
    <w:name w:val="Верхний колонтитул"/>
    <w:basedOn w:val="924"/>
    <w:next w:val="995"/>
    <w:link w:val="996"/>
    <w:pPr>
      <w:tabs>
        <w:tab w:val="center" w:pos="4677" w:leader="none"/>
        <w:tab w:val="right" w:pos="9355" w:leader="none"/>
      </w:tabs>
    </w:pPr>
    <w:rPr>
      <w:lang w:val="en-US" w:eastAsia="en-US"/>
    </w:rPr>
  </w:style>
  <w:style w:type="character" w:styleId="996">
    <w:name w:val="Верхний колонтитул Знак"/>
    <w:next w:val="996"/>
    <w:link w:val="995"/>
    <w:rPr>
      <w:sz w:val="24"/>
      <w:szCs w:val="24"/>
    </w:rPr>
  </w:style>
  <w:style w:type="paragraph" w:styleId="997">
    <w:name w:val="Основной текст"/>
    <w:basedOn w:val="924"/>
    <w:next w:val="997"/>
    <w:link w:val="998"/>
    <w:pPr>
      <w:spacing w:after="120"/>
    </w:pPr>
    <w:rPr>
      <w:lang w:val="en-US" w:eastAsia="en-US"/>
    </w:rPr>
  </w:style>
  <w:style w:type="character" w:styleId="998">
    <w:name w:val="Основной текст Знак"/>
    <w:next w:val="998"/>
    <w:link w:val="997"/>
    <w:rPr>
      <w:sz w:val="24"/>
      <w:szCs w:val="24"/>
    </w:rPr>
  </w:style>
  <w:style w:type="paragraph" w:styleId="999">
    <w:name w:val="Основной текст 3"/>
    <w:basedOn w:val="924"/>
    <w:next w:val="999"/>
    <w:link w:val="1000"/>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000">
    <w:name w:val="Основной текст 3 Знак"/>
    <w:next w:val="1000"/>
    <w:link w:val="999"/>
    <w:rPr>
      <w:b/>
      <w:i/>
      <w:sz w:val="22"/>
      <w:szCs w:val="24"/>
    </w:rPr>
  </w:style>
  <w:style w:type="character" w:styleId="1001">
    <w:name w:val="Основной шрифт"/>
    <w:next w:val="1001"/>
    <w:link w:val="924"/>
    <w:semiHidden/>
  </w:style>
  <w:style w:type="paragraph" w:styleId="1002">
    <w:name w:val="текст таблицы"/>
    <w:basedOn w:val="924"/>
    <w:next w:val="1002"/>
    <w:link w:val="924"/>
    <w:pPr>
      <w:ind w:right="-102"/>
      <w:spacing w:before="120"/>
    </w:pPr>
  </w:style>
  <w:style w:type="character" w:styleId="1003">
    <w:name w:val="Просмотренная гиперссылка"/>
    <w:next w:val="1003"/>
    <w:link w:val="924"/>
    <w:rPr>
      <w:color w:val="800080"/>
      <w:u w:val="single"/>
    </w:rPr>
  </w:style>
  <w:style w:type="paragraph" w:styleId="1004">
    <w:name w:val="ТЛ_Заказчик"/>
    <w:basedOn w:val="924"/>
    <w:next w:val="1004"/>
    <w:link w:val="1005"/>
    <w:qFormat/>
    <w:pPr>
      <w:jc w:val="center"/>
    </w:pPr>
    <w:rPr>
      <w:sz w:val="28"/>
      <w:szCs w:val="28"/>
      <w:lang w:val="en-US" w:eastAsia="en-US"/>
    </w:rPr>
  </w:style>
  <w:style w:type="character" w:styleId="1005">
    <w:name w:val="ТЛ_Заказчик Знак"/>
    <w:next w:val="1005"/>
    <w:link w:val="1004"/>
    <w:rPr>
      <w:sz w:val="28"/>
      <w:szCs w:val="28"/>
    </w:rPr>
  </w:style>
  <w:style w:type="paragraph" w:styleId="1006">
    <w:name w:val="ТЛ_Утверждаю"/>
    <w:basedOn w:val="924"/>
    <w:next w:val="1006"/>
    <w:link w:val="1007"/>
    <w:qFormat/>
    <w:pPr>
      <w:ind w:left="4860"/>
      <w:jc w:val="center"/>
    </w:pPr>
    <w:rPr>
      <w:sz w:val="28"/>
      <w:szCs w:val="28"/>
      <w:lang w:val="en-US" w:eastAsia="en-US"/>
    </w:rPr>
  </w:style>
  <w:style w:type="character" w:styleId="1007">
    <w:name w:val="ТЛ_Утверждаю Знак"/>
    <w:next w:val="1007"/>
    <w:link w:val="1006"/>
    <w:rPr>
      <w:sz w:val="28"/>
      <w:szCs w:val="28"/>
    </w:rPr>
  </w:style>
  <w:style w:type="paragraph" w:styleId="1008">
    <w:name w:val="ТЛ_Название"/>
    <w:basedOn w:val="924"/>
    <w:next w:val="1008"/>
    <w:link w:val="1009"/>
    <w:qFormat/>
    <w:pPr>
      <w:jc w:val="center"/>
    </w:pPr>
    <w:rPr>
      <w:b/>
      <w:sz w:val="28"/>
      <w:szCs w:val="28"/>
      <w:lang w:val="en-US" w:eastAsia="en-US"/>
    </w:rPr>
  </w:style>
  <w:style w:type="character" w:styleId="1009">
    <w:name w:val="ТЛ_Название Знак"/>
    <w:next w:val="1009"/>
    <w:link w:val="1008"/>
    <w:rPr>
      <w:b/>
      <w:sz w:val="28"/>
      <w:szCs w:val="28"/>
    </w:rPr>
  </w:style>
  <w:style w:type="paragraph" w:styleId="1010">
    <w:name w:val="ТЛ_Город и Дата"/>
    <w:basedOn w:val="924"/>
    <w:next w:val="1010"/>
    <w:link w:val="1011"/>
    <w:qFormat/>
    <w:pPr>
      <w:jc w:val="center"/>
    </w:pPr>
    <w:rPr>
      <w:sz w:val="28"/>
      <w:szCs w:val="28"/>
      <w:lang w:val="en-US" w:eastAsia="en-US"/>
    </w:rPr>
  </w:style>
  <w:style w:type="character" w:styleId="1011">
    <w:name w:val="ТЛ_Город и Дата Знак"/>
    <w:next w:val="1011"/>
    <w:link w:val="1010"/>
    <w:rPr>
      <w:sz w:val="28"/>
      <w:szCs w:val="28"/>
    </w:rPr>
  </w:style>
  <w:style w:type="paragraph" w:styleId="1012">
    <w:name w:val="АД_Наименование Разделов"/>
    <w:basedOn w:val="925"/>
    <w:next w:val="1012"/>
    <w:link w:val="1013"/>
    <w:qFormat/>
    <w:rPr>
      <w:sz w:val="28"/>
    </w:rPr>
  </w:style>
  <w:style w:type="character" w:styleId="1013">
    <w:name w:val="АД_Наименование Разделов Знак"/>
    <w:next w:val="1013"/>
    <w:link w:val="1012"/>
    <w:rPr>
      <w:b/>
      <w:sz w:val="28"/>
    </w:rPr>
  </w:style>
  <w:style w:type="paragraph" w:styleId="1014">
    <w:name w:val="АД_Наименование главы с нумерацией"/>
    <w:basedOn w:val="989"/>
    <w:next w:val="1014"/>
    <w:link w:val="924"/>
    <w:qFormat/>
    <w:rPr>
      <w:b/>
    </w:rPr>
  </w:style>
  <w:style w:type="paragraph" w:styleId="1015">
    <w:name w:val="АД_Наименование главы без нумерации"/>
    <w:basedOn w:val="926"/>
    <w:next w:val="1015"/>
    <w:link w:val="1016"/>
    <w:qFormat/>
    <w:pPr>
      <w:numPr>
        <w:ilvl w:val="0"/>
        <w:numId w:val="0"/>
      </w:numPr>
    </w:pPr>
  </w:style>
  <w:style w:type="character" w:styleId="1016">
    <w:name w:val="АД_Наименование главы без нумерации Знак"/>
    <w:basedOn w:val="938"/>
    <w:next w:val="1016"/>
    <w:link w:val="1015"/>
  </w:style>
  <w:style w:type="character" w:styleId="1017">
    <w:name w:val="АД_Глава Знак"/>
    <w:basedOn w:val="990"/>
    <w:next w:val="1017"/>
    <w:link w:val="1014"/>
  </w:style>
  <w:style w:type="paragraph" w:styleId="1018">
    <w:name w:val="АД_Нумерованный пункт"/>
    <w:basedOn w:val="991"/>
    <w:next w:val="1018"/>
    <w:link w:val="1019"/>
    <w:qFormat/>
    <w:pPr>
      <w:ind w:left="720" w:hanging="720"/>
      <w:tabs>
        <w:tab w:val="num" w:pos="720" w:leader="none"/>
        <w:tab w:val="clear" w:pos="972" w:leader="none"/>
      </w:tabs>
    </w:pPr>
    <w:rPr>
      <w:rFonts w:ascii="Times New Roman" w:hAnsi="Times New Roman"/>
    </w:rPr>
  </w:style>
  <w:style w:type="character" w:styleId="1019">
    <w:name w:val="АД_Нумерованный пункт Знак"/>
    <w:basedOn w:val="992"/>
    <w:next w:val="1019"/>
    <w:link w:val="1018"/>
  </w:style>
  <w:style w:type="paragraph" w:styleId="1020">
    <w:name w:val="АД_Нумерованный подпункт"/>
    <w:basedOn w:val="924"/>
    <w:next w:val="1020"/>
    <w:link w:val="1021"/>
    <w:qFormat/>
    <w:pPr>
      <w:numPr>
        <w:ilvl w:val="2"/>
        <w:numId w:val="14"/>
      </w:numPr>
      <w:ind w:left="720" w:hanging="720"/>
      <w:tabs>
        <w:tab w:val="left" w:pos="720" w:leader="none"/>
        <w:tab w:val="clear" w:pos="1440" w:leader="none"/>
      </w:tabs>
    </w:pPr>
    <w:rPr>
      <w:lang w:val="en-US" w:eastAsia="en-US"/>
    </w:rPr>
  </w:style>
  <w:style w:type="character" w:styleId="1021">
    <w:name w:val="АД_Нумерованный подпункт Знак"/>
    <w:next w:val="1021"/>
    <w:link w:val="1020"/>
    <w:rPr>
      <w:sz w:val="24"/>
      <w:szCs w:val="24"/>
      <w:lang w:val="en-US" w:eastAsia="en-US" w:bidi="ar-SA"/>
    </w:rPr>
  </w:style>
  <w:style w:type="paragraph" w:styleId="1022">
    <w:name w:val="АД_Основной текст"/>
    <w:basedOn w:val="924"/>
    <w:next w:val="1022"/>
    <w:link w:val="1023"/>
    <w:qFormat/>
    <w:pPr>
      <w:ind w:left="0" w:firstLine="567"/>
    </w:pPr>
    <w:rPr>
      <w:lang w:val="en-US" w:eastAsia="en-US"/>
    </w:rPr>
  </w:style>
  <w:style w:type="character" w:styleId="1023">
    <w:name w:val="АД_Основной текст Знак"/>
    <w:next w:val="1023"/>
    <w:link w:val="1022"/>
    <w:rPr>
      <w:sz w:val="24"/>
      <w:szCs w:val="24"/>
    </w:rPr>
  </w:style>
  <w:style w:type="paragraph" w:styleId="1024">
    <w:name w:val="Стиль АД_Список 1,2,3 + полужирный курсив"/>
    <w:basedOn w:val="924"/>
    <w:next w:val="1024"/>
    <w:link w:val="924"/>
    <w:pPr>
      <w:numPr>
        <w:ilvl w:val="2"/>
        <w:numId w:val="15"/>
      </w:numPr>
      <w:tabs>
        <w:tab w:val="left" w:pos="720" w:leader="none"/>
      </w:tabs>
    </w:pPr>
    <w:rPr>
      <w:b/>
      <w:bCs/>
      <w:i/>
      <w:iCs/>
    </w:rPr>
  </w:style>
  <w:style w:type="paragraph" w:styleId="1025">
    <w:name w:val="АД_Заголовки таблиц"/>
    <w:basedOn w:val="924"/>
    <w:next w:val="1025"/>
    <w:link w:val="924"/>
    <w:qFormat/>
    <w:pPr>
      <w:jc w:val="center"/>
    </w:pPr>
    <w:rPr>
      <w:b/>
      <w:bCs/>
    </w:rPr>
  </w:style>
  <w:style w:type="paragraph" w:styleId="1026">
    <w:name w:val="Заголовок оглавления"/>
    <w:basedOn w:val="925"/>
    <w:next w:val="924"/>
    <w:link w:val="924"/>
    <w:uiPriority w:val="3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027">
    <w:name w:val="Текст выноски"/>
    <w:basedOn w:val="924"/>
    <w:next w:val="1027"/>
    <w:link w:val="1028"/>
    <w:rPr>
      <w:rFonts w:ascii="Tahoma" w:hAnsi="Tahoma"/>
      <w:sz w:val="16"/>
      <w:szCs w:val="16"/>
      <w:lang w:val="en-US" w:eastAsia="en-US"/>
    </w:rPr>
  </w:style>
  <w:style w:type="character" w:styleId="1028">
    <w:name w:val="Текст выноски Знак"/>
    <w:next w:val="1028"/>
    <w:link w:val="1027"/>
    <w:rPr>
      <w:rFonts w:ascii="Tahoma" w:hAnsi="Tahoma" w:cs="Tahoma"/>
      <w:sz w:val="16"/>
      <w:szCs w:val="16"/>
    </w:rPr>
  </w:style>
  <w:style w:type="paragraph" w:styleId="1029">
    <w:name w:val="АД_Основной текст по центру полужирный"/>
    <w:basedOn w:val="924"/>
    <w:next w:val="1029"/>
    <w:link w:val="1030"/>
    <w:qFormat/>
    <w:pPr>
      <w:ind w:firstLine="567"/>
      <w:jc w:val="center"/>
    </w:pPr>
    <w:rPr>
      <w:b/>
      <w:lang w:val="en-US" w:eastAsia="en-US"/>
    </w:rPr>
  </w:style>
  <w:style w:type="character" w:styleId="1030">
    <w:name w:val="АД_Основной текст по центру полужирный Знак"/>
    <w:next w:val="1030"/>
    <w:link w:val="1029"/>
    <w:rPr>
      <w:b/>
      <w:sz w:val="24"/>
      <w:szCs w:val="24"/>
    </w:rPr>
  </w:style>
  <w:style w:type="paragraph" w:styleId="1031">
    <w:name w:val="АД_Текст отступ 3,25"/>
    <w:basedOn w:val="924"/>
    <w:next w:val="1031"/>
    <w:link w:val="1032"/>
    <w:qFormat/>
    <w:pPr>
      <w:ind w:left="1418"/>
    </w:pPr>
    <w:rPr>
      <w:lang w:val="en-US" w:eastAsia="en-US"/>
    </w:rPr>
  </w:style>
  <w:style w:type="character" w:styleId="1032">
    <w:name w:val="АД_Текст отступ 3 Знак,25 Знак"/>
    <w:next w:val="1032"/>
    <w:link w:val="1031"/>
    <w:rPr>
      <w:sz w:val="24"/>
      <w:szCs w:val="24"/>
    </w:rPr>
  </w:style>
  <w:style w:type="paragraph" w:styleId="1033">
    <w:name w:val="АД_Нумерованный подпункт 4 уровня"/>
    <w:basedOn w:val="1020"/>
    <w:next w:val="1033"/>
    <w:link w:val="1034"/>
    <w:qFormat/>
    <w:pPr>
      <w:numPr>
        <w:ilvl w:val="3"/>
        <w:numId w:val="14"/>
      </w:numPr>
      <w:ind w:left="993" w:hanging="993"/>
      <w:tabs>
        <w:tab w:val="clear" w:pos="720" w:leader="none"/>
        <w:tab w:val="num" w:pos="993" w:leader="none"/>
        <w:tab w:val="clear" w:pos="1800" w:leader="none"/>
      </w:tabs>
    </w:pPr>
  </w:style>
  <w:style w:type="character" w:styleId="1034">
    <w:name w:val="АД_Нумерованный подпункт 4 уровня Знак"/>
    <w:basedOn w:val="1021"/>
    <w:next w:val="1034"/>
    <w:link w:val="1033"/>
  </w:style>
  <w:style w:type="paragraph" w:styleId="1035">
    <w:name w:val="АД_Список абв"/>
    <w:basedOn w:val="924"/>
    <w:next w:val="1035"/>
    <w:link w:val="924"/>
    <w:pPr>
      <w:numPr>
        <w:ilvl w:val="0"/>
        <w:numId w:val="16"/>
      </w:numPr>
    </w:pPr>
  </w:style>
  <w:style w:type="paragraph" w:styleId="1036">
    <w:name w:val="Normal1"/>
    <w:next w:val="1036"/>
    <w:link w:val="1116"/>
    <w:pPr>
      <w:ind w:firstLine="720"/>
      <w:jc w:val="both"/>
      <w:spacing w:line="300" w:lineRule="auto"/>
      <w:widowControl w:val="off"/>
    </w:pPr>
    <w:rPr>
      <w:sz w:val="24"/>
      <w:lang w:val="ru-RU" w:eastAsia="ru-RU" w:bidi="ar-SA"/>
    </w:rPr>
  </w:style>
  <w:style w:type="paragraph" w:styleId="1037">
    <w:name w:val="Цитата"/>
    <w:basedOn w:val="924"/>
    <w:next w:val="1037"/>
    <w:link w:val="924"/>
    <w:pPr>
      <w:ind w:left="1440" w:right="1440"/>
      <w:spacing w:after="120"/>
    </w:pPr>
    <w:rPr>
      <w:szCs w:val="20"/>
    </w:rPr>
  </w:style>
  <w:style w:type="table" w:styleId="1038">
    <w:name w:val="Сетка таблицы"/>
    <w:basedOn w:val="935"/>
    <w:next w:val="1038"/>
    <w:link w:val="924"/>
    <w:pPr>
      <w:ind w:left="0" w:firstLine="0"/>
      <w:jc w:val="left"/>
    </w:pPr>
    <w:tblPr/>
  </w:style>
  <w:style w:type="paragraph" w:styleId="1039">
    <w:name w:val="Heading"/>
    <w:next w:val="1039"/>
    <w:link w:val="924"/>
    <w:rPr>
      <w:rFonts w:ascii="Arial" w:hAnsi="Arial"/>
      <w:b/>
      <w:sz w:val="22"/>
      <w:lang w:val="ru-RU" w:eastAsia="ru-RU" w:bidi="ar-SA"/>
    </w:rPr>
  </w:style>
  <w:style w:type="paragraph" w:styleId="1040">
    <w:name w:val="WW-Основной текст с отступом 2"/>
    <w:basedOn w:val="924"/>
    <w:next w:val="1040"/>
    <w:link w:val="924"/>
    <w:pPr>
      <w:ind w:left="-540"/>
    </w:pPr>
    <w:rPr>
      <w:rFonts w:ascii="Arial" w:hAnsi="Arial" w:cs="Arial"/>
      <w:sz w:val="18"/>
      <w:lang w:eastAsia="ar-SA"/>
    </w:rPr>
  </w:style>
  <w:style w:type="paragraph" w:styleId="1041">
    <w:name w:val="WW-Основной текст с отступом 3"/>
    <w:basedOn w:val="924"/>
    <w:next w:val="1041"/>
    <w:link w:val="924"/>
    <w:pPr>
      <w:ind w:left="-540"/>
    </w:pPr>
    <w:rPr>
      <w:rFonts w:ascii="Arial" w:hAnsi="Arial" w:cs="Arial"/>
      <w:sz w:val="17"/>
      <w:lang w:eastAsia="ar-SA"/>
    </w:rPr>
  </w:style>
  <w:style w:type="paragraph" w:styleId="1042">
    <w:name w:val="Список нум."/>
    <w:basedOn w:val="924"/>
    <w:next w:val="1042"/>
    <w:link w:val="924"/>
    <w:pPr>
      <w:numPr>
        <w:ilvl w:val="0"/>
        <w:numId w:val="17"/>
      </w:numPr>
      <w:jc w:val="left"/>
      <w:keepNext/>
      <w:spacing w:before="120" w:after="120" w:line="360" w:lineRule="auto"/>
      <w:tabs>
        <w:tab w:val="left" w:pos="1701" w:leader="none"/>
      </w:tabs>
    </w:pPr>
    <w:rPr>
      <w:rFonts w:ascii="Arial" w:hAnsi="Arial"/>
      <w:szCs w:val="20"/>
    </w:rPr>
  </w:style>
  <w:style w:type="paragraph" w:styleId="1043">
    <w:name w:val="Заголовок 1 (раздел VI)"/>
    <w:basedOn w:val="925"/>
    <w:next w:val="1043"/>
    <w:link w:val="924"/>
    <w:pPr>
      <w:numPr>
        <w:ilvl w:val="0"/>
        <w:numId w:val="1"/>
      </w:numPr>
      <w:ind w:right="567" w:firstLine="709"/>
      <w:keepLines/>
      <w:widowControl w:val="off"/>
    </w:pPr>
    <w:rPr>
      <w:rFonts w:ascii="Arial" w:hAnsi="Arial" w:cs="Arial"/>
      <w:bCs/>
      <w:sz w:val="28"/>
      <w:szCs w:val="32"/>
    </w:rPr>
  </w:style>
  <w:style w:type="paragraph" w:styleId="1044">
    <w:name w:val="FR1"/>
    <w:next w:val="1044"/>
    <w:link w:val="924"/>
    <w:pPr>
      <w:ind w:left="40" w:firstLine="680"/>
      <w:jc w:val="both"/>
      <w:spacing w:before="200"/>
      <w:widowControl w:val="off"/>
    </w:pPr>
    <w:rPr>
      <w:rFonts w:ascii="Arial" w:hAnsi="Arial"/>
      <w:lang w:val="ru-RU" w:eastAsia="ru-RU" w:bidi="ar-SA"/>
    </w:rPr>
  </w:style>
  <w:style w:type="paragraph" w:styleId="1045">
    <w:name w:val="ConsPlusNormal"/>
    <w:next w:val="1045"/>
    <w:link w:val="1176"/>
    <w:uiPriority w:val="99"/>
    <w:pPr>
      <w:ind w:firstLine="720"/>
      <w:widowControl w:val="off"/>
    </w:pPr>
    <w:rPr>
      <w:rFonts w:ascii="Arial" w:hAnsi="Arial" w:cs="Arial"/>
      <w:lang w:val="ru-RU" w:eastAsia="ru-RU" w:bidi="ar-SA"/>
    </w:rPr>
  </w:style>
  <w:style w:type="paragraph" w:styleId="1046">
    <w:name w:val="FR2"/>
    <w:next w:val="1046"/>
    <w:link w:val="924"/>
    <w:pPr>
      <w:jc w:val="center"/>
      <w:spacing w:before="20"/>
      <w:widowControl w:val="off"/>
    </w:pPr>
    <w:rPr>
      <w:rFonts w:ascii="Arial" w:hAnsi="Arial"/>
      <w:sz w:val="24"/>
      <w:lang w:val="ru-RU" w:eastAsia="ru-RU" w:bidi="ar-SA"/>
    </w:rPr>
  </w:style>
  <w:style w:type="paragraph" w:styleId="1047">
    <w:name w:val=" Знак"/>
    <w:basedOn w:val="924"/>
    <w:next w:val="1047"/>
    <w:link w:val="924"/>
    <w:pPr>
      <w:spacing w:after="160" w:line="240" w:lineRule="exact"/>
    </w:pPr>
    <w:rPr>
      <w:rFonts w:ascii="Verdana" w:hAnsi="Verdana"/>
      <w:sz w:val="22"/>
      <w:szCs w:val="20"/>
      <w:lang w:val="en-US" w:eastAsia="en-US"/>
    </w:rPr>
  </w:style>
  <w:style w:type="paragraph" w:styleId="1048">
    <w:name w:val="Текст сноски,Footnote Text Char Знак Знак,Footnote Text Char Знак,Footnote Text Char Знак Знак Знак Знак"/>
    <w:basedOn w:val="924"/>
    <w:next w:val="1048"/>
    <w:link w:val="1084"/>
    <w:semiHidden/>
    <w:pPr>
      <w:jc w:val="left"/>
    </w:pPr>
    <w:rPr>
      <w:sz w:val="20"/>
      <w:szCs w:val="20"/>
    </w:rPr>
  </w:style>
  <w:style w:type="paragraph" w:styleId="1049">
    <w:name w:val="Стиль3 Знак Знак"/>
    <w:basedOn w:val="952"/>
    <w:next w:val="1049"/>
    <w:link w:val="1146"/>
    <w:pPr>
      <w:ind w:left="0"/>
      <w:spacing w:after="0" w:line="240" w:lineRule="auto"/>
      <w:widowControl w:val="off"/>
      <w:tabs>
        <w:tab w:val="num" w:pos="227" w:leader="none"/>
      </w:tabs>
    </w:pPr>
    <w:rPr>
      <w:szCs w:val="20"/>
      <w:lang w:val="ru-RU" w:eastAsia="ru-RU"/>
    </w:rPr>
  </w:style>
  <w:style w:type="character" w:styleId="1050">
    <w:name w:val="Заголовок 3 Знак"/>
    <w:next w:val="1050"/>
    <w:link w:val="924"/>
    <w:rPr>
      <w:rFonts w:ascii="Arial" w:hAnsi="Arial" w:cs="Arial"/>
      <w:b/>
      <w:bCs/>
      <w:sz w:val="26"/>
      <w:szCs w:val="26"/>
      <w:lang w:val="ru-RU" w:eastAsia="ru-RU" w:bidi="ar-SA"/>
    </w:rPr>
  </w:style>
  <w:style w:type="paragraph" w:styleId="1051">
    <w:name w:val="03zagolovok2"/>
    <w:basedOn w:val="924"/>
    <w:next w:val="1051"/>
    <w:link w:val="924"/>
    <w:pPr>
      <w:jc w:val="left"/>
      <w:keepNext/>
      <w:spacing w:before="360" w:after="120" w:line="360" w:lineRule="atLeast"/>
      <w:outlineLvl w:val="1"/>
    </w:pPr>
    <w:rPr>
      <w:rFonts w:ascii="GaramondC" w:hAnsi="GaramondC"/>
      <w:b/>
      <w:color w:val="000000"/>
      <w:sz w:val="28"/>
      <w:szCs w:val="28"/>
    </w:rPr>
  </w:style>
  <w:style w:type="paragraph" w:styleId="1052">
    <w:name w:val="Название"/>
    <w:basedOn w:val="924"/>
    <w:next w:val="1052"/>
    <w:link w:val="1085"/>
    <w:qFormat/>
    <w:pPr>
      <w:ind w:left="72"/>
      <w:jc w:val="center"/>
      <w:shd w:val="clear" w:color="auto" w:fill="ffffff"/>
      <w:widowControl w:val="off"/>
    </w:pPr>
    <w:rPr>
      <w:bCs/>
      <w:color w:val="000000"/>
      <w:spacing w:val="13"/>
      <w:szCs w:val="22"/>
      <w:lang w:val="en-US" w:eastAsia="en-US"/>
    </w:rPr>
  </w:style>
  <w:style w:type="paragraph" w:styleId="1053">
    <w:name w:val="текст"/>
    <w:next w:val="1053"/>
    <w:link w:val="924"/>
    <w:pPr>
      <w:jc w:val="both"/>
    </w:pPr>
    <w:rPr>
      <w:rFonts w:ascii="SchoolBookC" w:hAnsi="SchoolBookC"/>
      <w:color w:val="000000"/>
      <w:sz w:val="24"/>
      <w:lang w:val="ru-RU" w:eastAsia="ru-RU" w:bidi="ar-SA"/>
    </w:rPr>
  </w:style>
  <w:style w:type="paragraph" w:styleId="1054">
    <w:name w:val="втяжка"/>
    <w:basedOn w:val="1055"/>
    <w:next w:val="1055"/>
    <w:link w:val="924"/>
    <w:pPr>
      <w:ind w:left="567" w:hanging="567"/>
      <w:spacing w:before="57"/>
      <w:tabs>
        <w:tab w:val="left" w:pos="567" w:leader="none"/>
      </w:tabs>
    </w:pPr>
  </w:style>
  <w:style w:type="paragraph" w:styleId="1055">
    <w:name w:val="текст1"/>
    <w:next w:val="1055"/>
    <w:link w:val="924"/>
    <w:pPr>
      <w:ind w:firstLine="397"/>
      <w:jc w:val="both"/>
    </w:pPr>
    <w:rPr>
      <w:rFonts w:ascii="SchoolBookC" w:hAnsi="SchoolBookC"/>
      <w:sz w:val="24"/>
      <w:lang w:val="ru-RU" w:eastAsia="ru-RU" w:bidi="ar-SA"/>
    </w:rPr>
  </w:style>
  <w:style w:type="paragraph" w:styleId="1056">
    <w:name w:val="Знак Знак2 Char Char Знак Знак Char Char Знак Знак Char Char Знак Знак Char Char Знак Знак Char Char Знак Знак Char Char Знак Знак Char Char Знак Знак Char Char"/>
    <w:basedOn w:val="924"/>
    <w:next w:val="1056"/>
    <w:link w:val="924"/>
    <w:pPr>
      <w:jc w:val="left"/>
      <w:spacing w:before="100" w:beforeAutospacing="1" w:after="100" w:afterAutospacing="1"/>
    </w:pPr>
    <w:rPr>
      <w:rFonts w:ascii="Tahoma" w:hAnsi="Tahoma"/>
      <w:sz w:val="20"/>
      <w:szCs w:val="20"/>
      <w:lang w:val="en-US" w:eastAsia="en-US"/>
    </w:rPr>
  </w:style>
  <w:style w:type="paragraph" w:styleId="1057">
    <w:name w:val=" Знак Знак2 Char Char Знак Знак Char Char Знак Знак Char Char Знак Знак Char Char Знак Знак Char Char Знак Знак Char Char Знак Знак Char Char Знак Знак Char Char"/>
    <w:basedOn w:val="924"/>
    <w:next w:val="1057"/>
    <w:link w:val="924"/>
    <w:pPr>
      <w:jc w:val="left"/>
      <w:spacing w:before="100" w:beforeAutospacing="1" w:after="100" w:afterAutospacing="1"/>
    </w:pPr>
    <w:rPr>
      <w:rFonts w:ascii="Tahoma" w:hAnsi="Tahoma"/>
      <w:sz w:val="20"/>
      <w:szCs w:val="20"/>
      <w:lang w:val="en-US" w:eastAsia="en-US"/>
    </w:rPr>
  </w:style>
  <w:style w:type="paragraph" w:styleId="1058">
    <w:name w:val=" Char Char"/>
    <w:basedOn w:val="924"/>
    <w:next w:val="1058"/>
    <w:link w:val="924"/>
    <w:pPr>
      <w:jc w:val="left"/>
      <w:spacing w:before="100" w:beforeAutospacing="1" w:after="100" w:afterAutospacing="1"/>
    </w:pPr>
    <w:rPr>
      <w:rFonts w:ascii="Tahoma" w:hAnsi="Tahoma"/>
      <w:sz w:val="20"/>
      <w:szCs w:val="20"/>
      <w:lang w:val="en-US" w:eastAsia="en-US"/>
    </w:rPr>
  </w:style>
  <w:style w:type="paragraph" w:styleId="1059">
    <w:name w:val="Название объекта"/>
    <w:basedOn w:val="924"/>
    <w:next w:val="924"/>
    <w:link w:val="924"/>
    <w:qFormat/>
    <w:pPr>
      <w:ind w:left="994"/>
      <w:jc w:val="center"/>
      <w:spacing w:before="538"/>
      <w:shd w:val="clear" w:color="auto" w:fill="ffffff"/>
      <w:widowControl w:val="off"/>
    </w:pPr>
    <w:rPr>
      <w:b/>
      <w:bCs/>
      <w:color w:val="000000"/>
      <w:spacing w:val="-2"/>
      <w:sz w:val="26"/>
      <w:szCs w:val="26"/>
    </w:rPr>
  </w:style>
  <w:style w:type="paragraph" w:styleId="1060">
    <w:name w:val="FR3"/>
    <w:next w:val="1060"/>
    <w:link w:val="924"/>
    <w:pPr>
      <w:spacing w:before="260"/>
      <w:widowControl w:val="off"/>
    </w:pPr>
    <w:rPr>
      <w:sz w:val="16"/>
      <w:lang w:val="ru-RU" w:eastAsia="ru-RU" w:bidi="ar-SA"/>
    </w:rPr>
  </w:style>
  <w:style w:type="paragraph" w:styleId="1061">
    <w:name w:val="Готовый"/>
    <w:basedOn w:val="924"/>
    <w:next w:val="1061"/>
    <w:link w:val="924"/>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062">
    <w:name w:val="Font Style24"/>
    <w:next w:val="1062"/>
    <w:link w:val="924"/>
    <w:rPr>
      <w:rFonts w:ascii="Times New Roman" w:hAnsi="Times New Roman" w:cs="Times New Roman"/>
      <w:spacing w:val="10"/>
      <w:sz w:val="20"/>
      <w:szCs w:val="20"/>
    </w:rPr>
  </w:style>
  <w:style w:type="paragraph" w:styleId="1063">
    <w:name w:val="Style16"/>
    <w:basedOn w:val="924"/>
    <w:next w:val="1063"/>
    <w:link w:val="924"/>
    <w:pPr>
      <w:ind w:firstLine="542"/>
      <w:spacing w:line="272" w:lineRule="exact"/>
      <w:widowControl w:val="off"/>
    </w:pPr>
  </w:style>
  <w:style w:type="paragraph" w:styleId="1064">
    <w:name w:val="Style6"/>
    <w:basedOn w:val="924"/>
    <w:next w:val="1064"/>
    <w:link w:val="924"/>
    <w:pPr>
      <w:jc w:val="left"/>
      <w:spacing w:line="283" w:lineRule="exact"/>
      <w:widowControl w:val="off"/>
    </w:pPr>
  </w:style>
  <w:style w:type="paragraph" w:styleId="1065">
    <w:name w:val="Style9"/>
    <w:basedOn w:val="924"/>
    <w:next w:val="1065"/>
    <w:link w:val="924"/>
    <w:pPr>
      <w:ind w:firstLine="185"/>
      <w:jc w:val="left"/>
      <w:spacing w:line="295" w:lineRule="exact"/>
      <w:widowControl w:val="off"/>
    </w:pPr>
  </w:style>
  <w:style w:type="paragraph" w:styleId="1066">
    <w:name w:val="Style10"/>
    <w:basedOn w:val="924"/>
    <w:next w:val="1066"/>
    <w:link w:val="924"/>
    <w:pPr>
      <w:widowControl w:val="off"/>
    </w:pPr>
  </w:style>
  <w:style w:type="paragraph" w:styleId="1067">
    <w:name w:val="Style11"/>
    <w:basedOn w:val="924"/>
    <w:next w:val="1067"/>
    <w:link w:val="924"/>
    <w:pPr>
      <w:spacing w:line="274" w:lineRule="exact"/>
      <w:widowControl w:val="off"/>
    </w:pPr>
  </w:style>
  <w:style w:type="character" w:styleId="1068">
    <w:name w:val="Font Style22"/>
    <w:next w:val="1068"/>
    <w:link w:val="924"/>
    <w:rPr>
      <w:rFonts w:ascii="Times New Roman" w:hAnsi="Times New Roman" w:cs="Times New Roman"/>
      <w:b/>
      <w:bCs/>
      <w:spacing w:val="10"/>
      <w:sz w:val="20"/>
      <w:szCs w:val="20"/>
    </w:rPr>
  </w:style>
  <w:style w:type="paragraph" w:styleId="1069">
    <w:name w:val="Style1"/>
    <w:basedOn w:val="924"/>
    <w:next w:val="1069"/>
    <w:link w:val="924"/>
    <w:pPr>
      <w:jc w:val="left"/>
      <w:widowControl w:val="off"/>
    </w:pPr>
  </w:style>
  <w:style w:type="paragraph" w:styleId="1070">
    <w:name w:val="Style2"/>
    <w:basedOn w:val="924"/>
    <w:next w:val="1070"/>
    <w:link w:val="924"/>
    <w:pPr>
      <w:ind w:hanging="362"/>
      <w:jc w:val="left"/>
      <w:spacing w:line="271" w:lineRule="exact"/>
      <w:widowControl w:val="off"/>
    </w:pPr>
  </w:style>
  <w:style w:type="paragraph" w:styleId="1071">
    <w:name w:val="Style8"/>
    <w:basedOn w:val="924"/>
    <w:next w:val="1071"/>
    <w:link w:val="924"/>
    <w:pPr>
      <w:spacing w:line="413" w:lineRule="exact"/>
      <w:widowControl w:val="off"/>
    </w:pPr>
  </w:style>
  <w:style w:type="paragraph" w:styleId="1072">
    <w:name w:val="Style13"/>
    <w:basedOn w:val="924"/>
    <w:next w:val="1072"/>
    <w:link w:val="924"/>
    <w:pPr>
      <w:ind w:firstLine="259"/>
      <w:jc w:val="left"/>
      <w:spacing w:line="401" w:lineRule="exact"/>
      <w:widowControl w:val="off"/>
    </w:pPr>
  </w:style>
  <w:style w:type="paragraph" w:styleId="1073">
    <w:name w:val="Style15"/>
    <w:basedOn w:val="924"/>
    <w:next w:val="1073"/>
    <w:link w:val="924"/>
    <w:pPr>
      <w:ind w:firstLine="122"/>
      <w:jc w:val="left"/>
      <w:spacing w:line="398" w:lineRule="exact"/>
      <w:widowControl w:val="off"/>
    </w:pPr>
  </w:style>
  <w:style w:type="paragraph" w:styleId="1074">
    <w:name w:val="Style17"/>
    <w:basedOn w:val="924"/>
    <w:next w:val="1074"/>
    <w:link w:val="924"/>
    <w:pPr>
      <w:ind w:firstLine="1042"/>
      <w:jc w:val="left"/>
      <w:spacing w:line="413" w:lineRule="exact"/>
      <w:widowControl w:val="off"/>
    </w:pPr>
  </w:style>
  <w:style w:type="character" w:styleId="1075">
    <w:name w:val="Font Style23"/>
    <w:next w:val="1075"/>
    <w:link w:val="924"/>
    <w:rPr>
      <w:rFonts w:ascii="Times New Roman" w:hAnsi="Times New Roman" w:cs="Times New Roman"/>
      <w:b/>
      <w:bCs/>
      <w:i/>
      <w:iCs/>
      <w:sz w:val="20"/>
      <w:szCs w:val="20"/>
    </w:rPr>
  </w:style>
  <w:style w:type="character" w:styleId="1076">
    <w:name w:val="Font Style25"/>
    <w:next w:val="1076"/>
    <w:link w:val="924"/>
    <w:rPr>
      <w:rFonts w:ascii="Times New Roman" w:hAnsi="Times New Roman" w:cs="Times New Roman"/>
      <w:b/>
      <w:bCs/>
      <w:sz w:val="26"/>
      <w:szCs w:val="26"/>
    </w:rPr>
  </w:style>
  <w:style w:type="character" w:styleId="1077">
    <w:name w:val="Font Style26"/>
    <w:next w:val="1077"/>
    <w:link w:val="924"/>
    <w:rPr>
      <w:rFonts w:ascii="Times New Roman" w:hAnsi="Times New Roman" w:cs="Times New Roman"/>
      <w:sz w:val="24"/>
      <w:szCs w:val="24"/>
    </w:rPr>
  </w:style>
  <w:style w:type="paragraph" w:styleId="1078">
    <w:name w:val=" Знак Знак Знак2 Знак"/>
    <w:basedOn w:val="924"/>
    <w:next w:val="1078"/>
    <w:link w:val="924"/>
    <w:pPr>
      <w:jc w:val="right"/>
      <w:spacing w:after="160" w:line="240" w:lineRule="exact"/>
      <w:widowControl w:val="off"/>
    </w:pPr>
    <w:rPr>
      <w:sz w:val="20"/>
      <w:szCs w:val="20"/>
      <w:lang w:val="en-GB" w:eastAsia="en-US"/>
    </w:rPr>
  </w:style>
  <w:style w:type="paragraph" w:styleId="1079">
    <w:name w:val="Стиль"/>
    <w:next w:val="1079"/>
    <w:link w:val="924"/>
    <w:pPr>
      <w:widowControl w:val="off"/>
    </w:pPr>
    <w:rPr>
      <w:sz w:val="24"/>
      <w:szCs w:val="24"/>
      <w:lang w:val="ru-RU" w:eastAsia="ru-RU" w:bidi="ar-SA"/>
    </w:rPr>
  </w:style>
  <w:style w:type="paragraph" w:styleId="1080">
    <w:name w:val="Normal1"/>
    <w:next w:val="1080"/>
    <w:link w:val="924"/>
    <w:pPr>
      <w:jc w:val="both"/>
      <w:spacing w:line="360" w:lineRule="auto"/>
      <w:widowControl w:val="off"/>
    </w:pPr>
    <w:rPr>
      <w:sz w:val="28"/>
      <w:lang w:val="ru-RU" w:eastAsia="ru-RU" w:bidi="ar-SA"/>
    </w:rPr>
  </w:style>
  <w:style w:type="paragraph" w:styleId="1081">
    <w:name w:val="ConsPlusNonformat"/>
    <w:next w:val="1081"/>
    <w:link w:val="924"/>
    <w:uiPriority w:val="99"/>
    <w:rPr>
      <w:rFonts w:ascii="Courier New" w:hAnsi="Courier New" w:cs="Courier New"/>
      <w:lang w:val="ru-RU" w:eastAsia="ru-RU" w:bidi="ar-SA"/>
    </w:rPr>
  </w:style>
  <w:style w:type="paragraph" w:styleId="1082">
    <w:name w:val="Обычный1"/>
    <w:next w:val="1082"/>
    <w:link w:val="924"/>
    <w:pPr>
      <w:ind w:firstLine="720"/>
      <w:jc w:val="both"/>
      <w:spacing w:line="300" w:lineRule="auto"/>
      <w:widowControl w:val="off"/>
    </w:pPr>
    <w:rPr>
      <w:sz w:val="24"/>
      <w:lang w:val="ru-RU" w:eastAsia="ru-RU" w:bidi="ar-SA"/>
    </w:rPr>
  </w:style>
  <w:style w:type="paragraph" w:styleId="1083">
    <w:name w:val="Знак"/>
    <w:basedOn w:val="924"/>
    <w:next w:val="1083"/>
    <w:link w:val="924"/>
    <w:pPr>
      <w:spacing w:after="160" w:line="240" w:lineRule="exact"/>
    </w:pPr>
    <w:rPr>
      <w:rFonts w:ascii="Verdana" w:hAnsi="Verdana"/>
      <w:sz w:val="22"/>
      <w:szCs w:val="20"/>
      <w:lang w:val="en-US" w:eastAsia="en-US"/>
    </w:rPr>
  </w:style>
  <w:style w:type="character" w:styleId="1084">
    <w:name w:val="Текст сноски Знак,Footnote Text Char Знак Знак Знак1,Footnote Text Char Знак Знак2,Footnote Text Char Знак Знак Знак Знак Знак"/>
    <w:basedOn w:val="934"/>
    <w:next w:val="1084"/>
    <w:link w:val="1048"/>
    <w:semiHidden/>
  </w:style>
  <w:style w:type="character" w:styleId="1085">
    <w:name w:val="Название Знак1"/>
    <w:next w:val="1085"/>
    <w:link w:val="1052"/>
    <w:rPr>
      <w:bCs/>
      <w:color w:val="000000"/>
      <w:spacing w:val="13"/>
      <w:sz w:val="24"/>
      <w:szCs w:val="22"/>
      <w:shd w:val="clear" w:color="auto" w:fill="ffffff"/>
    </w:rPr>
  </w:style>
  <w:style w:type="paragraph" w:styleId="1086">
    <w:name w:val="Char Char"/>
    <w:basedOn w:val="924"/>
    <w:next w:val="1086"/>
    <w:link w:val="924"/>
    <w:pPr>
      <w:jc w:val="left"/>
      <w:spacing w:before="100" w:beforeAutospacing="1" w:after="100" w:afterAutospacing="1"/>
    </w:pPr>
    <w:rPr>
      <w:rFonts w:ascii="Tahoma" w:hAnsi="Tahoma"/>
      <w:sz w:val="20"/>
      <w:szCs w:val="20"/>
      <w:lang w:val="en-US" w:eastAsia="en-US"/>
    </w:rPr>
  </w:style>
  <w:style w:type="paragraph" w:styleId="1087">
    <w:name w:val="Знак Знак Знак2 Знак"/>
    <w:basedOn w:val="924"/>
    <w:next w:val="1087"/>
    <w:link w:val="924"/>
    <w:uiPriority w:val="99"/>
    <w:pPr>
      <w:jc w:val="right"/>
      <w:spacing w:after="160" w:line="240" w:lineRule="exact"/>
      <w:widowControl w:val="off"/>
    </w:pPr>
    <w:rPr>
      <w:sz w:val="20"/>
      <w:szCs w:val="20"/>
      <w:lang w:val="en-GB" w:eastAsia="en-US"/>
    </w:rPr>
  </w:style>
  <w:style w:type="paragraph" w:styleId="1088">
    <w:name w:val="List21"/>
    <w:basedOn w:val="924"/>
    <w:next w:val="1088"/>
    <w:link w:val="924"/>
    <w:pPr>
      <w:spacing w:line="360" w:lineRule="auto"/>
      <w:tabs>
        <w:tab w:val="left" w:pos="1701" w:leader="none"/>
      </w:tabs>
    </w:pPr>
    <w:rPr>
      <w:szCs w:val="20"/>
    </w:rPr>
  </w:style>
  <w:style w:type="paragraph" w:styleId="1089">
    <w:name w:val="ConsTitle"/>
    <w:next w:val="1089"/>
    <w:link w:val="924"/>
    <w:rPr>
      <w:rFonts w:ascii="Arial" w:hAnsi="Arial" w:cs="Arial"/>
      <w:b/>
      <w:bCs/>
      <w:sz w:val="16"/>
      <w:szCs w:val="16"/>
      <w:lang w:val="ru-RU" w:eastAsia="ru-RU" w:bidi="ar-SA"/>
    </w:rPr>
  </w:style>
  <w:style w:type="paragraph" w:styleId="1090">
    <w:name w:val="Контракт-пункт"/>
    <w:basedOn w:val="924"/>
    <w:next w:val="1090"/>
    <w:link w:val="924"/>
    <w:pPr>
      <w:numPr>
        <w:ilvl w:val="1"/>
        <w:numId w:val="5"/>
      </w:numPr>
    </w:pPr>
  </w:style>
  <w:style w:type="character" w:styleId="1091">
    <w:name w:val="Контракт-раздел Знак Знак"/>
    <w:next w:val="1091"/>
    <w:link w:val="924"/>
    <w:rPr>
      <w:b/>
      <w:bCs/>
      <w:caps/>
      <w:smallCaps/>
      <w:sz w:val="24"/>
      <w:szCs w:val="24"/>
      <w:lang w:val="ru-RU" w:eastAsia="ru-RU" w:bidi="ar-SA"/>
    </w:rPr>
  </w:style>
  <w:style w:type="paragraph" w:styleId="1092">
    <w:name w:val="Текст примечания"/>
    <w:basedOn w:val="924"/>
    <w:next w:val="1092"/>
    <w:link w:val="1093"/>
    <w:pPr>
      <w:jc w:val="left"/>
    </w:pPr>
    <w:rPr>
      <w:sz w:val="20"/>
      <w:szCs w:val="20"/>
    </w:rPr>
  </w:style>
  <w:style w:type="character" w:styleId="1093">
    <w:name w:val="Текст примечания Знак"/>
    <w:basedOn w:val="934"/>
    <w:next w:val="1093"/>
    <w:link w:val="1092"/>
  </w:style>
  <w:style w:type="paragraph" w:styleId="1094">
    <w:name w:val="Тема примечания"/>
    <w:basedOn w:val="1092"/>
    <w:next w:val="1092"/>
    <w:link w:val="1095"/>
    <w:pPr>
      <w:jc w:val="both"/>
      <w:spacing w:line="360" w:lineRule="auto"/>
    </w:pPr>
    <w:rPr>
      <w:b/>
      <w:bCs/>
      <w:lang w:val="en-US" w:eastAsia="en-US"/>
    </w:rPr>
  </w:style>
  <w:style w:type="character" w:styleId="1095">
    <w:name w:val="Тема примечания Знак"/>
    <w:next w:val="1095"/>
    <w:link w:val="1094"/>
    <w:rPr>
      <w:b/>
      <w:bCs/>
    </w:rPr>
  </w:style>
  <w:style w:type="paragraph" w:styleId="1096">
    <w:name w:val="Контракт-раздел"/>
    <w:basedOn w:val="924"/>
    <w:next w:val="924"/>
    <w:link w:val="924"/>
    <w:pPr>
      <w:jc w:val="center"/>
      <w:keepNext/>
      <w:spacing w:before="360" w:after="120"/>
      <w:tabs>
        <w:tab w:val="left" w:pos="540" w:leader="none"/>
      </w:tabs>
      <w:outlineLvl w:val="3"/>
    </w:pPr>
    <w:rPr>
      <w:b/>
      <w:bCs/>
      <w:caps/>
      <w:smallCaps/>
    </w:rPr>
  </w:style>
  <w:style w:type="paragraph" w:styleId="1097">
    <w:name w:val="ConsPlusTitle"/>
    <w:next w:val="1097"/>
    <w:link w:val="924"/>
    <w:uiPriority w:val="99"/>
    <w:rPr>
      <w:b/>
      <w:bCs/>
      <w:sz w:val="22"/>
      <w:szCs w:val="22"/>
      <w:lang w:val="ru-RU" w:eastAsia="ru-RU" w:bidi="ar-SA"/>
    </w:rPr>
  </w:style>
  <w:style w:type="paragraph" w:styleId="1098">
    <w:name w:val="Знак Знак Знак"/>
    <w:basedOn w:val="924"/>
    <w:next w:val="1098"/>
    <w:link w:val="924"/>
    <w:pPr>
      <w:jc w:val="left"/>
      <w:spacing w:before="100" w:beforeAutospacing="1" w:after="100" w:afterAutospacing="1"/>
    </w:pPr>
    <w:rPr>
      <w:rFonts w:ascii="Tahoma" w:hAnsi="Tahoma"/>
      <w:sz w:val="20"/>
      <w:szCs w:val="20"/>
      <w:lang w:val="en-US" w:eastAsia="en-US"/>
    </w:rPr>
  </w:style>
  <w:style w:type="paragraph" w:styleId="1099">
    <w:name w:val="Head 9.2"/>
    <w:basedOn w:val="924"/>
    <w:next w:val="924"/>
    <w:link w:val="924"/>
    <w:pPr>
      <w:jc w:val="center"/>
    </w:pPr>
    <w:rPr>
      <w:b/>
      <w:bCs/>
    </w:rPr>
  </w:style>
  <w:style w:type="paragraph" w:styleId="1100">
    <w:name w:val="Head 9.1"/>
    <w:basedOn w:val="924"/>
    <w:next w:val="924"/>
    <w:link w:val="924"/>
    <w:pPr>
      <w:jc w:val="center"/>
      <w:keepNext/>
    </w:pPr>
    <w:rPr>
      <w:b/>
      <w:lang w:eastAsia="en-US"/>
    </w:rPr>
  </w:style>
  <w:style w:type="paragraph" w:styleId="1101">
    <w:name w:val="stylebodytextjustifiedbefore5ptafter5ptkernat1"/>
    <w:basedOn w:val="924"/>
    <w:next w:val="1101"/>
    <w:link w:val="924"/>
    <w:pPr>
      <w:numPr>
        <w:ilvl w:val="0"/>
        <w:numId w:val="18"/>
      </w:numPr>
      <w:spacing w:before="100" w:after="100"/>
    </w:pPr>
  </w:style>
  <w:style w:type="paragraph" w:styleId="1102">
    <w:name w:val="Список 5"/>
    <w:basedOn w:val="924"/>
    <w:next w:val="1102"/>
    <w:link w:val="924"/>
    <w:pPr>
      <w:contextualSpacing/>
      <w:ind w:left="1415" w:hanging="283"/>
    </w:pPr>
  </w:style>
  <w:style w:type="paragraph" w:styleId="1103">
    <w:name w:val="_Абзац"/>
    <w:basedOn w:val="924"/>
    <w:next w:val="1103"/>
    <w:link w:val="924"/>
    <w:pPr>
      <w:numPr>
        <w:ilvl w:val="4"/>
        <w:numId w:val="19"/>
      </w:numPr>
      <w:ind w:right="284"/>
      <w:spacing w:line="360" w:lineRule="auto"/>
      <w:outlineLvl w:val="4"/>
    </w:pPr>
    <w:rPr>
      <w:rFonts w:ascii="Arial" w:hAnsi="Arial" w:cs="Arial"/>
      <w:sz w:val="20"/>
      <w:szCs w:val="20"/>
    </w:rPr>
  </w:style>
  <w:style w:type="paragraph" w:styleId="1104">
    <w:name w:val="_Подпункт"/>
    <w:basedOn w:val="924"/>
    <w:next w:val="1104"/>
    <w:link w:val="924"/>
    <w:pPr>
      <w:numPr>
        <w:ilvl w:val="3"/>
        <w:numId w:val="19"/>
      </w:numPr>
      <w:ind w:right="284" w:firstLine="0"/>
      <w:spacing w:before="60" w:line="360" w:lineRule="auto"/>
      <w:outlineLvl w:val="3"/>
    </w:pPr>
    <w:rPr>
      <w:rFonts w:ascii="Arial" w:hAnsi="Arial" w:cs="Arial"/>
      <w:sz w:val="20"/>
      <w:szCs w:val="20"/>
    </w:rPr>
  </w:style>
  <w:style w:type="paragraph" w:styleId="1105">
    <w:name w:val="_Подраздел"/>
    <w:basedOn w:val="924"/>
    <w:next w:val="924"/>
    <w:link w:val="924"/>
    <w:pPr>
      <w:numPr>
        <w:ilvl w:val="1"/>
        <w:numId w:val="19"/>
      </w:numPr>
      <w:ind w:right="284" w:firstLine="0"/>
      <w:keepNext/>
      <w:spacing w:before="120" w:after="120" w:line="360" w:lineRule="auto"/>
      <w:outlineLvl w:val="1"/>
    </w:pPr>
    <w:rPr>
      <w:rFonts w:ascii="Arial" w:hAnsi="Arial" w:cs="Arial"/>
      <w:sz w:val="20"/>
      <w:szCs w:val="20"/>
    </w:rPr>
  </w:style>
  <w:style w:type="paragraph" w:styleId="1106">
    <w:name w:val="_Пункт"/>
    <w:basedOn w:val="1105"/>
    <w:next w:val="924"/>
    <w:link w:val="924"/>
    <w:pPr>
      <w:numPr>
        <w:ilvl w:val="2"/>
        <w:numId w:val="19"/>
      </w:numPr>
      <w:ind w:firstLine="0"/>
      <w:outlineLvl w:val="2"/>
    </w:pPr>
  </w:style>
  <w:style w:type="paragraph" w:styleId="1107">
    <w:name w:val="_Раздел"/>
    <w:basedOn w:val="924"/>
    <w:next w:val="1105"/>
    <w:link w:val="924"/>
    <w:pPr>
      <w:numPr>
        <w:ilvl w:val="0"/>
        <w:numId w:val="19"/>
      </w:numPr>
      <w:ind w:right="284"/>
      <w:jc w:val="left"/>
      <w:keepNext/>
      <w:pageBreakBefore/>
      <w:spacing w:before="120" w:after="120"/>
      <w:outlineLvl w:val="0"/>
    </w:pPr>
    <w:rPr>
      <w:rFonts w:ascii="Arial" w:hAnsi="Arial" w:cs="Arial"/>
      <w:sz w:val="28"/>
      <w:szCs w:val="20"/>
    </w:rPr>
  </w:style>
  <w:style w:type="character" w:styleId="1108">
    <w:name w:val="Знак сноски"/>
    <w:next w:val="1108"/>
    <w:link w:val="924"/>
    <w:rPr>
      <w:vertAlign w:val="superscript"/>
    </w:rPr>
  </w:style>
  <w:style w:type="paragraph" w:styleId="1109">
    <w:name w:val="Нормальный"/>
    <w:next w:val="1109"/>
    <w:link w:val="924"/>
    <w:pPr>
      <w:widowControl w:val="off"/>
    </w:pPr>
    <w:rPr>
      <w:lang w:val="ru-RU" w:eastAsia="ru-RU" w:bidi="ar-SA"/>
    </w:rPr>
  </w:style>
  <w:style w:type="paragraph" w:styleId="1110">
    <w:name w:val="ТТ список 1"/>
    <w:basedOn w:val="924"/>
    <w:next w:val="1110"/>
    <w:link w:val="924"/>
    <w:pPr>
      <w:numPr>
        <w:ilvl w:val="0"/>
        <w:numId w:val="20"/>
      </w:numPr>
      <w:jc w:val="left"/>
      <w:keepLines/>
      <w:keepNext/>
      <w:spacing w:before="240" w:after="120"/>
    </w:pPr>
    <w:rPr>
      <w:b/>
      <w:szCs w:val="20"/>
    </w:rPr>
  </w:style>
  <w:style w:type="paragraph" w:styleId="1111">
    <w:name w:val="ТТ список 2"/>
    <w:basedOn w:val="924"/>
    <w:next w:val="1111"/>
    <w:link w:val="924"/>
    <w:pPr>
      <w:numPr>
        <w:ilvl w:val="1"/>
        <w:numId w:val="20"/>
      </w:numPr>
      <w:jc w:val="left"/>
      <w:keepLines/>
      <w:keepNext/>
      <w:spacing w:before="120" w:after="60"/>
    </w:pPr>
    <w:rPr>
      <w:b/>
      <w:i/>
    </w:rPr>
  </w:style>
  <w:style w:type="paragraph" w:styleId="1112">
    <w:name w:val="ТТ список 3"/>
    <w:basedOn w:val="924"/>
    <w:next w:val="1112"/>
    <w:link w:val="924"/>
    <w:pPr>
      <w:numPr>
        <w:ilvl w:val="2"/>
        <w:numId w:val="21"/>
      </w:numPr>
      <w:keepLines/>
      <w:spacing w:before="60"/>
    </w:pPr>
  </w:style>
  <w:style w:type="paragraph" w:styleId="1113">
    <w:name w:val="ТТ список 4"/>
    <w:basedOn w:val="1112"/>
    <w:next w:val="1113"/>
    <w:link w:val="924"/>
    <w:pPr>
      <w:numPr>
        <w:ilvl w:val="3"/>
        <w:numId w:val="20"/>
      </w:numPr>
      <w:ind w:right="141"/>
      <w:keepLines w:val="0"/>
    </w:pPr>
  </w:style>
  <w:style w:type="paragraph" w:styleId="1114">
    <w:name w:val="ConsNonformat"/>
    <w:next w:val="1114"/>
    <w:link w:val="924"/>
    <w:rPr>
      <w:rFonts w:ascii="Courier New" w:hAnsi="Courier New" w:cs="Courier New"/>
      <w:lang w:val="ru-RU" w:eastAsia="ru-RU" w:bidi="ar-SA"/>
    </w:rPr>
  </w:style>
  <w:style w:type="paragraph" w:styleId="1115">
    <w:name w:val=" Знак Знак Знак"/>
    <w:basedOn w:val="924"/>
    <w:next w:val="1115"/>
    <w:link w:val="924"/>
    <w:pPr>
      <w:jc w:val="left"/>
      <w:spacing w:before="100" w:beforeAutospacing="1" w:after="100" w:afterAutospacing="1"/>
    </w:pPr>
    <w:rPr>
      <w:rFonts w:ascii="Tahoma" w:hAnsi="Tahoma"/>
      <w:sz w:val="20"/>
      <w:szCs w:val="20"/>
      <w:lang w:val="en-US" w:eastAsia="en-US"/>
    </w:rPr>
  </w:style>
  <w:style w:type="character" w:styleId="1116">
    <w:name w:val="Normal Знак"/>
    <w:next w:val="1116"/>
    <w:link w:val="1036"/>
    <w:rPr>
      <w:sz w:val="24"/>
      <w:lang w:val="ru-RU" w:eastAsia="ru-RU" w:bidi="ar-SA"/>
    </w:rPr>
  </w:style>
  <w:style w:type="paragraph" w:styleId="1117">
    <w:name w:val=" Знак1 Знак Знак Знак Знак Знак Знак Знак Знак Знак"/>
    <w:basedOn w:val="924"/>
    <w:next w:val="926"/>
    <w:link w:val="924"/>
    <w:pPr>
      <w:jc w:val="left"/>
      <w:spacing w:after="160" w:line="240" w:lineRule="exact"/>
    </w:pPr>
    <w:rPr>
      <w:szCs w:val="20"/>
      <w:lang w:val="en-US" w:eastAsia="en-US"/>
    </w:rPr>
  </w:style>
  <w:style w:type="paragraph" w:styleId="1118">
    <w:name w:val="Îáû÷íûé"/>
    <w:next w:val="1118"/>
    <w:link w:val="924"/>
    <w:rPr>
      <w:lang w:val="ru-RU" w:eastAsia="ru-RU" w:bidi="ar-SA"/>
    </w:rPr>
  </w:style>
  <w:style w:type="paragraph" w:styleId="1119">
    <w:name w:val="СТИЛЬ 1"/>
    <w:next w:val="1119"/>
    <w:link w:val="924"/>
    <w:pPr>
      <w:numPr>
        <w:ilvl w:val="0"/>
        <w:numId w:val="22"/>
      </w:numPr>
      <w:jc w:val="both"/>
      <w:spacing w:before="240" w:after="120"/>
    </w:pPr>
    <w:rPr>
      <w:b/>
      <w:sz w:val="28"/>
      <w:szCs w:val="24"/>
      <w:lang w:val="ru-RU" w:eastAsia="ru-RU" w:bidi="ar-SA"/>
    </w:rPr>
  </w:style>
  <w:style w:type="paragraph" w:styleId="1120">
    <w:name w:val="СТИЛЬ 2"/>
    <w:basedOn w:val="1119"/>
    <w:next w:val="1120"/>
    <w:link w:val="924"/>
    <w:pPr>
      <w:numPr>
        <w:ilvl w:val="1"/>
        <w:numId w:val="22"/>
      </w:numPr>
    </w:pPr>
    <w:rPr>
      <w:b w:val="0"/>
      <w:szCs w:val="28"/>
    </w:rPr>
  </w:style>
  <w:style w:type="paragraph" w:styleId="1121">
    <w:name w:val="СТИЛЬ 3"/>
    <w:basedOn w:val="924"/>
    <w:next w:val="1121"/>
    <w:link w:val="924"/>
    <w:pPr>
      <w:numPr>
        <w:ilvl w:val="2"/>
        <w:numId w:val="22"/>
      </w:numPr>
      <w:spacing w:before="120" w:after="120"/>
    </w:pPr>
    <w:rPr>
      <w:sz w:val="28"/>
    </w:rPr>
  </w:style>
  <w:style w:type="paragraph" w:styleId="1122">
    <w:name w:val="Tnd_Раздел"/>
    <w:basedOn w:val="924"/>
    <w:next w:val="1122"/>
    <w:link w:val="924"/>
    <w:pPr>
      <w:jc w:val="left"/>
    </w:pPr>
    <w:rPr>
      <w:rFonts w:ascii="Arial" w:hAnsi="Arial" w:cs="Arial"/>
      <w:b/>
      <w:bCs/>
      <w:caps/>
      <w:sz w:val="20"/>
      <w:szCs w:val="20"/>
    </w:rPr>
  </w:style>
  <w:style w:type="character" w:styleId="1123">
    <w:name w:val="Строгий"/>
    <w:next w:val="1123"/>
    <w:link w:val="924"/>
    <w:uiPriority w:val="99"/>
    <w:qFormat/>
    <w:rPr>
      <w:b/>
      <w:bCs/>
    </w:rPr>
  </w:style>
  <w:style w:type="character" w:styleId="1124">
    <w:name w:val="Font Style17"/>
    <w:next w:val="1124"/>
    <w:link w:val="924"/>
    <w:rPr>
      <w:rFonts w:ascii="MS Reference Sans Serif" w:hAnsi="MS Reference Sans Serif" w:cs="MS Reference Sans Serif"/>
      <w:b/>
      <w:bCs/>
      <w:sz w:val="16"/>
      <w:szCs w:val="16"/>
    </w:rPr>
  </w:style>
  <w:style w:type="character" w:styleId="1125">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125"/>
    <w:link w:val="924"/>
    <w:rPr>
      <w:b/>
      <w:sz w:val="36"/>
    </w:rPr>
  </w:style>
  <w:style w:type="paragraph" w:styleId="1126">
    <w:name w:val="Основной текст с отступом 32"/>
    <w:basedOn w:val="924"/>
    <w:next w:val="1126"/>
    <w:link w:val="924"/>
    <w:pPr>
      <w:ind w:left="283"/>
      <w:jc w:val="left"/>
      <w:spacing w:after="120"/>
    </w:pPr>
    <w:rPr>
      <w:rFonts w:eastAsia="Calibri"/>
      <w:sz w:val="16"/>
      <w:szCs w:val="16"/>
      <w:lang w:eastAsia="ar-SA"/>
    </w:rPr>
  </w:style>
  <w:style w:type="character" w:styleId="1127">
    <w:name w:val="Font Style18"/>
    <w:next w:val="1127"/>
    <w:link w:val="924"/>
    <w:rPr>
      <w:rFonts w:ascii="MS Reference Sans Serif" w:hAnsi="MS Reference Sans Serif" w:cs="MS Reference Sans Serif"/>
      <w:sz w:val="16"/>
      <w:szCs w:val="16"/>
    </w:rPr>
  </w:style>
  <w:style w:type="character" w:styleId="1128">
    <w:name w:val="Font Style15"/>
    <w:next w:val="1128"/>
    <w:link w:val="924"/>
    <w:rPr>
      <w:rFonts w:ascii="MS Reference Sans Serif" w:hAnsi="MS Reference Sans Serif" w:cs="MS Reference Sans Serif"/>
      <w:b/>
      <w:bCs/>
      <w:sz w:val="20"/>
      <w:szCs w:val="20"/>
    </w:rPr>
  </w:style>
  <w:style w:type="paragraph" w:styleId="1129">
    <w:name w:val="Style5"/>
    <w:basedOn w:val="924"/>
    <w:next w:val="1129"/>
    <w:link w:val="924"/>
    <w:pPr>
      <w:ind w:hanging="226"/>
      <w:spacing w:line="232" w:lineRule="exact"/>
      <w:widowControl w:val="off"/>
    </w:pPr>
    <w:rPr>
      <w:rFonts w:ascii="MS Reference Sans Serif" w:hAnsi="MS Reference Sans Serif" w:cs="MS Reference Sans Serif"/>
    </w:rPr>
  </w:style>
  <w:style w:type="paragraph" w:styleId="1130">
    <w:name w:val="Style12"/>
    <w:basedOn w:val="924"/>
    <w:next w:val="1130"/>
    <w:link w:val="924"/>
    <w:pPr>
      <w:ind w:hanging="341"/>
      <w:jc w:val="left"/>
      <w:spacing w:line="235" w:lineRule="exact"/>
      <w:widowControl w:val="off"/>
    </w:pPr>
    <w:rPr>
      <w:rFonts w:ascii="MS Reference Sans Serif" w:hAnsi="MS Reference Sans Serif" w:cs="MS Reference Sans Serif"/>
    </w:rPr>
  </w:style>
  <w:style w:type="paragraph" w:styleId="1131">
    <w:name w:val="Style7"/>
    <w:basedOn w:val="924"/>
    <w:next w:val="1131"/>
    <w:link w:val="924"/>
    <w:pPr>
      <w:jc w:val="left"/>
      <w:widowControl w:val="off"/>
    </w:pPr>
    <w:rPr>
      <w:rFonts w:ascii="MS Reference Sans Serif" w:hAnsi="MS Reference Sans Serif" w:cs="MS Reference Sans Serif"/>
    </w:rPr>
  </w:style>
  <w:style w:type="paragraph" w:styleId="1132">
    <w:name w:val="xl24"/>
    <w:basedOn w:val="924"/>
    <w:next w:val="1132"/>
    <w:link w:val="924"/>
    <w:pPr>
      <w:jc w:val="center"/>
      <w:spacing w:before="100" w:after="100"/>
    </w:pPr>
    <w:rPr>
      <w:szCs w:val="20"/>
    </w:rPr>
  </w:style>
  <w:style w:type="character" w:styleId="1133">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133"/>
    <w:link w:val="924"/>
    <w:rPr>
      <w:b/>
      <w:sz w:val="36"/>
    </w:rPr>
  </w:style>
  <w:style w:type="paragraph" w:styleId="1134">
    <w:name w:val="Без интервала"/>
    <w:next w:val="1134"/>
    <w:link w:val="924"/>
    <w:uiPriority w:val="1"/>
    <w:qFormat/>
    <w:rPr>
      <w:rFonts w:ascii="Calibri" w:hAnsi="Calibri"/>
      <w:sz w:val="22"/>
      <w:szCs w:val="22"/>
      <w:lang w:val="ru-RU" w:eastAsia="ru-RU" w:bidi="ar-SA"/>
    </w:rPr>
  </w:style>
  <w:style w:type="character" w:styleId="1135">
    <w:name w:val="Название Знак"/>
    <w:next w:val="1135"/>
    <w:link w:val="924"/>
    <w:rPr>
      <w:rFonts w:ascii="Monotype Corsiva" w:hAnsi="Monotype Corsiva" w:cs="Monotype Corsiva"/>
      <w:b/>
      <w:bCs/>
      <w:sz w:val="28"/>
      <w:szCs w:val="28"/>
      <w:lang w:val="ru-RU" w:eastAsia="ru-RU" w:bidi="ar-SA"/>
    </w:rPr>
  </w:style>
  <w:style w:type="paragraph" w:styleId="1136">
    <w:name w:val="Стиль 10 пт Первая строка:  0 см"/>
    <w:basedOn w:val="924"/>
    <w:next w:val="1136"/>
    <w:link w:val="924"/>
    <w:rPr>
      <w:rFonts w:ascii="Monotype Corsiva" w:hAnsi="Monotype Corsiva" w:cs="Monotype Corsiva"/>
    </w:rPr>
  </w:style>
  <w:style w:type="paragraph" w:styleId="1137">
    <w:name w:val=" Char"/>
    <w:basedOn w:val="924"/>
    <w:next w:val="1137"/>
    <w:link w:val="924"/>
    <w:pPr>
      <w:jc w:val="left"/>
      <w:keepLines/>
      <w:spacing w:after="160" w:line="240" w:lineRule="exact"/>
    </w:pPr>
    <w:rPr>
      <w:rFonts w:ascii="Verdana" w:hAnsi="Verdana" w:eastAsia="MS Mincho" w:cs="Franklin Gothic Book"/>
      <w:sz w:val="20"/>
      <w:szCs w:val="20"/>
      <w:lang w:val="en-US" w:eastAsia="en-US"/>
    </w:rPr>
  </w:style>
  <w:style w:type="paragraph" w:styleId="1138">
    <w:name w:val="Обычный + 11"/>
    <w:basedOn w:val="924"/>
    <w:next w:val="1138"/>
    <w:link w:val="924"/>
    <w:pPr>
      <w:ind w:left="360" w:hanging="360"/>
    </w:pPr>
  </w:style>
  <w:style w:type="paragraph" w:styleId="1139">
    <w:name w:val="Обычный + 11 пт"/>
    <w:basedOn w:val="1138"/>
    <w:next w:val="1139"/>
    <w:link w:val="924"/>
  </w:style>
  <w:style w:type="paragraph" w:styleId="1140">
    <w:name w:val="Обычный без отступа"/>
    <w:basedOn w:val="924"/>
    <w:next w:val="1140"/>
    <w:link w:val="924"/>
    <w:pPr>
      <w:jc w:val="left"/>
      <w:widowControl w:val="off"/>
    </w:pPr>
    <w:rPr>
      <w:rFonts w:eastAsia="Lucida Sans Unicode" w:cs="Mangal"/>
      <w:szCs w:val="20"/>
      <w:lang w:eastAsia="hi-IN" w:bidi="hi-IN"/>
    </w:rPr>
  </w:style>
  <w:style w:type="paragraph" w:styleId="1141">
    <w:name w:val="Указатель 1"/>
    <w:basedOn w:val="924"/>
    <w:next w:val="924"/>
    <w:link w:val="924"/>
    <w:semiHidden/>
    <w:pPr>
      <w:ind w:left="240" w:hanging="240"/>
    </w:pPr>
  </w:style>
  <w:style w:type="paragraph" w:styleId="1142">
    <w:name w:val="Указатель"/>
    <w:basedOn w:val="1136"/>
    <w:next w:val="1141"/>
    <w:link w:val="924"/>
    <w:pPr>
      <w:jc w:val="left"/>
    </w:pPr>
  </w:style>
  <w:style w:type="paragraph" w:styleId="1143">
    <w:name w:val="Абзац списка,Bullet List,FooterText,numbered,Paragraphe de liste1,lp1"/>
    <w:basedOn w:val="924"/>
    <w:next w:val="1143"/>
    <w:link w:val="1158"/>
    <w:qFormat/>
    <w:pPr>
      <w:ind w:left="720" w:firstLine="709"/>
      <w:jc w:val="left"/>
    </w:pPr>
    <w:rPr>
      <w:rFonts w:ascii="Monotype Corsiva" w:hAnsi="Monotype Corsiva" w:cs="Monotype Corsiva"/>
      <w:sz w:val="28"/>
      <w:szCs w:val="28"/>
      <w:lang w:eastAsia="en-US"/>
    </w:rPr>
  </w:style>
  <w:style w:type="paragraph" w:styleId="1144">
    <w:name w:val="List Paragraph"/>
    <w:basedOn w:val="924"/>
    <w:next w:val="1144"/>
    <w:link w:val="924"/>
    <w:pPr>
      <w:ind w:left="720" w:firstLine="709"/>
      <w:jc w:val="left"/>
    </w:pPr>
    <w:rPr>
      <w:rFonts w:ascii="Monotype Corsiva" w:hAnsi="Monotype Corsiva" w:cs="Monotype Corsiva"/>
      <w:sz w:val="28"/>
      <w:szCs w:val="28"/>
      <w:lang w:eastAsia="en-US"/>
    </w:rPr>
  </w:style>
  <w:style w:type="paragraph" w:styleId="1145">
    <w:name w:val="Default"/>
    <w:next w:val="1145"/>
    <w:link w:val="924"/>
    <w:rPr>
      <w:color w:val="000000"/>
      <w:sz w:val="24"/>
      <w:szCs w:val="24"/>
      <w:lang w:val="ru-RU" w:eastAsia="ru-RU" w:bidi="ar-SA"/>
    </w:rPr>
  </w:style>
  <w:style w:type="character" w:styleId="1146">
    <w:name w:val="Стиль3 Знак Знак Знак"/>
    <w:next w:val="1146"/>
    <w:link w:val="1049"/>
    <w:rPr>
      <w:sz w:val="24"/>
      <w:lang w:val="ru-RU" w:eastAsia="ru-RU" w:bidi="ar-SA"/>
    </w:rPr>
  </w:style>
  <w:style w:type="character" w:styleId="1147">
    <w:name w:val="Footnote Text Char Знак Знак Знак,Footnote Text Char Знак Знак1,Footnote Text Char Знак Знак Знак Знак Знак Знак"/>
    <w:basedOn w:val="934"/>
    <w:next w:val="1147"/>
    <w:link w:val="924"/>
    <w:semiHidden/>
  </w:style>
  <w:style w:type="paragraph" w:styleId="1148">
    <w:name w:val="No Spacing"/>
    <w:next w:val="1148"/>
    <w:link w:val="924"/>
    <w:rPr>
      <w:rFonts w:eastAsia="Calibri"/>
      <w:sz w:val="18"/>
      <w:szCs w:val="18"/>
      <w:lang w:val="ru-RU" w:eastAsia="ru-RU" w:bidi="ar-SA"/>
    </w:rPr>
  </w:style>
  <w:style w:type="paragraph" w:styleId="1149">
    <w:name w:val="14"/>
    <w:basedOn w:val="924"/>
    <w:next w:val="1149"/>
    <w:link w:val="924"/>
    <w:pPr>
      <w:jc w:val="left"/>
      <w:spacing w:before="120" w:after="240"/>
    </w:pPr>
    <w:rPr>
      <w:b/>
      <w:bCs/>
      <w:sz w:val="28"/>
      <w:szCs w:val="28"/>
    </w:rPr>
  </w:style>
  <w:style w:type="paragraph" w:styleId="1150">
    <w:name w:val="Без интервала1"/>
    <w:next w:val="1150"/>
    <w:link w:val="924"/>
    <w:rPr>
      <w:sz w:val="18"/>
      <w:szCs w:val="18"/>
      <w:lang w:val="ru-RU" w:eastAsia="ru-RU" w:bidi="ar-SA"/>
    </w:rPr>
  </w:style>
  <w:style w:type="paragraph" w:styleId="1151">
    <w:name w:val="Схема документа"/>
    <w:basedOn w:val="924"/>
    <w:next w:val="1151"/>
    <w:link w:val="924"/>
    <w:semiHidden/>
    <w:pPr>
      <w:jc w:val="left"/>
      <w:shd w:val="clear" w:color="auto" w:fill="000080"/>
    </w:pPr>
    <w:rPr>
      <w:rFonts w:ascii="Tahoma" w:hAnsi="Tahoma" w:cs="Tahoma"/>
      <w:color w:val="ff0000"/>
      <w:sz w:val="20"/>
      <w:szCs w:val="20"/>
    </w:rPr>
  </w:style>
  <w:style w:type="paragraph" w:styleId="1152">
    <w:name w:val="western"/>
    <w:basedOn w:val="924"/>
    <w:next w:val="1152"/>
    <w:link w:val="924"/>
    <w:pPr>
      <w:jc w:val="left"/>
      <w:spacing w:before="100" w:beforeAutospacing="1" w:after="100" w:afterAutospacing="1"/>
    </w:pPr>
    <w:rPr>
      <w:color w:val="ff0000"/>
    </w:rPr>
  </w:style>
  <w:style w:type="character" w:styleId="1153">
    <w:name w:val="apple-converted-space"/>
    <w:basedOn w:val="934"/>
    <w:next w:val="1153"/>
    <w:link w:val="924"/>
  </w:style>
  <w:style w:type="character" w:styleId="1154">
    <w:name w:val="highlight"/>
    <w:basedOn w:val="934"/>
    <w:next w:val="1154"/>
    <w:link w:val="924"/>
  </w:style>
  <w:style w:type="character" w:styleId="1155">
    <w:name w:val="application"/>
    <w:basedOn w:val="934"/>
    <w:next w:val="1155"/>
    <w:link w:val="924"/>
  </w:style>
  <w:style w:type="character" w:styleId="1156">
    <w:name w:val="Название книги"/>
    <w:next w:val="1156"/>
    <w:link w:val="924"/>
    <w:qFormat/>
    <w:rPr>
      <w:b/>
      <w:bCs/>
      <w:smallCaps/>
      <w:spacing w:val="5"/>
    </w:rPr>
  </w:style>
  <w:style w:type="character" w:styleId="1157">
    <w:name w:val="apple-style-span"/>
    <w:next w:val="1157"/>
    <w:link w:val="924"/>
  </w:style>
  <w:style w:type="character" w:styleId="1158">
    <w:name w:val="Абзац списка Знак,Bullet List Знак,FooterText Знак,numbered Знак,Paragraphe de liste1 Знак,lp1 Знак"/>
    <w:next w:val="1158"/>
    <w:link w:val="1143"/>
    <w:rPr>
      <w:rFonts w:ascii="Monotype Corsiva" w:hAnsi="Monotype Corsiva" w:cs="Monotype Corsiva"/>
      <w:sz w:val="28"/>
      <w:szCs w:val="28"/>
      <w:lang w:val="ru-RU" w:eastAsia="en-US" w:bidi="ar-SA"/>
    </w:rPr>
  </w:style>
  <w:style w:type="paragraph" w:styleId="1159">
    <w:name w:val="PEA"/>
    <w:next w:val="1159"/>
    <w:link w:val="924"/>
    <w:pPr>
      <w:ind w:firstLine="720"/>
      <w:widowControl w:val="off"/>
    </w:pPr>
    <w:rPr>
      <w:rFonts w:ascii="Arial" w:hAnsi="Arial" w:cs="Arial"/>
      <w:lang w:val="ru-RU" w:eastAsia="ru-RU" w:bidi="ar-SA"/>
    </w:rPr>
  </w:style>
  <w:style w:type="paragraph" w:styleId="1160">
    <w:name w:val="consplusnonformat"/>
    <w:basedOn w:val="924"/>
    <w:next w:val="1160"/>
    <w:link w:val="924"/>
    <w:pPr>
      <w:jc w:val="left"/>
    </w:pPr>
    <w:rPr>
      <w:rFonts w:ascii="Courier New" w:hAnsi="Courier New" w:eastAsia="Calibri" w:cs="Courier New"/>
      <w:sz w:val="20"/>
      <w:szCs w:val="20"/>
    </w:rPr>
  </w:style>
  <w:style w:type="paragraph" w:styleId="1161">
    <w:name w:val="font5"/>
    <w:basedOn w:val="924"/>
    <w:next w:val="1161"/>
    <w:link w:val="924"/>
    <w:pPr>
      <w:jc w:val="left"/>
      <w:spacing w:before="100" w:beforeAutospacing="1" w:after="100" w:afterAutospacing="1"/>
    </w:pPr>
    <w:rPr>
      <w:rFonts w:ascii="Arial" w:hAnsi="Arial" w:cs="Arial"/>
      <w:i/>
      <w:iCs/>
      <w:sz w:val="20"/>
      <w:szCs w:val="20"/>
    </w:rPr>
  </w:style>
  <w:style w:type="paragraph" w:styleId="1162">
    <w:name w:val="xl63"/>
    <w:basedOn w:val="924"/>
    <w:next w:val="1162"/>
    <w:link w:val="924"/>
    <w:pPr>
      <w:jc w:val="left"/>
      <w:spacing w:before="100" w:beforeAutospacing="1" w:after="100" w:afterAutospacing="1"/>
    </w:pPr>
    <w:rPr>
      <w:rFonts w:ascii="Arial" w:hAnsi="Arial" w:cs="Arial"/>
    </w:rPr>
  </w:style>
  <w:style w:type="paragraph" w:styleId="1163">
    <w:name w:val="xl64"/>
    <w:basedOn w:val="924"/>
    <w:next w:val="1163"/>
    <w:link w:val="924"/>
    <w:pPr>
      <w:jc w:val="center"/>
      <w:spacing w:before="100" w:beforeAutospacing="1" w:after="100" w:afterAutospacing="1"/>
    </w:pPr>
    <w:rPr>
      <w:rFonts w:ascii="Arial" w:hAnsi="Arial" w:cs="Arial"/>
    </w:rPr>
  </w:style>
  <w:style w:type="paragraph" w:styleId="1164">
    <w:name w:val="xl65"/>
    <w:basedOn w:val="924"/>
    <w:next w:val="1164"/>
    <w:link w:val="924"/>
    <w:pPr>
      <w:jc w:val="left"/>
      <w:spacing w:before="100" w:beforeAutospacing="1" w:after="100" w:afterAutospacing="1"/>
    </w:pPr>
    <w:rPr>
      <w:rFonts w:ascii="Arial" w:hAnsi="Arial" w:cs="Arial"/>
    </w:rPr>
  </w:style>
  <w:style w:type="paragraph" w:styleId="1165">
    <w:name w:val="xl66"/>
    <w:basedOn w:val="924"/>
    <w:next w:val="1165"/>
    <w:link w:val="924"/>
    <w:pPr>
      <w:jc w:val="center"/>
      <w:spacing w:before="100" w:beforeAutospacing="1" w:after="100" w:afterAutospacing="1"/>
    </w:pPr>
    <w:rPr>
      <w:rFonts w:ascii="Arial" w:hAnsi="Arial" w:cs="Arial"/>
    </w:rPr>
  </w:style>
  <w:style w:type="paragraph" w:styleId="1166">
    <w:name w:val="xl67"/>
    <w:basedOn w:val="924"/>
    <w:next w:val="1166"/>
    <w:link w:val="924"/>
    <w:pPr>
      <w:jc w:val="right"/>
      <w:spacing w:before="100" w:beforeAutospacing="1" w:after="100" w:afterAutospacing="1"/>
    </w:pPr>
    <w:rPr>
      <w:rFonts w:ascii="Arial" w:hAnsi="Arial" w:cs="Arial"/>
    </w:rPr>
  </w:style>
  <w:style w:type="paragraph" w:styleId="1167">
    <w:name w:val="xl68"/>
    <w:basedOn w:val="924"/>
    <w:next w:val="1167"/>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8">
    <w:name w:val="xl69"/>
    <w:basedOn w:val="924"/>
    <w:next w:val="1168"/>
    <w:link w:val="924"/>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69">
    <w:name w:val="xl70"/>
    <w:basedOn w:val="924"/>
    <w:next w:val="1169"/>
    <w:link w:val="924"/>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0">
    <w:name w:val="xl71"/>
    <w:basedOn w:val="924"/>
    <w:next w:val="1170"/>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1">
    <w:name w:val="xl72"/>
    <w:basedOn w:val="924"/>
    <w:next w:val="1171"/>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172">
    <w:name w:val="xl73"/>
    <w:basedOn w:val="924"/>
    <w:next w:val="1172"/>
    <w:link w:val="924"/>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173">
    <w:name w:val="Сетка таблицы светлая"/>
    <w:basedOn w:val="935"/>
    <w:next w:val="1173"/>
    <w:link w:val="924"/>
    <w:rPr>
      <w:rFonts w:ascii="Calibri" w:hAnsi="Calibri" w:eastAsia="Calibri"/>
    </w:rPr>
    <w:tblPr/>
  </w:style>
  <w:style w:type="character" w:styleId="1174">
    <w:name w:val="Выделение"/>
    <w:next w:val="1174"/>
    <w:link w:val="924"/>
    <w:qFormat/>
    <w:rPr>
      <w:i/>
      <w:iCs/>
    </w:rPr>
  </w:style>
  <w:style w:type="numbering" w:styleId="1175">
    <w:name w:val="Нет списка1"/>
    <w:next w:val="936"/>
    <w:link w:val="924"/>
    <w:semiHidden/>
    <w:unhideWhenUsed/>
  </w:style>
  <w:style w:type="character" w:styleId="1176">
    <w:name w:val="ConsPlusNormal Знак"/>
    <w:next w:val="1176"/>
    <w:link w:val="1045"/>
    <w:uiPriority w:val="99"/>
    <w:rPr>
      <w:rFonts w:ascii="Arial" w:hAnsi="Arial" w:cs="Arial"/>
      <w:lang w:val="ru-RU" w:eastAsia="ru-RU" w:bidi="ar-SA"/>
    </w:rPr>
  </w:style>
  <w:style w:type="character" w:styleId="1177" w:default="1">
    <w:name w:val="Default Paragraph Font"/>
    <w:uiPriority w:val="1"/>
    <w:semiHidden/>
    <w:unhideWhenUsed/>
  </w:style>
  <w:style w:type="numbering" w:styleId="1178" w:default="1">
    <w:name w:val="No List"/>
    <w:uiPriority w:val="99"/>
    <w:semiHidden/>
    <w:unhideWhenUsed/>
  </w:style>
  <w:style w:type="table" w:styleId="11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consultantplus://offline/ref=D0EA6D5523D853CD89279C5FF8F445E19EBEE92152FF86CA0EF7EDC82FE4F70432FE212BD9BF3EDD3292FD0D1CFFAE26F934FECF71458C29T0F5G" TargetMode="External"/><Relationship Id="rId12" Type="http://schemas.openxmlformats.org/officeDocument/2006/relationships/hyperlink" Target="consultantplus://offline/ref=D0EA6D5523D853CD89279C5FF8F445E19EBEE92152FF86CA0EF7EDC82FE4F70432FE212BD9BF3EDD3292FD0D1CFFAE26F934FECF71458C29T0F5G" TargetMode="External"/><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Шатских Евгений Викторович</cp:lastModifiedBy>
  <cp:revision>295</cp:revision>
  <dcterms:created xsi:type="dcterms:W3CDTF">2016-04-14T06:45:00Z</dcterms:created>
  <dcterms:modified xsi:type="dcterms:W3CDTF">2026-09-25T06:56:45Z</dcterms:modified>
  <cp:version>917504</cp:version>
</cp:coreProperties>
</file>