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header+xml" PartName="/word/header1.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8000000">
      <w:pPr>
        <w:pStyle w:val="Style_8"/>
        <w:spacing w:line="240" w:lineRule="auto"/>
        <w:ind w:firstLine="0" w:left="0" w:right="0"/>
        <w:jc w:val="center"/>
        <w:rPr>
          <w:rFonts w:ascii="Serif" w:hAnsi="Serif"/>
          <w:b w:val="1"/>
          <w:sz w:val="24"/>
        </w:rPr>
      </w:pPr>
      <w:r>
        <w:rPr>
          <w:rFonts w:ascii="Serif" w:hAnsi="Serif"/>
          <w:b w:val="1"/>
          <w:sz w:val="24"/>
        </w:rPr>
        <w:t>ГОСУДАРСТВЕННЫЙ КОНТРАКТ № ______</w:t>
      </w:r>
    </w:p>
    <w:p w14:paraId="19000000">
      <w:pPr>
        <w:pStyle w:val="Style_8"/>
        <w:spacing w:line="240" w:lineRule="auto"/>
        <w:ind w:firstLine="0" w:left="0" w:right="0"/>
        <w:jc w:val="center"/>
        <w:rPr>
          <w:rFonts w:ascii="Serif" w:hAnsi="Serif"/>
          <w:b w:val="1"/>
          <w:sz w:val="24"/>
        </w:rPr>
      </w:pPr>
      <w:r>
        <w:rPr>
          <w:rFonts w:ascii="Serif" w:hAnsi="Serif"/>
          <w:b w:val="1"/>
          <w:sz w:val="24"/>
        </w:rPr>
        <w:t xml:space="preserve">на поставку </w:t>
      </w:r>
      <w:r>
        <w:rPr>
          <w:rFonts w:ascii="Serif" w:hAnsi="Serif"/>
          <w:b w:val="1"/>
          <w:sz w:val="24"/>
        </w:rPr>
        <w:t>товара</w:t>
      </w:r>
    </w:p>
    <w:p w14:paraId="1A000000">
      <w:pPr>
        <w:pStyle w:val="Style_8"/>
        <w:spacing w:line="240" w:lineRule="auto"/>
        <w:ind w:firstLine="0" w:left="0" w:right="0"/>
        <w:jc w:val="center"/>
        <w:rPr>
          <w:rFonts w:ascii="Serif" w:hAnsi="Serif"/>
          <w:b w:val="1"/>
          <w:sz w:val="24"/>
        </w:rPr>
      </w:pPr>
      <w:r>
        <w:rPr>
          <w:rFonts w:ascii="Serif" w:hAnsi="Serif"/>
          <w:b w:val="1"/>
          <w:sz w:val="24"/>
        </w:rPr>
        <w:t>ИКЗ ____________________________</w:t>
      </w:r>
    </w:p>
    <w:p w14:paraId="1B000000">
      <w:pPr>
        <w:pStyle w:val="Style_8"/>
        <w:spacing w:line="240" w:lineRule="auto"/>
        <w:ind w:firstLine="0" w:left="0" w:right="0"/>
        <w:jc w:val="both"/>
        <w:rPr>
          <w:rFonts w:ascii="Serif" w:hAnsi="Serif"/>
          <w:sz w:val="24"/>
        </w:rPr>
      </w:pPr>
    </w:p>
    <w:tbl>
      <w:tblPr>
        <w:tblW w:type="auto" w:w="0"/>
        <w:jc w:val="left"/>
        <w:tblLayout w:type="fixed"/>
      </w:tblPr>
      <w:tblGrid>
        <w:gridCol w:w="5102"/>
        <w:gridCol w:w="5103"/>
      </w:tblGrid>
      <w:tr>
        <w:tc>
          <w:tcPr>
            <w:tcW w:type="dxa" w:w="5102"/>
            <w:tcBorders>
              <w:top w:val="nil"/>
              <w:left w:val="nil"/>
              <w:bottom w:val="nil"/>
              <w:right w:val="nil"/>
            </w:tcBorders>
            <w:tcMar>
              <w:top w:type="dxa" w:w="55"/>
              <w:left w:type="dxa" w:w="55"/>
              <w:bottom w:type="dxa" w:w="55"/>
              <w:right w:type="dxa" w:w="55"/>
            </w:tcMar>
          </w:tcPr>
          <w:p w14:paraId="1C000000">
            <w:pPr>
              <w:pStyle w:val="Style_8"/>
              <w:spacing w:line="240" w:lineRule="auto"/>
              <w:ind w:firstLine="0" w:left="0" w:right="0"/>
              <w:jc w:val="both"/>
              <w:rPr>
                <w:rFonts w:ascii="Serif" w:hAnsi="Serif"/>
                <w:sz w:val="24"/>
              </w:rPr>
            </w:pPr>
            <w:r>
              <w:rPr>
                <w:rFonts w:ascii="Serif" w:hAnsi="Serif"/>
                <w:sz w:val="24"/>
              </w:rPr>
              <w:t>г. Ялуторовск</w:t>
            </w:r>
          </w:p>
        </w:tc>
        <w:tc>
          <w:tcPr>
            <w:tcW w:type="dxa" w:w="5103"/>
            <w:tcBorders>
              <w:top w:val="nil"/>
              <w:left w:val="nil"/>
              <w:bottom w:val="nil"/>
              <w:right w:val="nil"/>
            </w:tcBorders>
            <w:tcMar>
              <w:top w:type="dxa" w:w="55"/>
              <w:left w:type="dxa" w:w="55"/>
              <w:bottom w:type="dxa" w:w="55"/>
              <w:right w:type="dxa" w:w="55"/>
            </w:tcMar>
          </w:tcPr>
          <w:p w14:paraId="1D000000">
            <w:pPr>
              <w:pStyle w:val="Style_8"/>
              <w:spacing w:line="240" w:lineRule="auto"/>
              <w:ind w:firstLine="0" w:left="0" w:right="0"/>
              <w:jc w:val="right"/>
              <w:rPr>
                <w:rFonts w:ascii="Serif" w:hAnsi="Serif"/>
                <w:sz w:val="24"/>
              </w:rPr>
            </w:pPr>
            <w:r>
              <w:rPr>
                <w:rFonts w:ascii="Serif" w:hAnsi="Serif"/>
                <w:sz w:val="24"/>
              </w:rPr>
              <w:t xml:space="preserve"> «_____» _____________ 20</w:t>
            </w:r>
            <w:r>
              <w:rPr>
                <w:rFonts w:ascii="Serif" w:hAnsi="Serif"/>
                <w:sz w:val="24"/>
              </w:rPr>
              <w:t>___</w:t>
            </w:r>
            <w:r>
              <w:rPr>
                <w:rFonts w:ascii="Serif" w:hAnsi="Serif"/>
                <w:sz w:val="24"/>
              </w:rPr>
              <w:t xml:space="preserve"> г. </w:t>
            </w:r>
          </w:p>
        </w:tc>
      </w:tr>
    </w:tbl>
    <w:p w14:paraId="1E000000">
      <w:pPr>
        <w:pStyle w:val="Style_8"/>
        <w:spacing w:line="240" w:lineRule="auto"/>
        <w:ind w:firstLine="0" w:left="0" w:right="0"/>
        <w:jc w:val="both"/>
        <w:rPr>
          <w:rFonts w:ascii="Serif" w:hAnsi="Serif"/>
          <w:sz w:val="24"/>
        </w:rPr>
      </w:pPr>
    </w:p>
    <w:p w14:paraId="1F000000">
      <w:pPr>
        <w:pStyle w:val="Style_8"/>
        <w:spacing w:line="240" w:lineRule="auto"/>
        <w:ind w:firstLine="0" w:left="0" w:right="0"/>
        <w:jc w:val="both"/>
        <w:rPr>
          <w:rFonts w:ascii="Serif" w:hAnsi="Serif"/>
          <w:color w:val="000000"/>
          <w:sz w:val="24"/>
        </w:rPr>
      </w:pPr>
      <w:r>
        <w:rPr>
          <w:rFonts w:ascii="Serif" w:hAnsi="Serif"/>
          <w:sz w:val="24"/>
        </w:rPr>
        <w:tab/>
      </w:r>
      <w:r>
        <w:rPr>
          <w:rFonts w:ascii="Serif" w:hAnsi="Serif"/>
          <w:b w:val="1"/>
          <w:color w:val="000000"/>
          <w:sz w:val="24"/>
        </w:rPr>
        <w:t>Федеральное казенное учреждение «Центр хранения страхового фонда»</w:t>
      </w:r>
      <w:r>
        <w:rPr>
          <w:rFonts w:ascii="Serif" w:hAnsi="Serif"/>
          <w:color w:val="000000"/>
          <w:sz w:val="24"/>
        </w:rPr>
        <w:t>, именуемый в дальнейшем «</w:t>
      </w:r>
      <w:r>
        <w:rPr>
          <w:rFonts w:ascii="Serif" w:hAnsi="Serif"/>
          <w:b w:val="1"/>
          <w:color w:val="000000"/>
          <w:sz w:val="24"/>
        </w:rPr>
        <w:t>Заказчик</w:t>
      </w:r>
      <w:r>
        <w:rPr>
          <w:rFonts w:ascii="Serif" w:hAnsi="Serif"/>
          <w:color w:val="000000"/>
          <w:sz w:val="24"/>
        </w:rPr>
        <w:t>», в лице директора Васильева Дмитрия Сергеевича, действующего на основании Устава, с одной стороны и __________________, именуемый(ая) в дальнейшем «</w:t>
      </w:r>
      <w:r>
        <w:rPr>
          <w:rFonts w:ascii="Serif" w:hAnsi="Serif"/>
          <w:b w:val="1"/>
          <w:color w:val="000000"/>
          <w:sz w:val="24"/>
        </w:rPr>
        <w:t>Поставщик»</w:t>
      </w:r>
      <w:r>
        <w:rPr>
          <w:rFonts w:ascii="Serif" w:hAnsi="Serif"/>
          <w:color w:val="000000"/>
          <w:sz w:val="24"/>
        </w:rPr>
        <w:t>, в лице ___________________, действующего на основании _______________, с другой стороны, вместе именуемые Стороны, в соответствии с пунктом 5 части 1 статьи 93 Федерального закона от 05.04.2013г. № 44-ФЗ «О контрактной системе в сфере закупок товаров, работ, услуг для обе</w:t>
      </w:r>
      <w:r>
        <w:rPr>
          <w:rFonts w:ascii="Serif" w:hAnsi="Serif"/>
          <w:color w:val="000000"/>
          <w:sz w:val="24"/>
        </w:rPr>
        <w:t>спечения государственных и муниципальных нужд», заключили настоящий государственный контракт на поставку товаров (далее - Контракт) о нижеследующем:</w:t>
      </w:r>
    </w:p>
    <w:p w14:paraId="20000000">
      <w:pPr>
        <w:pStyle w:val="Style_8"/>
        <w:spacing w:line="240" w:lineRule="auto"/>
        <w:ind w:firstLine="0" w:left="0" w:right="0"/>
        <w:jc w:val="both"/>
        <w:rPr>
          <w:rFonts w:ascii="Serif" w:hAnsi="Serif"/>
          <w:color w:val="000000"/>
          <w:sz w:val="24"/>
        </w:rPr>
      </w:pPr>
    </w:p>
    <w:p w14:paraId="21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1. ПРЕДМЕТ КОНТРАКТА</w:t>
      </w:r>
    </w:p>
    <w:p w14:paraId="22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1.1. Поставщик обязуется осуществить </w:t>
      </w:r>
      <w:r>
        <w:rPr>
          <w:rFonts w:ascii="Serif" w:hAnsi="Serif"/>
          <w:color w:val="000000"/>
          <w:sz w:val="24"/>
        </w:rPr>
        <w:t>п</w:t>
      </w:r>
      <w:r>
        <w:rPr>
          <w:rFonts w:ascii="Serif" w:hAnsi="Serif"/>
          <w:color w:val="000000"/>
          <w:sz w:val="24"/>
        </w:rPr>
        <w:t xml:space="preserve">оставку приёмно-контрольного охранно-пожарного прибора </w:t>
      </w:r>
      <w:r>
        <w:rPr>
          <w:rFonts w:ascii="Serif" w:hAnsi="Serif"/>
          <w:color w:val="000000"/>
          <w:sz w:val="24"/>
        </w:rPr>
        <w:t xml:space="preserve">(далее – Товар), </w:t>
      </w:r>
      <w:r>
        <w:rPr>
          <w:rFonts w:ascii="Serif" w:hAnsi="Serif"/>
          <w:color w:val="000000"/>
          <w:sz w:val="24"/>
        </w:rPr>
        <w:t>в</w:t>
      </w:r>
      <w:r>
        <w:rPr>
          <w:rFonts w:ascii="Serif" w:hAnsi="Serif"/>
          <w:color w:val="000000"/>
          <w:sz w:val="24"/>
        </w:rPr>
        <w:t xml:space="preserve"> количестве, ассортименте, комплектности и с характеристиками согласно Техническому заданию (Приложение № 1) и Спецификации (Приложение №2), являющимся неотъемлемой частью настоящего Контракта, а Заказчик обязуется принять и оплатить поставленный Товар в порядке и на условиях, предусмотренных настоящим Контрактом.</w:t>
      </w:r>
    </w:p>
    <w:p w14:paraId="23000000">
      <w:pPr>
        <w:pStyle w:val="Style_8"/>
        <w:spacing w:line="240" w:lineRule="auto"/>
        <w:ind w:firstLine="680" w:left="0" w:right="0"/>
        <w:jc w:val="both"/>
        <w:rPr>
          <w:rFonts w:ascii="Serif" w:hAnsi="Serif"/>
          <w:color w:val="000000"/>
          <w:sz w:val="24"/>
        </w:rPr>
      </w:pPr>
      <w:r>
        <w:rPr>
          <w:rFonts w:ascii="Serif" w:hAnsi="Serif"/>
          <w:color w:val="000000"/>
          <w:sz w:val="24"/>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14:paraId="24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1.3. Поставка Товара осуществляется с даты подписания Контракта по </w:t>
      </w:r>
      <w:r>
        <w:rPr>
          <w:rFonts w:ascii="Serif" w:hAnsi="Serif"/>
          <w:color w:val="000000"/>
          <w:sz w:val="24"/>
        </w:rPr>
        <w:t>30</w:t>
      </w:r>
      <w:r>
        <w:rPr>
          <w:rFonts w:ascii="Serif" w:hAnsi="Serif"/>
          <w:color w:val="000000"/>
          <w:sz w:val="24"/>
        </w:rPr>
        <w:t xml:space="preserve"> </w:t>
      </w:r>
      <w:r>
        <w:rPr>
          <w:rFonts w:ascii="Serif" w:hAnsi="Serif"/>
          <w:color w:val="000000"/>
          <w:sz w:val="24"/>
        </w:rPr>
        <w:t>ноября</w:t>
      </w:r>
      <w:r>
        <w:rPr>
          <w:rFonts w:ascii="Serif" w:hAnsi="Serif"/>
          <w:color w:val="000000"/>
          <w:sz w:val="24"/>
        </w:rPr>
        <w:t xml:space="preserve"> 202</w:t>
      </w:r>
      <w:r>
        <w:rPr>
          <w:rFonts w:ascii="Serif" w:hAnsi="Serif"/>
          <w:color w:val="000000"/>
          <w:sz w:val="24"/>
        </w:rPr>
        <w:t>6</w:t>
      </w:r>
      <w:r>
        <w:rPr>
          <w:rFonts w:ascii="Serif" w:hAnsi="Serif"/>
          <w:color w:val="000000"/>
          <w:sz w:val="24"/>
        </w:rPr>
        <w:t xml:space="preserve"> года </w:t>
      </w:r>
      <w:r>
        <w:rPr>
          <w:rFonts w:ascii="Serif" w:hAnsi="Serif"/>
          <w:color w:val="000000"/>
          <w:sz w:val="24"/>
        </w:rPr>
        <w:t>(включительно).</w:t>
      </w:r>
      <w:r>
        <w:rPr>
          <w:rFonts w:ascii="Serif" w:hAnsi="Serif"/>
          <w:color w:val="000000"/>
          <w:sz w:val="24"/>
        </w:rPr>
        <w:t xml:space="preserve"> </w:t>
      </w:r>
    </w:p>
    <w:p w14:paraId="25000000">
      <w:pPr>
        <w:pStyle w:val="Style_8"/>
        <w:spacing w:line="240" w:lineRule="auto"/>
        <w:ind w:firstLine="680" w:left="0" w:right="0"/>
        <w:jc w:val="both"/>
        <w:rPr>
          <w:rFonts w:ascii="Serif" w:hAnsi="Serif"/>
          <w:color w:val="000000"/>
          <w:sz w:val="24"/>
        </w:rPr>
      </w:pPr>
      <w:r>
        <w:rPr>
          <w:rFonts w:ascii="Serif" w:hAnsi="Serif"/>
          <w:color w:val="000000"/>
          <w:sz w:val="24"/>
        </w:rPr>
        <w:t>1.</w:t>
      </w:r>
      <w:r>
        <w:rPr>
          <w:rFonts w:ascii="Serif" w:hAnsi="Serif"/>
          <w:color w:val="000000"/>
          <w:sz w:val="24"/>
        </w:rPr>
        <w:t>4</w:t>
      </w:r>
      <w:r>
        <w:rPr>
          <w:rFonts w:ascii="Serif" w:hAnsi="Serif"/>
          <w:color w:val="000000"/>
          <w:sz w:val="24"/>
        </w:rPr>
        <w:t>. Место поставки Товара: 62701</w:t>
      </w:r>
      <w:r>
        <w:rPr>
          <w:rFonts w:ascii="Serif" w:hAnsi="Serif"/>
          <w:color w:val="000000"/>
          <w:sz w:val="24"/>
        </w:rPr>
        <w:t>5</w:t>
      </w:r>
      <w:r>
        <w:rPr>
          <w:rFonts w:ascii="Serif" w:hAnsi="Serif"/>
          <w:color w:val="000000"/>
          <w:sz w:val="24"/>
        </w:rPr>
        <w:t xml:space="preserve">, Тюменская область, г. Ялуторовск, ул. Ишимская, д.138, в рабочее время Заказчика с </w:t>
      </w:r>
      <w:r>
        <w:rPr>
          <w:rFonts w:ascii="Serif" w:hAnsi="Serif"/>
          <w:color w:val="000000"/>
          <w:sz w:val="24"/>
        </w:rPr>
        <w:t>09:</w:t>
      </w:r>
      <w:r>
        <w:rPr>
          <w:rFonts w:ascii="Serif" w:hAnsi="Serif"/>
          <w:color w:val="000000"/>
          <w:sz w:val="24"/>
        </w:rPr>
        <w:t>00 ч. до 16:00 ч. (местное время Заказчика).</w:t>
      </w:r>
    </w:p>
    <w:p w14:paraId="26000000">
      <w:pPr>
        <w:pStyle w:val="Style_8"/>
        <w:spacing w:line="240" w:lineRule="auto"/>
        <w:ind w:firstLine="680" w:left="0" w:right="0"/>
        <w:jc w:val="both"/>
        <w:rPr>
          <w:rFonts w:ascii="Serif" w:hAnsi="Serif"/>
          <w:color w:val="000000"/>
          <w:sz w:val="24"/>
        </w:rPr>
      </w:pPr>
    </w:p>
    <w:p w14:paraId="27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2. ЦЕНА КОНТРАКТА И ПОРЯДОК РАСЧЕТОВ</w:t>
      </w:r>
    </w:p>
    <w:p w14:paraId="28000000">
      <w:pPr>
        <w:pStyle w:val="Style_8"/>
        <w:spacing w:line="240" w:lineRule="auto"/>
        <w:ind w:firstLine="680" w:left="0" w:right="0"/>
        <w:jc w:val="both"/>
        <w:rPr>
          <w:rFonts w:ascii="Serif" w:hAnsi="Serif"/>
          <w:color w:val="000000"/>
          <w:sz w:val="24"/>
        </w:rPr>
      </w:pPr>
      <w:r>
        <w:rPr>
          <w:rFonts w:ascii="Serif" w:hAnsi="Serif"/>
          <w:color w:val="000000"/>
          <w:sz w:val="24"/>
        </w:rPr>
        <w:t>2.1. Цена настоящего Контракта согласно итоговому протоколу закупочной сессии официального сайта ЕАТ №_______ от «_____» _______20</w:t>
      </w:r>
      <w:r>
        <w:rPr>
          <w:rFonts w:ascii="Serif" w:hAnsi="Serif"/>
          <w:color w:val="000000"/>
          <w:sz w:val="24"/>
        </w:rPr>
        <w:t>___</w:t>
      </w:r>
      <w:r>
        <w:rPr>
          <w:rFonts w:ascii="Serif" w:hAnsi="Serif"/>
          <w:color w:val="000000"/>
          <w:sz w:val="24"/>
        </w:rPr>
        <w:t xml:space="preserve">г., составляет ____________ (__________________) рублей ___ копеек, (в том числе НДС/без НДС). </w:t>
      </w:r>
    </w:p>
    <w:p w14:paraId="29000000">
      <w:pPr>
        <w:pStyle w:val="Style_8"/>
        <w:spacing w:line="240" w:lineRule="auto"/>
        <w:ind w:firstLine="680" w:left="0" w:right="0"/>
        <w:jc w:val="both"/>
        <w:rPr>
          <w:rFonts w:ascii="Serif" w:hAnsi="Serif"/>
          <w:color w:val="000000"/>
          <w:sz w:val="24"/>
        </w:rPr>
      </w:pPr>
      <w:r>
        <w:rPr>
          <w:rFonts w:ascii="Serif" w:hAnsi="Serif"/>
          <w:color w:val="000000"/>
          <w:sz w:val="24"/>
        </w:rPr>
        <w:t>Авансирование по настоящему Контракту не предусматривается.</w:t>
      </w:r>
    </w:p>
    <w:p w14:paraId="2A000000">
      <w:pPr>
        <w:pStyle w:val="Style_8"/>
        <w:spacing w:line="240" w:lineRule="auto"/>
        <w:ind w:firstLine="680" w:left="0" w:right="0"/>
        <w:jc w:val="both"/>
        <w:rPr>
          <w:rFonts w:ascii="Serif" w:hAnsi="Serif"/>
          <w:color w:val="000000"/>
          <w:sz w:val="24"/>
        </w:rPr>
      </w:pPr>
      <w:r>
        <w:rPr>
          <w:rFonts w:ascii="Serif" w:hAnsi="Serif"/>
          <w:color w:val="000000"/>
          <w:sz w:val="24"/>
        </w:rPr>
        <w:t>Цена настоящего Контракта является твердой и определяется на весь срок действия настоящего Контракта, за исключением 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B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2.2. Цена Контракта включает в себя: стоимость Товара, затаривания и/или упаковки Товара, стоимость доставки Товара до места поставки, все затраты Поставщика, напрямую и косвенно связанные с поставкой Товара,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 и иные расходы Поставщика, в том числе сопутствующие, связанные с исполнением настоящего Контракта. </w:t>
      </w:r>
    </w:p>
    <w:p w14:paraId="2C000000">
      <w:pPr>
        <w:pStyle w:val="Style_8"/>
        <w:spacing w:line="240" w:lineRule="auto"/>
        <w:ind w:firstLine="680" w:left="0" w:right="0"/>
        <w:jc w:val="both"/>
        <w:rPr>
          <w:rFonts w:ascii="Serif" w:hAnsi="Serif"/>
          <w:color w:val="000000"/>
          <w:sz w:val="24"/>
        </w:rPr>
      </w:pPr>
      <w:r>
        <w:rPr>
          <w:rFonts w:ascii="Serif" w:hAnsi="Serif"/>
          <w:color w:val="000000"/>
          <w:sz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D000000">
      <w:pPr>
        <w:pStyle w:val="Style_8"/>
        <w:spacing w:line="240" w:lineRule="auto"/>
        <w:ind w:firstLine="680" w:left="0" w:right="0"/>
        <w:jc w:val="both"/>
        <w:rPr>
          <w:rFonts w:ascii="Serif" w:hAnsi="Serif"/>
          <w:color w:val="000000"/>
          <w:sz w:val="24"/>
        </w:rPr>
      </w:pPr>
      <w:r>
        <w:rPr>
          <w:rFonts w:ascii="Serif" w:hAnsi="Serif"/>
          <w:color w:val="000000"/>
          <w:sz w:val="24"/>
        </w:rPr>
        <w:t>2.3. Источник финансирования: средства федерального бюджета Российской Федерации, выделенные на 2026 год.</w:t>
      </w:r>
    </w:p>
    <w:p w14:paraId="2E000000">
      <w:pPr>
        <w:pStyle w:val="Style_8"/>
        <w:spacing w:line="240" w:lineRule="auto"/>
        <w:ind w:firstLine="680" w:left="0" w:right="0"/>
        <w:jc w:val="both"/>
        <w:rPr>
          <w:rFonts w:ascii="Serif" w:hAnsi="Serif"/>
          <w:color w:val="000000"/>
          <w:sz w:val="24"/>
        </w:rPr>
      </w:pPr>
      <w:r>
        <w:rPr>
          <w:rFonts w:ascii="Serif" w:hAnsi="Serif"/>
          <w:color w:val="000000"/>
          <w:sz w:val="24"/>
        </w:rPr>
        <w:t>2.4. Оплата поставленного Товара осуществляется Заказчиком единовременно после поставки Товара по безналичному расчёту путём перечисления денежных средств на расчётный счёт Поставщика, указанный в Контракте, в срок не более 7 (семи) рабочих дней с даты подписания Заказчиком документа о приёмке.</w:t>
      </w:r>
    </w:p>
    <w:p w14:paraId="2F000000">
      <w:pPr>
        <w:pStyle w:val="Style_8"/>
        <w:spacing w:line="240" w:lineRule="auto"/>
        <w:ind w:firstLine="680" w:left="0" w:right="0"/>
        <w:jc w:val="both"/>
        <w:rPr>
          <w:rFonts w:ascii="Serif" w:hAnsi="Serif"/>
          <w:color w:val="000000"/>
          <w:sz w:val="24"/>
        </w:rPr>
      </w:pPr>
      <w:r>
        <w:rPr>
          <w:rFonts w:ascii="Serif" w:hAnsi="Serif"/>
          <w:color w:val="000000"/>
          <w:sz w:val="24"/>
        </w:rPr>
        <w:t>2.5. 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30000000">
      <w:pPr>
        <w:pStyle w:val="Style_8"/>
        <w:spacing w:line="240" w:lineRule="auto"/>
        <w:ind w:firstLine="680" w:left="0" w:right="0"/>
        <w:jc w:val="both"/>
        <w:rPr>
          <w:rFonts w:ascii="Serif" w:hAnsi="Serif"/>
          <w:color w:val="000000"/>
          <w:sz w:val="24"/>
        </w:rPr>
      </w:pPr>
      <w:r>
        <w:rPr>
          <w:rFonts w:ascii="Serif" w:hAnsi="Serif"/>
          <w:color w:val="000000"/>
          <w:sz w:val="24"/>
        </w:rPr>
        <w:t>2.6. В случае, уменьшения ранее доведенных до Заказчика как получателя бюджетных средств лимитов бюджетных обязательств в соответствии с пунктом 6 статьи 161 Бюджетного кодекса Российской Федерации,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31000000">
      <w:pPr>
        <w:pStyle w:val="Style_8"/>
        <w:spacing w:line="240" w:lineRule="auto"/>
        <w:ind w:firstLine="680" w:left="0" w:right="0"/>
        <w:jc w:val="both"/>
        <w:rPr>
          <w:rFonts w:ascii="Serif" w:hAnsi="Serif"/>
          <w:color w:val="000000"/>
          <w:sz w:val="24"/>
        </w:rPr>
      </w:pPr>
      <w:r>
        <w:rPr>
          <w:rFonts w:ascii="Serif" w:hAnsi="Serif"/>
          <w:color w:val="000000"/>
          <w:sz w:val="24"/>
        </w:rPr>
        <w:t>2.7. В случае изменения расчетного счета (или иных реквизитов, необходимых для оплаты) Поставщика, Поставщик обязан в течение 2 (двух)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настоящем Контракте реквизитам Поставщика, несет Поставщик.</w:t>
      </w:r>
    </w:p>
    <w:p w14:paraId="32000000">
      <w:pPr>
        <w:pStyle w:val="Style_8"/>
        <w:spacing w:line="240" w:lineRule="auto"/>
        <w:ind w:firstLine="0" w:left="0" w:right="0"/>
        <w:jc w:val="both"/>
        <w:rPr>
          <w:rFonts w:ascii="Serif" w:hAnsi="Serif"/>
          <w:color w:val="000000"/>
          <w:sz w:val="24"/>
        </w:rPr>
      </w:pPr>
    </w:p>
    <w:p w14:paraId="33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3. УСЛОВИЯ И СРОКИ ПОСТАВКИ ТОВАРА</w:t>
      </w:r>
    </w:p>
    <w:p w14:paraId="34000000">
      <w:pPr>
        <w:pStyle w:val="Style_8"/>
        <w:spacing w:line="240" w:lineRule="auto"/>
        <w:ind w:firstLine="680" w:left="0" w:right="0"/>
        <w:jc w:val="both"/>
        <w:rPr>
          <w:rFonts w:ascii="Serif" w:hAnsi="Serif"/>
          <w:color w:val="000000"/>
          <w:sz w:val="24"/>
        </w:rPr>
      </w:pPr>
      <w:r>
        <w:rPr>
          <w:rFonts w:ascii="Serif" w:hAnsi="Serif"/>
          <w:color w:val="000000"/>
          <w:sz w:val="24"/>
        </w:rPr>
        <w:t>3.1.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настоящего Контракта.</w:t>
      </w:r>
    </w:p>
    <w:p w14:paraId="35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3.2. Поставка Товара осуществляется силами и средствами Поставщика в соответствии с правилами перевозки, установленными законодательством, соответствующими нормами и правилами для поставки данных видов товара. </w:t>
      </w:r>
    </w:p>
    <w:p w14:paraId="36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Товар поставляется согласно Техническому заданию (Приложение №1 к Контракту), нормативным и/или техническим характеристикам Товара, требованиям к качественным и прочим характеристикам Товара, требованиям к упаковке, отгрузке Товара. </w:t>
      </w:r>
    </w:p>
    <w:p w14:paraId="37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3.3. Поставляемый Товар должен быть новым (не бывшим в эксплуатации, не прошедшим ремонт, восстановление, замену составных частей, восстановление потребительских свойств) </w:t>
      </w:r>
      <w:r>
        <w:rPr>
          <w:rFonts w:ascii="Serif" w:hAnsi="Serif"/>
          <w:color w:val="000000"/>
          <w:sz w:val="24"/>
        </w:rPr>
        <w:t xml:space="preserve">и </w:t>
      </w:r>
      <w:r>
        <w:rPr>
          <w:rFonts w:ascii="Serif" w:hAnsi="Serif"/>
          <w:color w:val="000000"/>
          <w:sz w:val="24"/>
        </w:rPr>
        <w:t>свободен от любых притязаний третьих лиц, не находится под запретом (арестом), в залоге.</w:t>
      </w:r>
    </w:p>
    <w:p w14:paraId="38000000">
      <w:pPr>
        <w:pStyle w:val="Style_8"/>
        <w:spacing w:line="240" w:lineRule="auto"/>
        <w:ind w:firstLine="680" w:left="0" w:right="0"/>
        <w:jc w:val="both"/>
        <w:rPr>
          <w:rFonts w:ascii="Serif" w:hAnsi="Serif"/>
          <w:color w:val="000000"/>
          <w:sz w:val="24"/>
        </w:rPr>
      </w:pPr>
      <w:r>
        <w:rPr>
          <w:rFonts w:ascii="Serif" w:hAnsi="Serif"/>
          <w:color w:val="000000"/>
          <w:sz w:val="24"/>
        </w:rPr>
        <w:t>3.4. Товар должен иметь документы, подтверждающие соответствие качества поставляемого Товара установленным стандартам (технический паспорт/сертификат качества и пр.). Подтверждающие документы предоставляются Поставщиком Заказчику одновременно с передачей Товара.</w:t>
      </w:r>
    </w:p>
    <w:p w14:paraId="39000000">
      <w:pPr>
        <w:pStyle w:val="Style_8"/>
        <w:spacing w:line="240" w:lineRule="auto"/>
        <w:ind w:firstLine="680" w:left="0" w:right="0"/>
        <w:jc w:val="both"/>
        <w:rPr>
          <w:rFonts w:ascii="Serif" w:hAnsi="Serif"/>
          <w:color w:val="000000"/>
          <w:sz w:val="24"/>
        </w:rPr>
      </w:pPr>
      <w:r>
        <w:rPr>
          <w:rFonts w:ascii="Serif" w:hAnsi="Serif"/>
          <w:color w:val="000000"/>
          <w:sz w:val="24"/>
        </w:rPr>
        <w:t>Документы должны быть составлены на русском языке, иметь четкие обозначения изготовителя, номера партии и даты изготовления.</w:t>
      </w:r>
    </w:p>
    <w:p w14:paraId="3A000000">
      <w:pPr>
        <w:pStyle w:val="Style_8"/>
        <w:spacing w:line="240" w:lineRule="auto"/>
        <w:ind w:firstLine="680" w:left="0" w:right="0"/>
        <w:jc w:val="both"/>
        <w:rPr>
          <w:rFonts w:ascii="Serif" w:hAnsi="Serif"/>
          <w:color w:val="000000"/>
          <w:sz w:val="24"/>
        </w:rPr>
      </w:pPr>
      <w:r>
        <w:rPr>
          <w:rFonts w:ascii="Serif" w:hAnsi="Serif"/>
          <w:color w:val="000000"/>
          <w:sz w:val="24"/>
        </w:rPr>
        <w:t>3.5. Товар должен отгружаться в стандартной таре и/или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3B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Товар должен отгружаться в таре и/или упаковке, соответствующей характеру поставляемого Товара и способу транспортировки. Тара и/или упаковка должны обеспечивать сохранность Товара при условии надлежащего и бережного обращения согласно имеющейся предупредительной маркировке и при соблюдении правил складирования, погрузки/разгрузки и транспортировки, предохранять Товар от всякого рода повреждений, утраты товарного вида с учетом возможных перегрузок в пути и длительного хранения. </w:t>
      </w:r>
    </w:p>
    <w:p w14:paraId="3C000000">
      <w:pPr>
        <w:pStyle w:val="Style_8"/>
        <w:spacing w:line="240" w:lineRule="auto"/>
        <w:ind w:firstLine="680" w:left="0" w:right="0"/>
        <w:jc w:val="both"/>
        <w:rPr>
          <w:rFonts w:ascii="Serif" w:hAnsi="Serif"/>
          <w:color w:val="000000"/>
          <w:sz w:val="24"/>
        </w:rPr>
      </w:pPr>
      <w:r>
        <w:rPr>
          <w:rFonts w:ascii="Serif" w:hAnsi="Serif"/>
          <w:color w:val="000000"/>
          <w:sz w:val="24"/>
        </w:rPr>
        <w:t>3.6. Одновременно с поставленным товаром Поставщик должен передать Заказчику сопроводительные документы, относящиеся к поставленному Товару: товарную/ товарно-транспортную накладную (или УПД), счет/счет-фактуру и другие документы в соответствии с условиями настоящего Контракта.</w:t>
      </w:r>
    </w:p>
    <w:p w14:paraId="3D000000">
      <w:pPr>
        <w:pStyle w:val="Style_8"/>
        <w:spacing w:line="240" w:lineRule="auto"/>
        <w:ind w:firstLine="680" w:left="0" w:right="0"/>
        <w:jc w:val="both"/>
        <w:rPr>
          <w:rFonts w:ascii="Serif" w:hAnsi="Serif"/>
          <w:color w:val="000000"/>
          <w:sz w:val="24"/>
        </w:rPr>
      </w:pPr>
      <w:r>
        <w:rPr>
          <w:rFonts w:ascii="Serif" w:hAnsi="Serif"/>
          <w:color w:val="000000"/>
          <w:sz w:val="24"/>
        </w:rPr>
        <w:t>В случае отсутствия вышеназванных документов Заказчик вправе отказаться от приемки Товара. Товар будет считаться не поставленным.</w:t>
      </w:r>
    </w:p>
    <w:p w14:paraId="3E000000">
      <w:pPr>
        <w:pStyle w:val="Style_8"/>
        <w:spacing w:line="240" w:lineRule="auto"/>
        <w:ind w:firstLine="0" w:left="0" w:right="0"/>
        <w:jc w:val="both"/>
        <w:rPr>
          <w:rFonts w:ascii="Serif" w:hAnsi="Serif"/>
          <w:color w:val="000000"/>
          <w:sz w:val="24"/>
        </w:rPr>
      </w:pPr>
    </w:p>
    <w:p w14:paraId="3F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4. ПОРЯДОК СДАЧИ И ПРИЕМКИ ПОСТАВЛЕННОГО ТОВАРА</w:t>
      </w:r>
    </w:p>
    <w:p w14:paraId="40000000">
      <w:pPr>
        <w:pStyle w:val="Style_8"/>
        <w:spacing w:line="240" w:lineRule="auto"/>
        <w:ind w:firstLine="680" w:left="0" w:right="0"/>
        <w:jc w:val="both"/>
        <w:rPr>
          <w:rFonts w:ascii="Serif" w:hAnsi="Serif"/>
          <w:color w:val="000000"/>
          <w:sz w:val="24"/>
        </w:rPr>
      </w:pPr>
      <w:r>
        <w:rPr>
          <w:rFonts w:ascii="Serif" w:hAnsi="Serif"/>
          <w:color w:val="000000"/>
          <w:sz w:val="24"/>
        </w:rPr>
        <w:t>4.1. Приемка Товара осуществляется в течени</w:t>
      </w:r>
      <w:r>
        <w:rPr>
          <w:rFonts w:ascii="Serif" w:hAnsi="Serif"/>
          <w:color w:val="000000"/>
          <w:sz w:val="24"/>
        </w:rPr>
        <w:t>е</w:t>
      </w:r>
      <w:r>
        <w:rPr>
          <w:rFonts w:ascii="Serif" w:hAnsi="Serif"/>
          <w:color w:val="000000"/>
          <w:sz w:val="24"/>
        </w:rPr>
        <w:t xml:space="preserve"> </w:t>
      </w:r>
      <w:r>
        <w:rPr>
          <w:rFonts w:ascii="Serif" w:hAnsi="Serif"/>
          <w:color w:val="000000"/>
          <w:sz w:val="24"/>
        </w:rPr>
        <w:t>5</w:t>
      </w:r>
      <w:r>
        <w:rPr>
          <w:rFonts w:ascii="Serif" w:hAnsi="Serif"/>
          <w:color w:val="000000"/>
          <w:sz w:val="24"/>
        </w:rPr>
        <w:t xml:space="preserve"> (</w:t>
      </w:r>
      <w:r>
        <w:rPr>
          <w:rFonts w:ascii="Serif" w:hAnsi="Serif"/>
          <w:color w:val="000000"/>
          <w:sz w:val="24"/>
        </w:rPr>
        <w:t>пяти</w:t>
      </w:r>
      <w:r>
        <w:rPr>
          <w:rFonts w:ascii="Serif" w:hAnsi="Serif"/>
          <w:color w:val="000000"/>
          <w:sz w:val="24"/>
        </w:rPr>
        <w:t>) рабочих дне</w:t>
      </w:r>
      <w:r>
        <w:rPr>
          <w:rFonts w:ascii="Serif" w:hAnsi="Serif"/>
          <w:color w:val="000000"/>
          <w:sz w:val="24"/>
        </w:rPr>
        <w:t xml:space="preserve">й </w:t>
      </w:r>
      <w:r>
        <w:rPr>
          <w:rFonts w:ascii="Serif" w:hAnsi="Serif"/>
          <w:color w:val="000000"/>
          <w:sz w:val="24"/>
        </w:rPr>
        <w:t>с даты поставки Товара на место поставки</w:t>
      </w:r>
      <w:r>
        <w:rPr>
          <w:rFonts w:ascii="Serif" w:hAnsi="Serif"/>
          <w:color w:val="000000"/>
          <w:sz w:val="24"/>
        </w:rPr>
        <w:t xml:space="preserve">. Уполномоченный соответствующей доверенностью Представитель Поставщика вправе присутствовать при проведении приемки Товара Заказчиком. </w:t>
      </w:r>
    </w:p>
    <w:p w14:paraId="41000000">
      <w:pPr>
        <w:pStyle w:val="Style_8"/>
        <w:spacing w:line="240" w:lineRule="auto"/>
        <w:ind w:firstLine="680" w:left="0" w:right="0"/>
        <w:jc w:val="both"/>
        <w:rPr>
          <w:rFonts w:ascii="Serif" w:hAnsi="Serif"/>
          <w:color w:val="000000"/>
          <w:sz w:val="24"/>
        </w:rPr>
      </w:pPr>
      <w:r>
        <w:rPr>
          <w:rFonts w:ascii="Serif" w:hAnsi="Serif"/>
          <w:color w:val="000000"/>
          <w:sz w:val="24"/>
        </w:rPr>
        <w:t>4.2. Поставщик обязан уведомить Заказчика о планируемой дате поставки не позднее чем за 1 (один) рабочий день до момента поставки Товара. Уведомление направляется в письменной форме (по электронной почте</w:t>
      </w:r>
      <w:r>
        <w:rPr>
          <w:rFonts w:ascii="Serif" w:hAnsi="Serif"/>
          <w:color w:val="000000"/>
          <w:sz w:val="24"/>
        </w:rPr>
        <w:t>).</w:t>
      </w:r>
    </w:p>
    <w:p w14:paraId="42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4.3. Приемка Товара осуществляется Заказчиком путем передачи Поставщиком Товара и документов, указанных </w:t>
      </w:r>
      <w:r>
        <w:rPr>
          <w:rFonts w:ascii="Serif" w:hAnsi="Serif"/>
          <w:color w:val="000000"/>
          <w:sz w:val="24"/>
        </w:rPr>
        <w:t>в п. 3.</w:t>
      </w:r>
      <w:r>
        <w:rPr>
          <w:rFonts w:ascii="Serif" w:hAnsi="Serif"/>
          <w:color w:val="000000"/>
          <w:sz w:val="24"/>
        </w:rPr>
        <w:t xml:space="preserve">6 </w:t>
      </w:r>
      <w:r>
        <w:rPr>
          <w:rFonts w:ascii="Serif" w:hAnsi="Serif"/>
          <w:color w:val="000000"/>
          <w:sz w:val="24"/>
        </w:rPr>
        <w:t>Контракта.</w:t>
      </w:r>
    </w:p>
    <w:p w14:paraId="43000000">
      <w:pPr>
        <w:pStyle w:val="Style_8"/>
        <w:spacing w:line="240" w:lineRule="auto"/>
        <w:ind w:firstLine="680" w:left="0" w:right="0"/>
        <w:jc w:val="both"/>
        <w:rPr>
          <w:rFonts w:ascii="Serif" w:hAnsi="Serif"/>
          <w:color w:val="000000"/>
          <w:sz w:val="24"/>
        </w:rPr>
      </w:pPr>
      <w:r>
        <w:rPr>
          <w:rFonts w:ascii="Serif" w:hAnsi="Serif"/>
          <w:color w:val="000000"/>
          <w:sz w:val="24"/>
        </w:rPr>
        <w:t>4.4. Для проверки поставленного Товара на соответствие условиям Контракта, в том числе требованиям Технического задания (Приложение № 1) и Спецификации (Приложение № 2), Заказчик проводит экспертизу в соответствии со статьёй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4000000">
      <w:pPr>
        <w:pStyle w:val="Style_8"/>
        <w:spacing w:line="240" w:lineRule="auto"/>
        <w:ind w:firstLine="680" w:left="0" w:right="0"/>
        <w:jc w:val="both"/>
        <w:rPr>
          <w:rFonts w:ascii="Serif" w:hAnsi="Serif"/>
          <w:color w:val="000000"/>
          <w:sz w:val="24"/>
        </w:rPr>
      </w:pPr>
      <w:r>
        <w:rPr>
          <w:rFonts w:ascii="Serif" w:hAnsi="Serif"/>
          <w:color w:val="000000"/>
          <w:sz w:val="24"/>
        </w:rPr>
        <w:t>Экспертиза проводится Заказчиком своими силами или с привлечением экспертов, экспертных организаций с учётом требований частей 3–6 статьи 94 указанного Федерального закона.</w:t>
      </w:r>
    </w:p>
    <w:p w14:paraId="45000000">
      <w:pPr>
        <w:pStyle w:val="Style_8"/>
        <w:spacing w:line="240" w:lineRule="auto"/>
        <w:ind w:firstLine="680" w:left="0" w:right="0"/>
        <w:jc w:val="both"/>
        <w:rPr>
          <w:rFonts w:ascii="Serif" w:hAnsi="Serif"/>
          <w:color w:val="000000"/>
          <w:sz w:val="24"/>
        </w:rPr>
      </w:pPr>
      <w:r>
        <w:rPr>
          <w:rFonts w:ascii="Serif" w:hAnsi="Serif"/>
          <w:color w:val="000000"/>
          <w:sz w:val="24"/>
        </w:rPr>
        <w:t>По результатам экспертизы Заказчик в порядке, установленном частью 7 статьи 94 указанного Федерального закона, либо подписывает документ о приёмке Товара, либо направляет Поставщику мотивированный отказ от подписания документа о приёмке с указанием выявленных недостатков.</w:t>
      </w:r>
    </w:p>
    <w:p w14:paraId="46000000">
      <w:pPr>
        <w:pStyle w:val="Style_8"/>
        <w:spacing w:line="240" w:lineRule="auto"/>
        <w:ind w:firstLine="680" w:left="0" w:right="0"/>
        <w:jc w:val="both"/>
        <w:rPr>
          <w:rFonts w:ascii="Serif" w:hAnsi="Serif"/>
          <w:color w:val="000000"/>
          <w:sz w:val="24"/>
        </w:rPr>
      </w:pPr>
      <w:r>
        <w:rPr>
          <w:rFonts w:ascii="Serif" w:hAnsi="Serif"/>
          <w:color w:val="000000"/>
          <w:sz w:val="24"/>
        </w:rPr>
        <w:t>4.5. Если при проведении экспертизы были обнаружены недостатки (по количеству, качеству и иных недостатков) и несоответствия условиям Контракта, Заказчик составляет акт о выявленных недостатках в двух экземплярах.</w:t>
      </w:r>
    </w:p>
    <w:p w14:paraId="47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Поставщик обязан возместить расходы на оплату услуг эксперта/экспертной организации только в случае подтверждения несоответствия Товара условиям Контракта. </w:t>
      </w:r>
    </w:p>
    <w:p w14:paraId="48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4.6. Поставщик обязан устранить все недостатки или заменить Товар в течение </w:t>
      </w:r>
      <w:r>
        <w:rPr>
          <w:rFonts w:ascii="Serif" w:hAnsi="Serif"/>
          <w:color w:val="000000"/>
          <w:sz w:val="24"/>
        </w:rPr>
        <w:t>1</w:t>
      </w:r>
      <w:r>
        <w:rPr>
          <w:rFonts w:ascii="Serif" w:hAnsi="Serif"/>
          <w:color w:val="000000"/>
          <w:sz w:val="24"/>
        </w:rPr>
        <w:t>5</w:t>
      </w:r>
      <w:r>
        <w:rPr>
          <w:rFonts w:ascii="Serif" w:hAnsi="Serif"/>
          <w:color w:val="000000"/>
          <w:sz w:val="24"/>
        </w:rPr>
        <w:t xml:space="preserve"> (</w:t>
      </w:r>
      <w:r>
        <w:rPr>
          <w:rFonts w:ascii="Serif" w:hAnsi="Serif"/>
          <w:color w:val="000000"/>
          <w:sz w:val="24"/>
        </w:rPr>
        <w:t>пятнадцати</w:t>
      </w:r>
      <w:r>
        <w:rPr>
          <w:rFonts w:ascii="Serif" w:hAnsi="Serif"/>
          <w:color w:val="000000"/>
          <w:sz w:val="24"/>
        </w:rPr>
        <w:t xml:space="preserve">) </w:t>
      </w:r>
      <w:r>
        <w:rPr>
          <w:rFonts w:ascii="Serif" w:hAnsi="Serif"/>
          <w:color w:val="000000"/>
          <w:sz w:val="24"/>
        </w:rPr>
        <w:t xml:space="preserve">календарных </w:t>
      </w:r>
      <w:r>
        <w:rPr>
          <w:rFonts w:ascii="Serif" w:hAnsi="Serif"/>
          <w:color w:val="000000"/>
          <w:sz w:val="24"/>
        </w:rPr>
        <w:t xml:space="preserve">дней </w:t>
      </w:r>
      <w:r>
        <w:rPr>
          <w:rFonts w:ascii="Serif" w:hAnsi="Serif"/>
          <w:color w:val="000000"/>
          <w:sz w:val="24"/>
        </w:rPr>
        <w:t>с даты получения мотивированного отказа. Расходы, связанные с заменой или возвратом Товара ненадлежащего качества, осуществляются за счёт Поставщика.</w:t>
      </w:r>
    </w:p>
    <w:p w14:paraId="49000000">
      <w:pPr>
        <w:pStyle w:val="Style_8"/>
        <w:spacing w:line="240" w:lineRule="auto"/>
        <w:ind w:firstLine="680" w:left="0" w:right="0"/>
        <w:jc w:val="both"/>
        <w:rPr>
          <w:rFonts w:ascii="Serif" w:hAnsi="Serif"/>
          <w:color w:val="000000"/>
          <w:sz w:val="24"/>
        </w:rPr>
      </w:pPr>
      <w:r>
        <w:rPr>
          <w:rFonts w:ascii="Serif" w:hAnsi="Serif"/>
          <w:color w:val="000000"/>
          <w:sz w:val="24"/>
        </w:rPr>
        <w:t>4.7. Товар, не соответствующий условиям Контракта по качеству, комплектности или иным параметрам, считается не поставленным.</w:t>
      </w:r>
    </w:p>
    <w:p w14:paraId="4A000000">
      <w:pPr>
        <w:pStyle w:val="Style_8"/>
        <w:spacing w:line="240" w:lineRule="auto"/>
        <w:ind w:firstLine="680" w:left="0" w:right="0"/>
        <w:jc w:val="both"/>
        <w:rPr>
          <w:rFonts w:ascii="Serif" w:hAnsi="Serif"/>
          <w:color w:val="000000"/>
          <w:sz w:val="24"/>
        </w:rPr>
      </w:pPr>
      <w:r>
        <w:rPr>
          <w:rFonts w:ascii="Serif" w:hAnsi="Serif"/>
          <w:color w:val="000000"/>
          <w:sz w:val="24"/>
        </w:rPr>
        <w:t>4.8. После устранения недостатков Поставщи</w:t>
      </w:r>
      <w:r>
        <w:rPr>
          <w:rFonts w:ascii="Serif" w:hAnsi="Serif"/>
          <w:color w:val="000000"/>
          <w:sz w:val="24"/>
        </w:rPr>
        <w:t xml:space="preserve">к повторно поставляет Товар и предоставляет документы, указанные в </w:t>
      </w:r>
      <w:r>
        <w:rPr>
          <w:rFonts w:ascii="Serif" w:hAnsi="Serif"/>
          <w:color w:val="000000"/>
          <w:sz w:val="24"/>
        </w:rPr>
        <w:t>п. 3.6 Контракта</w:t>
      </w:r>
      <w:r>
        <w:rPr>
          <w:rFonts w:ascii="Serif" w:hAnsi="Serif"/>
          <w:color w:val="000000"/>
          <w:sz w:val="24"/>
        </w:rPr>
        <w:t xml:space="preserve"> (с учётом устранённых нарушений). Повторная приёмка проводится в порядке, предусмотренном настоящим разделом, в течение </w:t>
      </w:r>
      <w:r>
        <w:rPr>
          <w:rFonts w:ascii="Serif" w:hAnsi="Serif"/>
          <w:color w:val="000000"/>
          <w:sz w:val="24"/>
        </w:rPr>
        <w:t>5</w:t>
      </w:r>
      <w:r>
        <w:rPr>
          <w:rFonts w:ascii="Serif" w:hAnsi="Serif"/>
          <w:color w:val="000000"/>
          <w:sz w:val="24"/>
        </w:rPr>
        <w:t xml:space="preserve"> (</w:t>
      </w:r>
      <w:r>
        <w:rPr>
          <w:rFonts w:ascii="Serif" w:hAnsi="Serif"/>
          <w:color w:val="000000"/>
          <w:sz w:val="24"/>
        </w:rPr>
        <w:t>пяти</w:t>
      </w:r>
      <w:r>
        <w:rPr>
          <w:rFonts w:ascii="Serif" w:hAnsi="Serif"/>
          <w:color w:val="000000"/>
          <w:sz w:val="24"/>
        </w:rPr>
        <w:t>) рабочих дней</w:t>
      </w:r>
      <w:r>
        <w:rPr>
          <w:rFonts w:ascii="Serif" w:hAnsi="Serif"/>
          <w:color w:val="000000"/>
          <w:sz w:val="24"/>
        </w:rPr>
        <w:t xml:space="preserve"> с даты повторной поставки.</w:t>
      </w:r>
    </w:p>
    <w:p w14:paraId="4B000000">
      <w:pPr>
        <w:pStyle w:val="Style_8"/>
        <w:spacing w:line="240" w:lineRule="auto"/>
        <w:ind w:firstLine="680" w:left="0" w:right="0"/>
        <w:jc w:val="both"/>
        <w:rPr>
          <w:rFonts w:ascii="Serif" w:hAnsi="Serif"/>
          <w:color w:val="000000"/>
          <w:sz w:val="24"/>
        </w:rPr>
      </w:pPr>
      <w:r>
        <w:rPr>
          <w:rFonts w:ascii="Serif" w:hAnsi="Serif"/>
          <w:color w:val="000000"/>
          <w:sz w:val="24"/>
        </w:rPr>
        <w:t>4.</w:t>
      </w:r>
      <w:r>
        <w:rPr>
          <w:rFonts w:ascii="Serif" w:hAnsi="Serif"/>
          <w:color w:val="000000"/>
          <w:sz w:val="24"/>
        </w:rPr>
        <w:t>9</w:t>
      </w:r>
      <w:r>
        <w:rPr>
          <w:rFonts w:ascii="Serif" w:hAnsi="Serif"/>
          <w:color w:val="000000"/>
          <w:sz w:val="24"/>
        </w:rPr>
        <w:t>. По окончании приемки поставленного Товара Заказчик формирует и подписывает Акт приемки товаров, работ, услуг по унифицированной форме (ф. 0510452), установленной Приказом Минфина России от 15.06.2021 № 61н (далее – Акт приемки).</w:t>
      </w:r>
    </w:p>
    <w:p w14:paraId="4C000000">
      <w:pPr>
        <w:pStyle w:val="Style_8"/>
        <w:spacing w:line="240" w:lineRule="auto"/>
        <w:ind w:firstLine="680" w:left="0" w:right="0"/>
        <w:jc w:val="both"/>
        <w:rPr>
          <w:rFonts w:ascii="Serif" w:hAnsi="Serif"/>
          <w:color w:val="000000"/>
          <w:sz w:val="24"/>
        </w:rPr>
      </w:pPr>
      <w:r>
        <w:rPr>
          <w:rFonts w:ascii="Serif" w:hAnsi="Serif"/>
          <w:color w:val="000000"/>
          <w:sz w:val="24"/>
        </w:rPr>
        <w:t>4.</w:t>
      </w:r>
      <w:r>
        <w:rPr>
          <w:rFonts w:ascii="Serif" w:hAnsi="Serif"/>
          <w:color w:val="000000"/>
          <w:sz w:val="24"/>
        </w:rPr>
        <w:t>10</w:t>
      </w:r>
      <w:r>
        <w:rPr>
          <w:rFonts w:ascii="Serif" w:hAnsi="Serif"/>
          <w:color w:val="000000"/>
          <w:sz w:val="24"/>
        </w:rPr>
        <w:t>. Акт приемки формируется на основании документов, предоставленных Поставщиком и подтверждающих поставку Товара. Участие представителя Поставщика при оформлении Заказчиком Акта приемки не предусматривается.</w:t>
      </w:r>
    </w:p>
    <w:p w14:paraId="4D000000">
      <w:pPr>
        <w:pStyle w:val="Style_8"/>
        <w:spacing w:line="240" w:lineRule="auto"/>
        <w:ind w:firstLine="680" w:left="0" w:right="0"/>
        <w:jc w:val="both"/>
        <w:rPr>
          <w:rFonts w:ascii="Serif" w:hAnsi="Serif"/>
          <w:color w:val="000000"/>
          <w:sz w:val="24"/>
        </w:rPr>
      </w:pPr>
      <w:r>
        <w:rPr>
          <w:rFonts w:ascii="Serif" w:hAnsi="Serif"/>
          <w:color w:val="000000"/>
          <w:sz w:val="24"/>
        </w:rPr>
        <w:t>4.11. Доставка Товара и проход персонала Поставщика на территорию Заказчика осуществляются на охраняемом объекте в соответствии с требованиями пропускного и внутриобъектового режимов, действующих на территории Заказчика.</w:t>
      </w:r>
    </w:p>
    <w:p w14:paraId="4E000000">
      <w:pPr>
        <w:pStyle w:val="Style_8"/>
        <w:spacing w:line="240" w:lineRule="auto"/>
        <w:ind w:firstLine="0" w:left="0" w:right="0"/>
        <w:jc w:val="both"/>
        <w:rPr>
          <w:rFonts w:ascii="Serif" w:hAnsi="Serif"/>
          <w:color w:val="000000"/>
          <w:sz w:val="24"/>
        </w:rPr>
      </w:pPr>
    </w:p>
    <w:p w14:paraId="4F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5. ПРАВА И ОБЯЗАННОСТИ СТОРОН</w:t>
      </w:r>
    </w:p>
    <w:p w14:paraId="50000000">
      <w:pPr>
        <w:pStyle w:val="Style_8"/>
        <w:spacing w:line="240" w:lineRule="auto"/>
        <w:ind w:firstLine="680" w:left="0" w:right="0"/>
        <w:jc w:val="both"/>
        <w:rPr>
          <w:rFonts w:ascii="Serif" w:hAnsi="Serif"/>
          <w:b w:val="1"/>
          <w:color w:val="000000"/>
          <w:sz w:val="24"/>
        </w:rPr>
      </w:pPr>
      <w:r>
        <w:rPr>
          <w:rFonts w:ascii="Serif" w:hAnsi="Serif"/>
          <w:b w:val="1"/>
          <w:color w:val="000000"/>
          <w:sz w:val="24"/>
        </w:rPr>
        <w:t>5.1. Заказчик вправе:</w:t>
      </w:r>
    </w:p>
    <w:p w14:paraId="51000000">
      <w:pPr>
        <w:pStyle w:val="Style_8"/>
        <w:spacing w:line="240" w:lineRule="auto"/>
        <w:ind w:firstLine="680" w:left="0" w:right="0"/>
        <w:jc w:val="both"/>
        <w:rPr>
          <w:rFonts w:ascii="Serif" w:hAnsi="Serif"/>
          <w:color w:val="000000"/>
          <w:sz w:val="24"/>
        </w:rPr>
      </w:pPr>
      <w:r>
        <w:rPr>
          <w:rFonts w:ascii="Serif" w:hAnsi="Serif"/>
          <w:color w:val="000000"/>
          <w:sz w:val="24"/>
        </w:rPr>
        <w:t>5.1.1. Требовать от Поставщика надлежащего исполнения обязательств в соответствии с Контрактом.</w:t>
      </w:r>
    </w:p>
    <w:p w14:paraId="52000000">
      <w:pPr>
        <w:pStyle w:val="Style_8"/>
        <w:spacing w:line="240" w:lineRule="auto"/>
        <w:ind w:firstLine="680" w:left="0" w:right="0"/>
        <w:jc w:val="both"/>
        <w:rPr>
          <w:rFonts w:ascii="Serif" w:hAnsi="Serif"/>
          <w:color w:val="000000"/>
          <w:sz w:val="24"/>
        </w:rPr>
      </w:pPr>
      <w:r>
        <w:rPr>
          <w:rFonts w:ascii="Serif" w:hAnsi="Serif"/>
          <w:color w:val="000000"/>
          <w:sz w:val="24"/>
        </w:rPr>
        <w:t>5.1.2. Запрашивать у Поставщика информацию о ходе исполнения обязательств по Контракту.</w:t>
      </w:r>
    </w:p>
    <w:p w14:paraId="53000000">
      <w:pPr>
        <w:pStyle w:val="Style_8"/>
        <w:spacing w:line="240" w:lineRule="auto"/>
        <w:ind w:firstLine="680" w:left="0" w:right="0"/>
        <w:jc w:val="both"/>
        <w:rPr>
          <w:rFonts w:ascii="Serif" w:hAnsi="Serif"/>
          <w:b w:val="1"/>
          <w:color w:val="000000"/>
          <w:sz w:val="24"/>
        </w:rPr>
      </w:pPr>
      <w:r>
        <w:rPr>
          <w:rFonts w:ascii="Serif" w:hAnsi="Serif"/>
          <w:b w:val="1"/>
          <w:color w:val="000000"/>
          <w:sz w:val="24"/>
        </w:rPr>
        <w:t>5.2. Заказчик обязан:</w:t>
      </w:r>
    </w:p>
    <w:p w14:paraId="54000000">
      <w:pPr>
        <w:pStyle w:val="Style_8"/>
        <w:spacing w:line="240" w:lineRule="auto"/>
        <w:ind w:firstLine="680" w:left="0" w:right="0"/>
        <w:jc w:val="both"/>
        <w:rPr>
          <w:rFonts w:ascii="Serif" w:hAnsi="Serif"/>
          <w:color w:val="000000"/>
          <w:sz w:val="24"/>
        </w:rPr>
      </w:pPr>
      <w:r>
        <w:rPr>
          <w:rFonts w:ascii="Serif" w:hAnsi="Serif"/>
          <w:color w:val="000000"/>
          <w:sz w:val="24"/>
        </w:rPr>
        <w:t>5.2.1. Своевременно принять и оплатить поставленный Товар в соответствии с Контрактом.</w:t>
      </w:r>
    </w:p>
    <w:p w14:paraId="55000000">
      <w:pPr>
        <w:pStyle w:val="Style_8"/>
        <w:spacing w:line="240" w:lineRule="auto"/>
        <w:ind w:firstLine="680" w:left="0" w:right="0"/>
        <w:jc w:val="both"/>
        <w:rPr>
          <w:rFonts w:ascii="Serif" w:hAnsi="Serif"/>
          <w:color w:val="000000"/>
          <w:sz w:val="24"/>
        </w:rPr>
      </w:pPr>
      <w:r>
        <w:rPr>
          <w:rFonts w:ascii="Serif" w:hAnsi="Serif"/>
          <w:color w:val="000000"/>
          <w:sz w:val="24"/>
        </w:rPr>
        <w:t>5.2.2. Исполнять иные обязанности, предусмотренные законодательством Российской Федерации и условиями Контракта.</w:t>
      </w:r>
    </w:p>
    <w:p w14:paraId="56000000">
      <w:pPr>
        <w:pStyle w:val="Style_8"/>
        <w:spacing w:line="240" w:lineRule="auto"/>
        <w:ind w:firstLine="680" w:left="0" w:right="0"/>
        <w:jc w:val="both"/>
        <w:rPr>
          <w:rFonts w:ascii="Serif" w:hAnsi="Serif"/>
          <w:b w:val="1"/>
          <w:color w:val="000000"/>
          <w:sz w:val="24"/>
        </w:rPr>
      </w:pPr>
      <w:r>
        <w:rPr>
          <w:rFonts w:ascii="Serif" w:hAnsi="Serif"/>
          <w:b w:val="1"/>
          <w:color w:val="000000"/>
          <w:sz w:val="24"/>
        </w:rPr>
        <w:t>5.3. Поставщик вправе:</w:t>
      </w:r>
    </w:p>
    <w:p w14:paraId="57000000">
      <w:pPr>
        <w:pStyle w:val="Style_8"/>
        <w:spacing w:line="240" w:lineRule="auto"/>
        <w:ind w:firstLine="680" w:left="0" w:right="0"/>
        <w:jc w:val="both"/>
        <w:rPr>
          <w:rFonts w:ascii="Serif" w:hAnsi="Serif"/>
          <w:color w:val="000000"/>
          <w:sz w:val="24"/>
        </w:rPr>
      </w:pPr>
      <w:r>
        <w:rPr>
          <w:rFonts w:ascii="Serif" w:hAnsi="Serif"/>
          <w:color w:val="000000"/>
          <w:sz w:val="24"/>
        </w:rPr>
        <w:t>5.3.1. В случае соответствия поставленного Товара Техническо</w:t>
      </w:r>
      <w:r>
        <w:rPr>
          <w:rFonts w:ascii="Serif" w:hAnsi="Serif"/>
          <w:color w:val="000000"/>
          <w:sz w:val="24"/>
        </w:rPr>
        <w:t>му</w:t>
      </w:r>
      <w:r>
        <w:rPr>
          <w:rFonts w:ascii="Serif" w:hAnsi="Serif"/>
          <w:color w:val="000000"/>
          <w:sz w:val="24"/>
        </w:rPr>
        <w:t xml:space="preserve"> задани</w:t>
      </w:r>
      <w:r>
        <w:rPr>
          <w:rFonts w:ascii="Serif" w:hAnsi="Serif"/>
          <w:color w:val="000000"/>
          <w:sz w:val="24"/>
        </w:rPr>
        <w:t>ю</w:t>
      </w:r>
      <w:r>
        <w:rPr>
          <w:rFonts w:ascii="Serif" w:hAnsi="Serif"/>
          <w:color w:val="000000"/>
          <w:sz w:val="24"/>
        </w:rPr>
        <w:t xml:space="preserve"> (Приложение № 1) и Спецификации (Приложение № 2) по ассортименту, количеству и качеству, требовать от Заказчика подписания Заказчиком товарной накладной.</w:t>
      </w:r>
    </w:p>
    <w:p w14:paraId="58000000">
      <w:pPr>
        <w:pStyle w:val="Style_8"/>
        <w:spacing w:line="240" w:lineRule="auto"/>
        <w:ind w:firstLine="680" w:left="0" w:right="0"/>
        <w:jc w:val="both"/>
        <w:rPr>
          <w:rFonts w:ascii="Serif" w:hAnsi="Serif"/>
          <w:color w:val="000000"/>
          <w:sz w:val="24"/>
        </w:rPr>
      </w:pPr>
      <w:r>
        <w:rPr>
          <w:rFonts w:ascii="Serif" w:hAnsi="Serif"/>
          <w:color w:val="000000"/>
          <w:sz w:val="24"/>
        </w:rPr>
        <w:t>5.3.2. Требовать своевременной оплаты за поставленный Товар надлежащего качества в соответствии с условиями Контракта.</w:t>
      </w:r>
    </w:p>
    <w:p w14:paraId="59000000">
      <w:pPr>
        <w:pStyle w:val="Style_8"/>
        <w:spacing w:line="240" w:lineRule="auto"/>
        <w:ind w:firstLine="680" w:left="0" w:right="0"/>
        <w:jc w:val="both"/>
        <w:rPr>
          <w:rFonts w:ascii="Serif" w:hAnsi="Serif"/>
          <w:color w:val="000000"/>
          <w:sz w:val="24"/>
        </w:rPr>
      </w:pPr>
      <w:r>
        <w:rPr>
          <w:rFonts w:ascii="Serif" w:hAnsi="Serif"/>
          <w:color w:val="000000"/>
          <w:sz w:val="24"/>
        </w:rPr>
        <w:t>5.3.3. Запрашивать у Заказчика разъяснения и уточнения относительно Товара в рамках Контракта.</w:t>
      </w:r>
    </w:p>
    <w:p w14:paraId="5A000000">
      <w:pPr>
        <w:pStyle w:val="Style_8"/>
        <w:spacing w:line="240" w:lineRule="auto"/>
        <w:ind w:firstLine="680" w:left="0" w:right="0"/>
        <w:jc w:val="both"/>
        <w:rPr>
          <w:rFonts w:ascii="Serif" w:hAnsi="Serif"/>
          <w:color w:val="000000"/>
          <w:sz w:val="24"/>
        </w:rPr>
      </w:pPr>
      <w:r>
        <w:rPr>
          <w:rFonts w:ascii="Serif" w:hAnsi="Serif"/>
          <w:color w:val="000000"/>
          <w:sz w:val="24"/>
        </w:rPr>
        <w:t>5.3.4. Досрочно исполнить обязательства по Контракту с согласия Заказчика.</w:t>
      </w:r>
    </w:p>
    <w:p w14:paraId="5B000000">
      <w:pPr>
        <w:pStyle w:val="Style_8"/>
        <w:spacing w:line="240" w:lineRule="auto"/>
        <w:ind w:firstLine="680" w:left="0" w:right="0"/>
        <w:jc w:val="both"/>
        <w:rPr>
          <w:rFonts w:ascii="Serif" w:hAnsi="Serif"/>
          <w:color w:val="000000"/>
          <w:sz w:val="24"/>
        </w:rPr>
      </w:pPr>
      <w:r>
        <w:rPr>
          <w:rFonts w:ascii="Serif" w:hAnsi="Serif"/>
          <w:color w:val="000000"/>
          <w:sz w:val="24"/>
        </w:rPr>
        <w:t>5.3.5. Пользоваться иными правами, установленными Контрактом и законодательством Российской Федерации.</w:t>
      </w:r>
    </w:p>
    <w:p w14:paraId="5C000000">
      <w:pPr>
        <w:pStyle w:val="Style_8"/>
        <w:spacing w:line="240" w:lineRule="auto"/>
        <w:ind w:firstLine="680" w:left="0" w:right="0"/>
        <w:jc w:val="both"/>
        <w:rPr>
          <w:rFonts w:ascii="Serif" w:hAnsi="Serif"/>
          <w:b w:val="1"/>
          <w:color w:val="000000"/>
          <w:sz w:val="24"/>
        </w:rPr>
      </w:pPr>
      <w:r>
        <w:rPr>
          <w:rFonts w:ascii="Serif" w:hAnsi="Serif"/>
          <w:b w:val="1"/>
          <w:color w:val="000000"/>
          <w:sz w:val="24"/>
        </w:rPr>
        <w:t>5.4. Поставщик обязан:</w:t>
      </w:r>
    </w:p>
    <w:p w14:paraId="5D000000">
      <w:pPr>
        <w:pStyle w:val="Style_8"/>
        <w:spacing w:line="240" w:lineRule="auto"/>
        <w:ind w:firstLine="680" w:left="0" w:right="0"/>
        <w:jc w:val="both"/>
        <w:rPr>
          <w:rFonts w:ascii="Serif" w:hAnsi="Serif"/>
          <w:color w:val="000000"/>
          <w:sz w:val="24"/>
        </w:rPr>
      </w:pPr>
      <w:r>
        <w:rPr>
          <w:rFonts w:ascii="Serif" w:hAnsi="Serif"/>
          <w:color w:val="000000"/>
          <w:sz w:val="24"/>
        </w:rPr>
        <w:t>5.4.1. Своевременно и надлежащим образом исполнять обязательства в соответствии с условиями Контракта и представить Заказчику документы, указанные в</w:t>
      </w:r>
      <w:r>
        <w:rPr>
          <w:rFonts w:ascii="Serif" w:hAnsi="Serif"/>
          <w:color w:val="000000"/>
          <w:sz w:val="24"/>
        </w:rPr>
        <w:t xml:space="preserve"> п. 3.</w:t>
      </w:r>
      <w:r>
        <w:rPr>
          <w:rFonts w:ascii="Serif" w:hAnsi="Serif"/>
          <w:color w:val="000000"/>
          <w:sz w:val="24"/>
        </w:rPr>
        <w:t>6</w:t>
      </w:r>
      <w:r>
        <w:rPr>
          <w:rFonts w:ascii="Serif" w:hAnsi="Serif"/>
          <w:color w:val="000000"/>
          <w:sz w:val="24"/>
        </w:rPr>
        <w:t xml:space="preserve">. </w:t>
      </w:r>
      <w:r>
        <w:rPr>
          <w:rFonts w:ascii="Serif" w:hAnsi="Serif"/>
          <w:color w:val="000000"/>
          <w:sz w:val="24"/>
        </w:rPr>
        <w:t>Контракта, п</w:t>
      </w:r>
      <w:r>
        <w:rPr>
          <w:rFonts w:ascii="Serif" w:hAnsi="Serif"/>
          <w:color w:val="000000"/>
          <w:sz w:val="24"/>
        </w:rPr>
        <w:t xml:space="preserve">о </w:t>
      </w:r>
      <w:r>
        <w:rPr>
          <w:rFonts w:ascii="Serif" w:hAnsi="Serif"/>
          <w:color w:val="000000"/>
          <w:sz w:val="24"/>
        </w:rPr>
        <w:t xml:space="preserve">итогам исполнения Контракта. </w:t>
      </w:r>
    </w:p>
    <w:p w14:paraId="5E000000">
      <w:pPr>
        <w:pStyle w:val="Style_8"/>
        <w:spacing w:line="240" w:lineRule="auto"/>
        <w:ind w:firstLine="680" w:left="0" w:right="0"/>
        <w:jc w:val="both"/>
        <w:rPr>
          <w:rFonts w:ascii="Serif" w:hAnsi="Serif"/>
          <w:color w:val="000000"/>
          <w:sz w:val="24"/>
        </w:rPr>
      </w:pPr>
      <w:r>
        <w:rPr>
          <w:rFonts w:ascii="Serif" w:hAnsi="Serif"/>
          <w:color w:val="000000"/>
          <w:sz w:val="24"/>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5F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установленным законодательством Российской Федерации и предоставить Заказчику на каждый вид товара соответствующий сертификат (при наличии). </w:t>
      </w:r>
    </w:p>
    <w:p w14:paraId="60000000">
      <w:pPr>
        <w:pStyle w:val="Style_8"/>
        <w:spacing w:line="240" w:lineRule="auto"/>
        <w:ind w:firstLine="680" w:left="0" w:right="0"/>
        <w:jc w:val="both"/>
        <w:rPr>
          <w:rFonts w:ascii="Serif" w:hAnsi="Serif"/>
          <w:color w:val="000000"/>
          <w:sz w:val="24"/>
        </w:rPr>
      </w:pPr>
      <w:r>
        <w:rPr>
          <w:rFonts w:ascii="Serif" w:hAnsi="Serif"/>
          <w:color w:val="000000"/>
          <w:sz w:val="24"/>
        </w:rPr>
        <w:t>5.4.4. В срок не позднее 2 (двух) рабочих дней с момента изменения почтовых и банковских реквизитов Поставщик обязан письменно уведомить об указанных изменениях Заказчика.</w:t>
      </w:r>
    </w:p>
    <w:p w14:paraId="61000000">
      <w:pPr>
        <w:pStyle w:val="Style_8"/>
        <w:spacing w:line="240" w:lineRule="auto"/>
        <w:ind w:firstLine="680" w:left="0" w:right="0"/>
        <w:jc w:val="both"/>
        <w:rPr>
          <w:rFonts w:ascii="Serif" w:hAnsi="Serif"/>
          <w:color w:val="000000"/>
          <w:sz w:val="24"/>
        </w:rPr>
      </w:pPr>
      <w:r>
        <w:rPr>
          <w:rFonts w:ascii="Serif" w:hAnsi="Serif"/>
          <w:color w:val="000000"/>
          <w:sz w:val="24"/>
        </w:rPr>
        <w:t>В случае непредставления Поставщиком уведомления об изменении вышеуказанных сведений банковские реквизиты, указанные в Контракте, будут считаться действительными.</w:t>
      </w:r>
    </w:p>
    <w:p w14:paraId="62000000">
      <w:pPr>
        <w:pStyle w:val="Style_8"/>
        <w:spacing w:line="240" w:lineRule="auto"/>
        <w:ind w:firstLine="680" w:left="0" w:right="0"/>
        <w:jc w:val="both"/>
        <w:rPr>
          <w:rFonts w:ascii="Serif" w:hAnsi="Serif"/>
          <w:color w:val="000000"/>
          <w:sz w:val="24"/>
        </w:rPr>
      </w:pPr>
      <w:r>
        <w:rPr>
          <w:rFonts w:ascii="Serif" w:hAnsi="Serif"/>
          <w:color w:val="000000"/>
          <w:sz w:val="24"/>
        </w:rPr>
        <w:t>5.4.5. Исполнять иные обязанности, предусмотренные Контрактом.</w:t>
      </w:r>
    </w:p>
    <w:p w14:paraId="63000000">
      <w:pPr>
        <w:pStyle w:val="Style_8"/>
        <w:spacing w:line="240" w:lineRule="auto"/>
        <w:ind w:firstLine="0" w:left="0" w:right="0"/>
        <w:jc w:val="both"/>
        <w:rPr>
          <w:rFonts w:ascii="Serif" w:hAnsi="Serif"/>
          <w:color w:val="000000"/>
          <w:sz w:val="24"/>
        </w:rPr>
      </w:pPr>
    </w:p>
    <w:p w14:paraId="64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6. ГАРАНТИЙНЫЕ ОБЯЗАТЕЛЬСТВА</w:t>
      </w:r>
    </w:p>
    <w:p w14:paraId="65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6.1. Поставщик гарантирует, что поставленный по настоящему Контракту Товар полностью соответствует стандартам, требованиям и характеристикам, заявленным в Контракте, </w:t>
      </w:r>
      <w:r>
        <w:rPr>
          <w:rFonts w:ascii="Serif" w:hAnsi="Serif"/>
          <w:color w:val="000000"/>
          <w:sz w:val="24"/>
        </w:rPr>
        <w:t>Техническом задании (Приложение № 1) и Спецификации (Приложение № 2).</w:t>
      </w:r>
    </w:p>
    <w:p w14:paraId="66000000">
      <w:pPr>
        <w:pStyle w:val="Style_8"/>
        <w:spacing w:line="240" w:lineRule="auto"/>
        <w:ind w:firstLine="680" w:left="0" w:right="0"/>
        <w:jc w:val="both"/>
        <w:rPr>
          <w:rFonts w:ascii="Serif" w:hAnsi="Serif"/>
          <w:color w:val="000000"/>
          <w:sz w:val="24"/>
        </w:rPr>
      </w:pPr>
      <w:r>
        <w:rPr>
          <w:rFonts w:ascii="Serif" w:hAnsi="Serif"/>
          <w:color w:val="000000"/>
          <w:sz w:val="24"/>
        </w:rPr>
        <w:t>6.2. Поставщик гарантирует качество и безопасность Товара в соответствии с действующими стандартами, утвержденными для данных видов товаров, и наличием сертификатов соответствия (или иных документов, подтверждающих соответствие качества Товара, в случае, если это предусмотрено действующим законодательством Российской Федерации).</w:t>
      </w:r>
    </w:p>
    <w:p w14:paraId="67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6.3. Гарантийный срок на Товар составляет </w:t>
      </w:r>
      <w:r>
        <w:rPr>
          <w:rFonts w:ascii="Serif" w:hAnsi="Serif"/>
          <w:color w:val="000000"/>
          <w:sz w:val="24"/>
        </w:rPr>
        <w:t xml:space="preserve">не менее </w:t>
      </w:r>
      <w:r>
        <w:rPr>
          <w:rFonts w:ascii="Serif" w:hAnsi="Serif"/>
          <w:color w:val="000000"/>
          <w:sz w:val="24"/>
        </w:rPr>
        <w:t>12</w:t>
      </w:r>
      <w:r>
        <w:rPr>
          <w:rFonts w:ascii="Serif" w:hAnsi="Serif"/>
          <w:color w:val="000000"/>
          <w:sz w:val="24"/>
        </w:rPr>
        <w:t xml:space="preserve"> месяцев с даты подписания акта приёма-передачи без замечаний. Если производителем Товара установлен гарантийный срок, превышающий </w:t>
      </w:r>
      <w:r>
        <w:rPr>
          <w:rFonts w:ascii="Serif" w:hAnsi="Serif"/>
          <w:color w:val="000000"/>
          <w:sz w:val="24"/>
        </w:rPr>
        <w:t>12</w:t>
      </w:r>
      <w:r>
        <w:rPr>
          <w:rFonts w:ascii="Serif" w:hAnsi="Serif"/>
          <w:color w:val="000000"/>
          <w:sz w:val="24"/>
        </w:rPr>
        <w:t> месяцев, применяется гарантийный срок производителя. В случае наступления гарантийного случая в течение гарантийного срока период гарантии продлевается на срок, фактически затраченный на устранение неисправности.</w:t>
      </w:r>
    </w:p>
    <w:p w14:paraId="68000000">
      <w:pPr>
        <w:pStyle w:val="Style_8"/>
        <w:spacing w:line="240" w:lineRule="auto"/>
        <w:ind w:firstLine="680" w:left="0" w:right="0"/>
        <w:jc w:val="both"/>
        <w:rPr>
          <w:rFonts w:ascii="Serif" w:hAnsi="Serif"/>
          <w:color w:val="000000"/>
          <w:sz w:val="24"/>
        </w:rPr>
      </w:pPr>
      <w:r>
        <w:rPr>
          <w:rFonts w:ascii="Serif" w:hAnsi="Serif"/>
          <w:color w:val="000000"/>
          <w:sz w:val="24"/>
        </w:rPr>
        <w:t>6.4. В случае выявления в гарантийный период несоответствия качества поставленного Товара условиям Контракта, Заказчик направляет Поставщику письменное уведомление (в том числе по электронной почте, указанной в Контракте) с описанием выявленных недостатков.</w:t>
      </w:r>
    </w:p>
    <w:p w14:paraId="69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Поставщик обязан в срок не позднее 5 (пяти) </w:t>
      </w:r>
      <w:r>
        <w:rPr>
          <w:rFonts w:ascii="Serif" w:hAnsi="Serif"/>
          <w:color w:val="000000"/>
          <w:sz w:val="24"/>
        </w:rPr>
        <w:t>рабочих</w:t>
      </w:r>
      <w:r>
        <w:rPr>
          <w:rFonts w:ascii="Serif" w:hAnsi="Serif"/>
          <w:color w:val="000000"/>
          <w:sz w:val="24"/>
        </w:rPr>
        <w:t xml:space="preserve"> дней с даты получения указанного уведомления по выбору Заказчика безвозмездно заменить Товар на Товар надлежащего качества либо вернуть Заказчику уплаченные за Товар денежные средства. Все расходы, связанные с возвратом Товара и/или заменой, несёт Поставщик.</w:t>
      </w:r>
    </w:p>
    <w:p w14:paraId="6A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6.5. На Товар, поставленный взамен некачественного, устанавливается новый гарантийный срок, исчисляемый с момента его получения и подписания товарной накладной Заказчиком. </w:t>
      </w:r>
    </w:p>
    <w:p w14:paraId="6B000000">
      <w:pPr>
        <w:pStyle w:val="Style_8"/>
        <w:spacing w:line="240" w:lineRule="auto"/>
        <w:ind w:firstLine="680" w:left="0" w:right="0"/>
        <w:jc w:val="both"/>
        <w:rPr>
          <w:rFonts w:ascii="Serif" w:hAnsi="Serif"/>
          <w:color w:val="000000"/>
          <w:sz w:val="24"/>
        </w:rPr>
      </w:pPr>
      <w:r>
        <w:rPr>
          <w:rFonts w:ascii="Serif" w:hAnsi="Serif"/>
          <w:color w:val="000000"/>
          <w:sz w:val="24"/>
        </w:rPr>
        <w:t>6.6. Товар должен соответствовать требованиям безопасности, установленным действующим законодательством. Безопасность Товара – это безопасность Товара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6C000000">
      <w:pPr>
        <w:pStyle w:val="Style_8"/>
        <w:spacing w:line="240" w:lineRule="auto"/>
        <w:ind w:firstLine="0" w:left="0" w:right="0"/>
        <w:jc w:val="both"/>
        <w:rPr>
          <w:rFonts w:ascii="Serif" w:hAnsi="Serif"/>
          <w:color w:val="000000"/>
          <w:sz w:val="24"/>
        </w:rPr>
      </w:pPr>
    </w:p>
    <w:p w14:paraId="6D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7. ОТВЕТСТВЕННОСТЬ СТОРОН</w:t>
      </w:r>
    </w:p>
    <w:p w14:paraId="6E000000">
      <w:pPr>
        <w:pStyle w:val="Style_8"/>
        <w:spacing w:line="240" w:lineRule="auto"/>
        <w:ind w:firstLine="680" w:left="0" w:right="0"/>
        <w:jc w:val="both"/>
        <w:rPr>
          <w:rFonts w:ascii="Serif" w:hAnsi="Serif"/>
          <w:color w:val="000000"/>
          <w:sz w:val="24"/>
        </w:rPr>
      </w:pPr>
      <w:r>
        <w:rPr>
          <w:rFonts w:ascii="Serif" w:hAnsi="Serif"/>
          <w:color w:val="000000"/>
          <w:sz w:val="24"/>
        </w:rPr>
        <w:t>7.1.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w:t>
      </w:r>
    </w:p>
    <w:p w14:paraId="6F000000">
      <w:pPr>
        <w:pStyle w:val="Style_8"/>
        <w:spacing w:line="240" w:lineRule="auto"/>
        <w:ind w:firstLine="680" w:left="0" w:right="0"/>
        <w:jc w:val="both"/>
        <w:rPr>
          <w:rFonts w:ascii="Serif" w:hAnsi="Serif"/>
          <w:color w:val="000000"/>
          <w:sz w:val="24"/>
        </w:rPr>
      </w:pPr>
      <w:r>
        <w:rPr>
          <w:rFonts w:ascii="Serif" w:hAnsi="Serif"/>
          <w:color w:val="000000"/>
          <w:sz w:val="24"/>
        </w:rPr>
        <w:t>Размер штрафа и пени определяется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Постановления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w:t>
      </w:r>
    </w:p>
    <w:p w14:paraId="70000000">
      <w:pPr>
        <w:pStyle w:val="Style_8"/>
        <w:spacing w:line="240" w:lineRule="auto"/>
        <w:ind w:firstLine="680" w:left="0" w:right="0"/>
        <w:jc w:val="both"/>
        <w:rPr>
          <w:rFonts w:ascii="Serif" w:hAnsi="Serif"/>
          <w:color w:val="000000"/>
          <w:sz w:val="24"/>
        </w:rPr>
      </w:pPr>
      <w:r>
        <w:rPr>
          <w:rFonts w:ascii="Serif" w:hAnsi="Serif"/>
          <w:color w:val="000000"/>
          <w:sz w:val="24"/>
        </w:rPr>
        <w:t>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1000000">
      <w:pPr>
        <w:pStyle w:val="Style_8"/>
        <w:spacing w:line="240" w:lineRule="auto"/>
        <w:ind w:firstLine="680" w:left="0" w:right="0"/>
        <w:jc w:val="both"/>
        <w:rPr>
          <w:rFonts w:ascii="Serif" w:hAnsi="Serif"/>
          <w:color w:val="000000"/>
          <w:sz w:val="24"/>
        </w:rPr>
      </w:pPr>
      <w:r>
        <w:rPr>
          <w:rFonts w:ascii="Serif" w:hAnsi="Serif"/>
          <w:color w:val="000000"/>
          <w:sz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2000000">
      <w:pPr>
        <w:pStyle w:val="Style_8"/>
        <w:spacing w:line="240" w:lineRule="auto"/>
        <w:ind w:firstLine="680" w:left="0" w:right="0"/>
        <w:jc w:val="both"/>
        <w:rPr>
          <w:rFonts w:ascii="Serif" w:hAnsi="Serif"/>
          <w:color w:val="000000"/>
          <w:sz w:val="24"/>
        </w:rPr>
      </w:pPr>
      <w:r>
        <w:rPr>
          <w:rFonts w:ascii="Serif" w:hAnsi="Serif"/>
          <w:color w:val="000000"/>
          <w:sz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3000000">
      <w:pPr>
        <w:pStyle w:val="Style_8"/>
        <w:spacing w:line="240" w:lineRule="auto"/>
        <w:ind w:firstLine="680" w:left="0" w:right="0"/>
        <w:jc w:val="both"/>
        <w:rPr>
          <w:rFonts w:ascii="Serif" w:hAnsi="Serif"/>
          <w:color w:val="000000"/>
          <w:sz w:val="24"/>
        </w:rPr>
      </w:pPr>
      <w:r>
        <w:rPr>
          <w:rFonts w:ascii="Serif" w:hAnsi="Serif"/>
          <w:color w:val="000000"/>
          <w:sz w:val="24"/>
        </w:rPr>
        <w:t>а) 1000 рублей, если цена Контракта не превышает 3 млн. рублей (включительно);</w:t>
      </w:r>
    </w:p>
    <w:p w14:paraId="74000000">
      <w:pPr>
        <w:pStyle w:val="Style_8"/>
        <w:spacing w:line="240" w:lineRule="auto"/>
        <w:ind w:firstLine="680" w:left="0" w:right="0"/>
        <w:jc w:val="both"/>
        <w:rPr>
          <w:rFonts w:ascii="Serif" w:hAnsi="Serif"/>
          <w:color w:val="000000"/>
          <w:sz w:val="24"/>
        </w:rPr>
      </w:pPr>
      <w:r>
        <w:rPr>
          <w:rFonts w:ascii="Serif" w:hAnsi="Serif"/>
          <w:color w:val="000000"/>
          <w:sz w:val="24"/>
        </w:rPr>
        <w:t>б) 5000 рублей, если цена контракта составляет от 3 млн. рублей до 50 млн. рублей (включительно);</w:t>
      </w:r>
    </w:p>
    <w:p w14:paraId="75000000">
      <w:pPr>
        <w:pStyle w:val="Style_8"/>
        <w:spacing w:line="240" w:lineRule="auto"/>
        <w:ind w:firstLine="680" w:left="0" w:right="0"/>
        <w:jc w:val="both"/>
        <w:rPr>
          <w:rFonts w:ascii="Serif" w:hAnsi="Serif"/>
          <w:color w:val="000000"/>
          <w:sz w:val="24"/>
        </w:rPr>
      </w:pPr>
      <w:r>
        <w:rPr>
          <w:rFonts w:ascii="Serif" w:hAnsi="Serif"/>
          <w:color w:val="000000"/>
          <w:sz w:val="24"/>
        </w:rPr>
        <w:t>в) 10000 рублей, если цена контракта составляет от 50 млн. рублей до 100 млн. рублей (включительно);</w:t>
      </w:r>
    </w:p>
    <w:p w14:paraId="76000000">
      <w:pPr>
        <w:pStyle w:val="Style_8"/>
        <w:spacing w:line="240" w:lineRule="auto"/>
        <w:ind w:firstLine="680" w:left="0" w:right="0"/>
        <w:jc w:val="both"/>
        <w:rPr>
          <w:rFonts w:ascii="Serif" w:hAnsi="Serif"/>
          <w:color w:val="000000"/>
          <w:sz w:val="24"/>
        </w:rPr>
      </w:pPr>
      <w:r>
        <w:rPr>
          <w:rFonts w:ascii="Serif" w:hAnsi="Serif"/>
          <w:color w:val="000000"/>
          <w:sz w:val="24"/>
        </w:rPr>
        <w:t>г) 100000 рублей, если цена контракта превышает 100 млн. рублей.</w:t>
      </w:r>
    </w:p>
    <w:p w14:paraId="77000000">
      <w:pPr>
        <w:pStyle w:val="Style_8"/>
        <w:spacing w:line="240" w:lineRule="auto"/>
        <w:ind w:firstLine="680" w:left="0" w:right="0"/>
        <w:jc w:val="both"/>
        <w:rPr>
          <w:rFonts w:ascii="Serif" w:hAnsi="Serif"/>
          <w:color w:val="000000"/>
          <w:sz w:val="24"/>
        </w:rPr>
      </w:pPr>
      <w:r>
        <w:rPr>
          <w:rFonts w:ascii="Serif" w:hAnsi="Serif"/>
          <w:color w:val="000000"/>
          <w:sz w:val="24"/>
        </w:rPr>
        <w:t>7.4.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8000000">
      <w:pPr>
        <w:pStyle w:val="Style_8"/>
        <w:spacing w:line="240" w:lineRule="auto"/>
        <w:ind w:firstLine="680" w:left="0" w:right="0"/>
        <w:jc w:val="both"/>
        <w:rPr>
          <w:rFonts w:ascii="Serif" w:hAnsi="Serif"/>
          <w:color w:val="000000"/>
          <w:sz w:val="24"/>
        </w:rPr>
      </w:pPr>
      <w:r>
        <w:rPr>
          <w:rFonts w:ascii="Serif" w:hAnsi="Serif"/>
          <w:color w:val="000000"/>
          <w:sz w:val="24"/>
        </w:rPr>
        <w:t>7.5.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79000000">
      <w:pPr>
        <w:pStyle w:val="Style_8"/>
        <w:spacing w:line="240" w:lineRule="auto"/>
        <w:ind w:firstLine="680" w:left="0" w:right="0"/>
        <w:jc w:val="both"/>
        <w:rPr>
          <w:rFonts w:ascii="Serif" w:hAnsi="Serif"/>
          <w:color w:val="000000"/>
          <w:sz w:val="24"/>
        </w:rPr>
      </w:pPr>
      <w:r>
        <w:rPr>
          <w:rFonts w:ascii="Serif" w:hAnsi="Serif"/>
          <w:color w:val="000000"/>
          <w:sz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A000000">
      <w:pPr>
        <w:pStyle w:val="Style_8"/>
        <w:spacing w:line="240" w:lineRule="auto"/>
        <w:ind w:firstLine="680" w:left="0" w:right="0"/>
        <w:jc w:val="both"/>
        <w:rPr>
          <w:rFonts w:ascii="Serif" w:hAnsi="Serif"/>
          <w:color w:val="000000"/>
          <w:sz w:val="24"/>
        </w:rPr>
      </w:pPr>
      <w:r>
        <w:rPr>
          <w:rFonts w:ascii="Serif" w:hAnsi="Serif"/>
          <w:color w:val="000000"/>
          <w:sz w:val="24"/>
        </w:rPr>
        <w:t>7.6.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Заказчику штраф, который устанавливается в следующем порядке:</w:t>
      </w:r>
    </w:p>
    <w:p w14:paraId="7B000000">
      <w:pPr>
        <w:pStyle w:val="Style_8"/>
        <w:spacing w:line="240" w:lineRule="auto"/>
        <w:ind w:firstLine="680" w:left="0" w:right="0"/>
        <w:jc w:val="both"/>
        <w:rPr>
          <w:rFonts w:ascii="Serif" w:hAnsi="Serif"/>
          <w:color w:val="000000"/>
          <w:sz w:val="24"/>
        </w:rPr>
      </w:pPr>
      <w:r>
        <w:rPr>
          <w:rFonts w:ascii="Serif" w:hAnsi="Serif"/>
          <w:color w:val="000000"/>
          <w:sz w:val="24"/>
        </w:rPr>
        <w:t>а) 10 процентов цены контракта (этапа) в случае, если цена контракта (этапа) не превышает 3 млн рублей;</w:t>
      </w:r>
    </w:p>
    <w:p w14:paraId="7C000000">
      <w:pPr>
        <w:pStyle w:val="Style_8"/>
        <w:spacing w:line="240" w:lineRule="auto"/>
        <w:ind w:firstLine="680" w:left="0" w:right="0"/>
        <w:jc w:val="both"/>
        <w:rPr>
          <w:rFonts w:ascii="Serif" w:hAnsi="Serif"/>
          <w:color w:val="000000"/>
          <w:sz w:val="24"/>
        </w:rPr>
      </w:pPr>
      <w:r>
        <w:rPr>
          <w:rFonts w:ascii="Serif" w:hAnsi="Serif"/>
          <w:color w:val="000000"/>
          <w:sz w:val="24"/>
        </w:rPr>
        <w:t>б) 5 процентов цены контракта (этапа) в случае, если цена контракта (этапа) составляет от 3 млн рублей до 50 млн рублей (включительно);</w:t>
      </w:r>
    </w:p>
    <w:p w14:paraId="7D000000">
      <w:pPr>
        <w:pStyle w:val="Style_8"/>
        <w:spacing w:line="240" w:lineRule="auto"/>
        <w:ind w:firstLine="680" w:left="0" w:right="0"/>
        <w:jc w:val="both"/>
        <w:rPr>
          <w:rFonts w:ascii="Serif" w:hAnsi="Serif"/>
          <w:color w:val="000000"/>
          <w:sz w:val="24"/>
        </w:rPr>
      </w:pPr>
      <w:r>
        <w:rPr>
          <w:rFonts w:ascii="Serif" w:hAnsi="Serif"/>
          <w:color w:val="000000"/>
          <w:sz w:val="24"/>
        </w:rPr>
        <w:t>в) 1 процент цены контракта (этапа) в случае, если цена контракта (этапа) составляет от 50 млн рублей до 100 млн рублей (включительно);</w:t>
      </w:r>
    </w:p>
    <w:p w14:paraId="7E000000">
      <w:pPr>
        <w:pStyle w:val="Style_8"/>
        <w:spacing w:line="240" w:lineRule="auto"/>
        <w:ind w:firstLine="680" w:left="0" w:right="0"/>
        <w:jc w:val="both"/>
        <w:rPr>
          <w:rFonts w:ascii="Serif" w:hAnsi="Serif"/>
          <w:color w:val="000000"/>
          <w:sz w:val="24"/>
        </w:rPr>
      </w:pPr>
      <w:r>
        <w:rPr>
          <w:rFonts w:ascii="Serif" w:hAnsi="Serif"/>
          <w:color w:val="000000"/>
          <w:sz w:val="24"/>
        </w:rPr>
        <w:t>г) 0,5 процента цены контракта (этапа) в случае, если цена контракта (этапа) составляет от 100 млн рублей до 500 млн рублей (включительно);</w:t>
      </w:r>
    </w:p>
    <w:p w14:paraId="7F000000">
      <w:pPr>
        <w:pStyle w:val="Style_8"/>
        <w:spacing w:line="240" w:lineRule="auto"/>
        <w:ind w:firstLine="680" w:left="0" w:right="0"/>
        <w:jc w:val="both"/>
        <w:rPr>
          <w:rFonts w:ascii="Serif" w:hAnsi="Serif"/>
          <w:color w:val="000000"/>
          <w:sz w:val="24"/>
        </w:rPr>
      </w:pPr>
      <w:r>
        <w:rPr>
          <w:rFonts w:ascii="Serif" w:hAnsi="Serif"/>
          <w:color w:val="000000"/>
          <w:sz w:val="24"/>
        </w:rPr>
        <w:t>д) 0,4 процента цены контракта (этапа) в случае, если цена контракта (этапа) составляет от 500 млн рублей до 1 млрд рублей (включительно);</w:t>
      </w:r>
    </w:p>
    <w:p w14:paraId="80000000">
      <w:pPr>
        <w:pStyle w:val="Style_8"/>
        <w:spacing w:line="240" w:lineRule="auto"/>
        <w:ind w:firstLine="680" w:left="0" w:right="0"/>
        <w:jc w:val="both"/>
        <w:rPr>
          <w:rFonts w:ascii="Serif" w:hAnsi="Serif"/>
          <w:color w:val="000000"/>
          <w:sz w:val="24"/>
        </w:rPr>
      </w:pPr>
      <w:r>
        <w:rPr>
          <w:rFonts w:ascii="Serif" w:hAnsi="Serif"/>
          <w:color w:val="000000"/>
          <w:sz w:val="24"/>
        </w:rPr>
        <w:t>е) 0,3 процента цены контракта (этапа) в случае, если цена контракта (этапа) составляет от 1 млрд рублей до 2 млрд рублей (включительно);</w:t>
      </w:r>
    </w:p>
    <w:p w14:paraId="81000000">
      <w:pPr>
        <w:pStyle w:val="Style_8"/>
        <w:spacing w:line="240" w:lineRule="auto"/>
        <w:ind w:firstLine="680" w:left="0" w:right="0"/>
        <w:jc w:val="both"/>
        <w:rPr>
          <w:rFonts w:ascii="Serif" w:hAnsi="Serif"/>
          <w:color w:val="000000"/>
          <w:sz w:val="24"/>
        </w:rPr>
      </w:pPr>
      <w:r>
        <w:rPr>
          <w:rFonts w:ascii="Serif" w:hAnsi="Serif"/>
          <w:color w:val="000000"/>
          <w:sz w:val="24"/>
        </w:rPr>
        <w:t>ж) 0,25 процента цены контракта (этапа) в случае, если цена контракта (этапа) составляет от 2 млрд рублей до 5 млрд рублей (включительно);</w:t>
      </w:r>
    </w:p>
    <w:p w14:paraId="82000000">
      <w:pPr>
        <w:pStyle w:val="Style_8"/>
        <w:spacing w:line="240" w:lineRule="auto"/>
        <w:ind w:firstLine="680" w:left="0" w:right="0"/>
        <w:jc w:val="both"/>
        <w:rPr>
          <w:rFonts w:ascii="Serif" w:hAnsi="Serif"/>
          <w:color w:val="000000"/>
          <w:sz w:val="24"/>
        </w:rPr>
      </w:pPr>
      <w:r>
        <w:rPr>
          <w:rFonts w:ascii="Serif" w:hAnsi="Serif"/>
          <w:color w:val="000000"/>
          <w:sz w:val="24"/>
        </w:rPr>
        <w:t>з) 0,2 процента цены контракта (этапа) в случае, если цена контракта (этапа) составляет от 5 млрд рублей до 10 млрд рублей (включительно);</w:t>
      </w:r>
    </w:p>
    <w:p w14:paraId="83000000">
      <w:pPr>
        <w:pStyle w:val="Style_8"/>
        <w:spacing w:line="240" w:lineRule="auto"/>
        <w:ind w:firstLine="680" w:left="0" w:right="0"/>
        <w:jc w:val="both"/>
        <w:rPr>
          <w:rFonts w:ascii="Serif" w:hAnsi="Serif"/>
          <w:color w:val="000000"/>
          <w:sz w:val="24"/>
        </w:rPr>
      </w:pPr>
      <w:r>
        <w:rPr>
          <w:rFonts w:ascii="Serif" w:hAnsi="Serif"/>
          <w:color w:val="000000"/>
          <w:sz w:val="24"/>
        </w:rPr>
        <w:t>и) 0,1 процента цены контракта (этапа) в случае, если цена контракта (этапа) превышает 10 млрд рублей.</w:t>
      </w:r>
    </w:p>
    <w:p w14:paraId="84000000">
      <w:pPr>
        <w:pStyle w:val="Style_8"/>
        <w:spacing w:line="240" w:lineRule="auto"/>
        <w:ind w:firstLine="680" w:left="0" w:right="0"/>
        <w:jc w:val="both"/>
        <w:rPr>
          <w:rFonts w:ascii="Serif" w:hAnsi="Serif"/>
          <w:color w:val="000000"/>
          <w:sz w:val="24"/>
        </w:rPr>
      </w:pPr>
      <w:r>
        <w:rPr>
          <w:rFonts w:ascii="Serif" w:hAnsi="Serif"/>
          <w:color w:val="000000"/>
          <w:sz w:val="24"/>
        </w:rPr>
        <w:t>7.7. За каждый факт неисполнения или ненадлежащего исполнения П</w:t>
      </w:r>
      <w:r>
        <w:rPr>
          <w:rFonts w:ascii="Serif" w:hAnsi="Serif"/>
          <w:color w:val="000000"/>
          <w:sz w:val="24"/>
        </w:rPr>
        <w:t>о</w:t>
      </w:r>
      <w:r>
        <w:rPr>
          <w:rFonts w:ascii="Serif" w:hAnsi="Serif"/>
          <w:color w:val="000000"/>
          <w:sz w:val="24"/>
        </w:rPr>
        <w:t>ставщиком обязательств, предусмотренных Контрактом, заключенным по результатам определения Поставщика в соответствии с п. 1 ч. 1 ст.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85000000">
      <w:pPr>
        <w:pStyle w:val="Style_8"/>
        <w:spacing w:line="240" w:lineRule="auto"/>
        <w:ind w:firstLine="680" w:left="0" w:right="0"/>
        <w:jc w:val="both"/>
        <w:rPr>
          <w:rFonts w:ascii="Serif" w:hAnsi="Serif"/>
          <w:color w:val="000000"/>
          <w:sz w:val="24"/>
        </w:rPr>
      </w:pPr>
      <w:r>
        <w:rPr>
          <w:rFonts w:ascii="Serif" w:hAnsi="Serif"/>
          <w:color w:val="000000"/>
          <w:sz w:val="24"/>
        </w:rPr>
        <w:t>7.8.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86000000">
      <w:pPr>
        <w:pStyle w:val="Style_8"/>
        <w:spacing w:line="240" w:lineRule="auto"/>
        <w:ind w:firstLine="680" w:left="0" w:right="0"/>
        <w:jc w:val="both"/>
        <w:rPr>
          <w:rFonts w:ascii="Serif" w:hAnsi="Serif"/>
          <w:color w:val="000000"/>
          <w:sz w:val="24"/>
        </w:rPr>
      </w:pPr>
      <w:r>
        <w:rPr>
          <w:rFonts w:ascii="Serif" w:hAnsi="Serif"/>
          <w:color w:val="000000"/>
          <w:sz w:val="24"/>
        </w:rPr>
        <w:t>а) в случае, если цена Контракта не превышает начальную (максимальную) цену Контракта:</w:t>
      </w:r>
    </w:p>
    <w:p w14:paraId="87000000">
      <w:pPr>
        <w:pStyle w:val="Style_8"/>
        <w:spacing w:line="240" w:lineRule="auto"/>
        <w:ind w:firstLine="680" w:left="0" w:right="0"/>
        <w:jc w:val="both"/>
        <w:rPr>
          <w:rFonts w:ascii="Serif" w:hAnsi="Serif"/>
          <w:color w:val="000000"/>
          <w:sz w:val="24"/>
        </w:rPr>
      </w:pPr>
      <w:r>
        <w:rPr>
          <w:rFonts w:ascii="Serif" w:hAnsi="Serif"/>
          <w:color w:val="000000"/>
          <w:sz w:val="24"/>
        </w:rPr>
        <w:t>10 процентов начальной (максимальной) цены Контракта, если цена Контракта не превышает 3 млн. рублей;</w:t>
      </w:r>
    </w:p>
    <w:p w14:paraId="88000000">
      <w:pPr>
        <w:pStyle w:val="Style_8"/>
        <w:spacing w:line="240" w:lineRule="auto"/>
        <w:ind w:firstLine="680" w:left="0" w:right="0"/>
        <w:jc w:val="both"/>
        <w:rPr>
          <w:rFonts w:ascii="Serif" w:hAnsi="Serif"/>
          <w:color w:val="000000"/>
          <w:sz w:val="24"/>
        </w:rPr>
      </w:pPr>
      <w:r>
        <w:rPr>
          <w:rFonts w:ascii="Serif" w:hAnsi="Serif"/>
          <w:color w:val="000000"/>
          <w:sz w:val="24"/>
        </w:rPr>
        <w:t>5 процентов начальной (максимальной) цены Контракта, если цена Контракта составляет от 3 млн. рублей до 50 млн. рублей (включительно);</w:t>
      </w:r>
    </w:p>
    <w:p w14:paraId="89000000">
      <w:pPr>
        <w:pStyle w:val="Style_8"/>
        <w:spacing w:line="240" w:lineRule="auto"/>
        <w:ind w:firstLine="680" w:left="0" w:right="0"/>
        <w:jc w:val="both"/>
        <w:rPr>
          <w:rFonts w:ascii="Serif" w:hAnsi="Serif"/>
          <w:color w:val="000000"/>
          <w:sz w:val="24"/>
        </w:rPr>
      </w:pPr>
      <w:r>
        <w:rPr>
          <w:rFonts w:ascii="Serif" w:hAnsi="Serif"/>
          <w:color w:val="000000"/>
          <w:sz w:val="24"/>
        </w:rPr>
        <w:t>1 процент начальной (максимальной) цены Контракта, если цена Контракта составляет от 50 млн. рублей до 100 млн. рублей (включительно);</w:t>
      </w:r>
    </w:p>
    <w:p w14:paraId="8A000000">
      <w:pPr>
        <w:pStyle w:val="Style_8"/>
        <w:spacing w:line="240" w:lineRule="auto"/>
        <w:ind w:firstLine="680" w:left="0" w:right="0"/>
        <w:jc w:val="both"/>
        <w:rPr>
          <w:rFonts w:ascii="Serif" w:hAnsi="Serif"/>
          <w:color w:val="000000"/>
          <w:sz w:val="24"/>
        </w:rPr>
      </w:pPr>
      <w:r>
        <w:rPr>
          <w:rFonts w:ascii="Serif" w:hAnsi="Serif"/>
          <w:color w:val="000000"/>
          <w:sz w:val="24"/>
        </w:rPr>
        <w:t>б) в случае, если цена Контракта превышает начальную (максимальную) цену Контракта:</w:t>
      </w:r>
    </w:p>
    <w:p w14:paraId="8B000000">
      <w:pPr>
        <w:pStyle w:val="Style_8"/>
        <w:spacing w:line="240" w:lineRule="auto"/>
        <w:ind w:firstLine="680" w:left="0" w:right="0"/>
        <w:jc w:val="both"/>
        <w:rPr>
          <w:rFonts w:ascii="Serif" w:hAnsi="Serif"/>
          <w:color w:val="000000"/>
          <w:sz w:val="24"/>
        </w:rPr>
      </w:pPr>
      <w:r>
        <w:rPr>
          <w:rFonts w:ascii="Serif" w:hAnsi="Serif"/>
          <w:color w:val="000000"/>
          <w:sz w:val="24"/>
        </w:rPr>
        <w:t>10 процентов цены Контракта, если цена Контракта не превышает 3 млн. рублей;</w:t>
      </w:r>
    </w:p>
    <w:p w14:paraId="8C000000">
      <w:pPr>
        <w:pStyle w:val="Style_8"/>
        <w:spacing w:line="240" w:lineRule="auto"/>
        <w:ind w:firstLine="680" w:left="0" w:right="0"/>
        <w:jc w:val="both"/>
        <w:rPr>
          <w:rFonts w:ascii="Serif" w:hAnsi="Serif"/>
          <w:color w:val="000000"/>
          <w:sz w:val="24"/>
        </w:rPr>
      </w:pPr>
      <w:r>
        <w:rPr>
          <w:rFonts w:ascii="Serif" w:hAnsi="Serif"/>
          <w:color w:val="000000"/>
          <w:sz w:val="24"/>
        </w:rPr>
        <w:t>5 процентов цены Контракта, если цена Контракта составляет от 3 млн. рублей до 50 млн. рублей (включительно);</w:t>
      </w:r>
    </w:p>
    <w:p w14:paraId="8D000000">
      <w:pPr>
        <w:pStyle w:val="Style_8"/>
        <w:spacing w:line="240" w:lineRule="auto"/>
        <w:ind w:firstLine="680" w:left="0" w:right="0"/>
        <w:jc w:val="both"/>
        <w:rPr>
          <w:rFonts w:ascii="Serif" w:hAnsi="Serif"/>
          <w:color w:val="000000"/>
          <w:sz w:val="24"/>
        </w:rPr>
      </w:pPr>
      <w:r>
        <w:rPr>
          <w:rFonts w:ascii="Serif" w:hAnsi="Serif"/>
          <w:color w:val="000000"/>
          <w:sz w:val="24"/>
        </w:rPr>
        <w:t>1 процент цены Контракта, если цена Контракта составляет от 50 млн. рублей до 100 млн. рублей (включительно).</w:t>
      </w:r>
    </w:p>
    <w:p w14:paraId="8E000000">
      <w:pPr>
        <w:pStyle w:val="Style_8"/>
        <w:spacing w:line="240" w:lineRule="auto"/>
        <w:ind w:firstLine="680" w:left="0" w:right="0"/>
        <w:jc w:val="both"/>
        <w:rPr>
          <w:rFonts w:ascii="Serif" w:hAnsi="Serif"/>
          <w:color w:val="000000"/>
          <w:sz w:val="24"/>
        </w:rPr>
      </w:pPr>
      <w:r>
        <w:rPr>
          <w:rFonts w:ascii="Serif" w:hAnsi="Serif"/>
          <w:color w:val="000000"/>
          <w:sz w:val="24"/>
        </w:rPr>
        <w:t>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8F000000">
      <w:pPr>
        <w:pStyle w:val="Style_8"/>
        <w:spacing w:line="240" w:lineRule="auto"/>
        <w:ind w:firstLine="680" w:left="0" w:right="0"/>
        <w:jc w:val="both"/>
        <w:rPr>
          <w:rFonts w:ascii="Serif" w:hAnsi="Serif"/>
          <w:color w:val="000000"/>
          <w:sz w:val="24"/>
        </w:rPr>
      </w:pPr>
      <w:r>
        <w:rPr>
          <w:rFonts w:ascii="Serif" w:hAnsi="Serif"/>
          <w:color w:val="000000"/>
          <w:sz w:val="24"/>
        </w:rPr>
        <w:t>а) 1000 рублей, если цена Контракта не превышает 3 млн. рублей;</w:t>
      </w:r>
    </w:p>
    <w:p w14:paraId="90000000">
      <w:pPr>
        <w:pStyle w:val="Style_8"/>
        <w:spacing w:line="240" w:lineRule="auto"/>
        <w:ind w:firstLine="680" w:left="0" w:right="0"/>
        <w:jc w:val="both"/>
        <w:rPr>
          <w:rFonts w:ascii="Serif" w:hAnsi="Serif"/>
          <w:color w:val="000000"/>
          <w:sz w:val="24"/>
        </w:rPr>
      </w:pPr>
      <w:r>
        <w:rPr>
          <w:rFonts w:ascii="Serif" w:hAnsi="Serif"/>
          <w:color w:val="000000"/>
          <w:sz w:val="24"/>
        </w:rPr>
        <w:t>б) 5000 рублей, если цена Контракта составляет от 3 млн. рублей до 50 млн. рублей (включительно);</w:t>
      </w:r>
    </w:p>
    <w:p w14:paraId="91000000">
      <w:pPr>
        <w:pStyle w:val="Style_8"/>
        <w:spacing w:line="240" w:lineRule="auto"/>
        <w:ind w:firstLine="680" w:left="0" w:right="0"/>
        <w:jc w:val="both"/>
        <w:rPr>
          <w:rFonts w:ascii="Serif" w:hAnsi="Serif"/>
          <w:color w:val="000000"/>
          <w:sz w:val="24"/>
        </w:rPr>
      </w:pPr>
      <w:r>
        <w:rPr>
          <w:rFonts w:ascii="Serif" w:hAnsi="Serif"/>
          <w:color w:val="000000"/>
          <w:sz w:val="24"/>
        </w:rPr>
        <w:t>в) 10000 рублей, если цена Контракта составляет от 50 млн. рублей до 100 млн. рублей (включительно);</w:t>
      </w:r>
    </w:p>
    <w:p w14:paraId="92000000">
      <w:pPr>
        <w:pStyle w:val="Style_8"/>
        <w:spacing w:line="240" w:lineRule="auto"/>
        <w:ind w:firstLine="680" w:left="0" w:right="0"/>
        <w:jc w:val="both"/>
        <w:rPr>
          <w:rFonts w:ascii="Serif" w:hAnsi="Serif"/>
          <w:color w:val="000000"/>
          <w:sz w:val="24"/>
        </w:rPr>
      </w:pPr>
      <w:r>
        <w:rPr>
          <w:rFonts w:ascii="Serif" w:hAnsi="Serif"/>
          <w:color w:val="000000"/>
          <w:sz w:val="24"/>
        </w:rPr>
        <w:t>г) 100000 рублей, если цена Контракта превышает 100 млн. рублей.</w:t>
      </w:r>
    </w:p>
    <w:p w14:paraId="93000000">
      <w:pPr>
        <w:pStyle w:val="Style_8"/>
        <w:spacing w:line="240" w:lineRule="auto"/>
        <w:ind w:firstLine="680" w:left="0" w:right="0"/>
        <w:jc w:val="both"/>
        <w:rPr>
          <w:rFonts w:ascii="Serif" w:hAnsi="Serif"/>
          <w:color w:val="000000"/>
          <w:sz w:val="24"/>
        </w:rPr>
      </w:pPr>
      <w:r>
        <w:rPr>
          <w:rFonts w:ascii="Serif" w:hAnsi="Serif"/>
          <w:color w:val="000000"/>
          <w:sz w:val="24"/>
        </w:rPr>
        <w:t>7.10.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94000000">
      <w:pPr>
        <w:pStyle w:val="Style_8"/>
        <w:spacing w:line="240" w:lineRule="auto"/>
        <w:ind w:firstLine="680" w:left="0" w:right="0"/>
        <w:jc w:val="both"/>
        <w:rPr>
          <w:rFonts w:ascii="Serif" w:hAnsi="Serif"/>
          <w:color w:val="000000"/>
          <w:sz w:val="24"/>
        </w:rPr>
      </w:pPr>
      <w:r>
        <w:rPr>
          <w:rFonts w:ascii="Serif" w:hAnsi="Serif"/>
          <w:color w:val="000000"/>
          <w:sz w:val="24"/>
        </w:rPr>
        <w:t>7.11.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14:paraId="95000000">
      <w:pPr>
        <w:pStyle w:val="Style_8"/>
        <w:spacing w:line="240" w:lineRule="auto"/>
        <w:ind w:firstLine="680" w:left="0" w:right="0"/>
        <w:jc w:val="both"/>
        <w:rPr>
          <w:rFonts w:ascii="Serif" w:hAnsi="Serif"/>
          <w:color w:val="000000"/>
          <w:sz w:val="24"/>
        </w:rPr>
      </w:pPr>
      <w:r>
        <w:rPr>
          <w:rFonts w:ascii="Serif" w:hAnsi="Serif"/>
          <w:color w:val="000000"/>
          <w:sz w:val="24"/>
        </w:rPr>
        <w:t>7.12.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96000000">
      <w:pPr>
        <w:pStyle w:val="Style_8"/>
        <w:spacing w:line="240" w:lineRule="auto"/>
        <w:ind w:firstLine="0" w:left="0" w:right="0"/>
        <w:jc w:val="both"/>
        <w:rPr>
          <w:rFonts w:ascii="Serif" w:hAnsi="Serif"/>
          <w:color w:val="000000"/>
          <w:sz w:val="24"/>
        </w:rPr>
      </w:pPr>
    </w:p>
    <w:p w14:paraId="97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8. ОБСТОЯТЕЛЬСТВА НЕПРЕОДОЛИМОЙ СИЛЫ</w:t>
      </w:r>
    </w:p>
    <w:p w14:paraId="98000000">
      <w:pPr>
        <w:pStyle w:val="Style_8"/>
        <w:spacing w:line="240" w:lineRule="auto"/>
        <w:ind w:firstLine="680" w:left="0" w:right="0"/>
        <w:jc w:val="both"/>
        <w:rPr>
          <w:rFonts w:ascii="Serif" w:hAnsi="Serif"/>
          <w:color w:val="000000"/>
          <w:sz w:val="24"/>
        </w:rPr>
      </w:pPr>
      <w:r>
        <w:rPr>
          <w:rFonts w:ascii="Serif" w:hAnsi="Serif"/>
          <w:color w:val="000000"/>
          <w:sz w:val="24"/>
        </w:rPr>
        <w:t>8.1.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99000000">
      <w:pPr>
        <w:pStyle w:val="Style_8"/>
        <w:spacing w:line="240" w:lineRule="auto"/>
        <w:ind w:firstLine="680" w:left="0" w:right="0"/>
        <w:jc w:val="both"/>
        <w:rPr>
          <w:rFonts w:ascii="Serif" w:hAnsi="Serif"/>
          <w:color w:val="000000"/>
          <w:sz w:val="24"/>
        </w:rPr>
      </w:pPr>
      <w:r>
        <w:rPr>
          <w:rFonts w:ascii="Serif" w:hAnsi="Serif"/>
          <w:color w:val="000000"/>
          <w:sz w:val="24"/>
        </w:rPr>
        <w:t>8.2.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9A000000">
      <w:pPr>
        <w:pStyle w:val="Style_8"/>
        <w:spacing w:line="240" w:lineRule="auto"/>
        <w:ind w:firstLine="680" w:left="0" w:right="0"/>
        <w:jc w:val="both"/>
        <w:rPr>
          <w:rFonts w:ascii="Serif" w:hAnsi="Serif"/>
          <w:color w:val="000000"/>
          <w:sz w:val="24"/>
        </w:rPr>
      </w:pPr>
      <w:r>
        <w:rPr>
          <w:rFonts w:ascii="Serif" w:hAnsi="Serif"/>
          <w:color w:val="000000"/>
          <w:sz w:val="24"/>
        </w:rPr>
        <w:t>8.3. Неизвещение, либо несвоевременное извещение другой стороны согласно п.8.2. Контракта влечет за собой утрату права ссылаться на эти обстоятельства.</w:t>
      </w:r>
    </w:p>
    <w:p w14:paraId="9B000000">
      <w:pPr>
        <w:pStyle w:val="Style_8"/>
        <w:spacing w:line="240" w:lineRule="auto"/>
        <w:ind w:firstLine="0" w:left="0" w:right="0"/>
        <w:jc w:val="both"/>
        <w:rPr>
          <w:rFonts w:ascii="Serif" w:hAnsi="Serif"/>
          <w:color w:val="000000"/>
          <w:sz w:val="24"/>
        </w:rPr>
      </w:pPr>
    </w:p>
    <w:p w14:paraId="9C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9. АНТИКОРРУПЦИОННАЯ ОГОВОРКА</w:t>
      </w:r>
    </w:p>
    <w:p w14:paraId="9D000000">
      <w:pPr>
        <w:pStyle w:val="Style_8"/>
        <w:spacing w:line="240" w:lineRule="auto"/>
        <w:ind w:firstLine="680" w:left="0" w:right="0"/>
        <w:jc w:val="both"/>
        <w:rPr>
          <w:rFonts w:ascii="Serif" w:hAnsi="Serif"/>
          <w:color w:val="000000"/>
          <w:sz w:val="24"/>
        </w:rPr>
      </w:pPr>
      <w:r>
        <w:rPr>
          <w:rFonts w:ascii="Serif" w:hAnsi="Serif"/>
          <w:color w:val="000000"/>
          <w:sz w:val="24"/>
        </w:rPr>
        <w:t>9.1.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9E000000">
      <w:pPr>
        <w:pStyle w:val="Style_8"/>
        <w:spacing w:line="240" w:lineRule="auto"/>
        <w:ind w:firstLine="680" w:left="0" w:right="0"/>
        <w:jc w:val="both"/>
        <w:rPr>
          <w:rFonts w:ascii="Serif" w:hAnsi="Serif"/>
          <w:color w:val="000000"/>
          <w:sz w:val="24"/>
        </w:rPr>
      </w:pPr>
      <w:r>
        <w:rPr>
          <w:rFonts w:ascii="Serif" w:hAnsi="Serif"/>
          <w:color w:val="000000"/>
          <w:sz w:val="24"/>
        </w:rPr>
        <w:t>9.2.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пункте 9.1, в том числе со стороны руководства или работников Сторон, третьих лиц.</w:t>
      </w:r>
    </w:p>
    <w:p w14:paraId="9F000000">
      <w:pPr>
        <w:pStyle w:val="Style_8"/>
        <w:spacing w:line="240" w:lineRule="auto"/>
        <w:ind w:firstLine="680" w:left="0" w:right="0"/>
        <w:jc w:val="both"/>
        <w:rPr>
          <w:rFonts w:ascii="Serif" w:hAnsi="Serif"/>
          <w:color w:val="000000"/>
          <w:sz w:val="24"/>
        </w:rPr>
      </w:pPr>
      <w:r>
        <w:rPr>
          <w:rFonts w:ascii="Serif" w:hAnsi="Serif"/>
          <w:color w:val="000000"/>
          <w:sz w:val="24"/>
        </w:rPr>
        <w:t>9.3.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A0000000">
      <w:pPr>
        <w:pStyle w:val="Style_8"/>
        <w:spacing w:line="240" w:lineRule="auto"/>
        <w:ind w:firstLine="680" w:left="0" w:right="0"/>
        <w:jc w:val="both"/>
        <w:rPr>
          <w:rFonts w:ascii="Serif" w:hAnsi="Serif"/>
          <w:color w:val="000000"/>
          <w:sz w:val="24"/>
        </w:rPr>
      </w:pPr>
      <w:r>
        <w:rPr>
          <w:rFonts w:ascii="Serif" w:hAnsi="Serif"/>
          <w:color w:val="000000"/>
          <w:sz w:val="24"/>
        </w:rPr>
        <w:t>9.4. Сторонам, их руководителям и работникам запрещается:</w:t>
      </w:r>
    </w:p>
    <w:p w14:paraId="A1000000">
      <w:pPr>
        <w:pStyle w:val="Style_8"/>
        <w:spacing w:line="240" w:lineRule="auto"/>
        <w:ind w:firstLine="680" w:left="0" w:right="0"/>
        <w:jc w:val="both"/>
        <w:rPr>
          <w:rFonts w:ascii="Serif" w:hAnsi="Serif"/>
          <w:color w:val="000000"/>
          <w:sz w:val="24"/>
        </w:rPr>
      </w:pPr>
      <w:r>
        <w:rPr>
          <w:rFonts w:ascii="Serif" w:hAnsi="Serif"/>
          <w:color w:val="000000"/>
          <w:sz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A2000000">
      <w:pPr>
        <w:pStyle w:val="Style_8"/>
        <w:spacing w:line="240" w:lineRule="auto"/>
        <w:ind w:firstLine="680" w:left="0" w:right="0"/>
        <w:jc w:val="both"/>
        <w:rPr>
          <w:rFonts w:ascii="Serif" w:hAnsi="Serif"/>
          <w:color w:val="000000"/>
          <w:sz w:val="24"/>
        </w:rPr>
      </w:pPr>
      <w:r>
        <w:rPr>
          <w:rFonts w:ascii="Serif" w:hAnsi="Serif"/>
          <w:color w:val="000000"/>
          <w:sz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A3000000">
      <w:pPr>
        <w:pStyle w:val="Style_8"/>
        <w:spacing w:line="240" w:lineRule="auto"/>
        <w:ind w:firstLine="680" w:left="0" w:right="0"/>
        <w:jc w:val="both"/>
        <w:rPr>
          <w:rFonts w:ascii="Serif" w:hAnsi="Serif"/>
          <w:color w:val="000000"/>
          <w:sz w:val="24"/>
        </w:rPr>
      </w:pPr>
      <w:r>
        <w:rPr>
          <w:rFonts w:ascii="Serif" w:hAnsi="Serif"/>
          <w:color w:val="000000"/>
          <w:sz w:val="24"/>
        </w:rPr>
        <w:t>- совершать иные действия, нарушающие действующее антикоррупционное законодательство Российской Федерации.</w:t>
      </w:r>
    </w:p>
    <w:p w14:paraId="A4000000">
      <w:pPr>
        <w:pStyle w:val="Style_8"/>
        <w:spacing w:line="240" w:lineRule="auto"/>
        <w:ind w:firstLine="680" w:left="0" w:right="0"/>
        <w:jc w:val="both"/>
        <w:rPr>
          <w:rFonts w:ascii="Serif" w:hAnsi="Serif"/>
          <w:color w:val="000000"/>
          <w:sz w:val="24"/>
        </w:rPr>
      </w:pPr>
      <w:r>
        <w:rPr>
          <w:rFonts w:ascii="Serif" w:hAnsi="Serif"/>
          <w:color w:val="000000"/>
          <w:sz w:val="24"/>
        </w:rPr>
        <w:t>9.5.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A5000000">
      <w:pPr>
        <w:pStyle w:val="Style_8"/>
        <w:spacing w:line="240" w:lineRule="auto"/>
        <w:ind w:firstLine="680" w:left="0" w:right="0"/>
        <w:jc w:val="both"/>
        <w:rPr>
          <w:rFonts w:ascii="Serif" w:hAnsi="Serif"/>
          <w:color w:val="000000"/>
          <w:sz w:val="24"/>
        </w:rPr>
      </w:pPr>
      <w:r>
        <w:rPr>
          <w:rFonts w:ascii="Serif" w:hAnsi="Serif"/>
          <w:color w:val="000000"/>
          <w:sz w:val="24"/>
        </w:rPr>
        <w:t>Подтверждение должно быть направлено не позднее 5 (пяти) рабочих дней с даты получения письменного уведомления.</w:t>
      </w:r>
    </w:p>
    <w:p w14:paraId="A6000000">
      <w:pPr>
        <w:pStyle w:val="Style_8"/>
        <w:spacing w:line="240" w:lineRule="auto"/>
        <w:ind w:firstLine="680" w:left="0" w:right="0"/>
        <w:jc w:val="both"/>
        <w:rPr>
          <w:rFonts w:ascii="Serif" w:hAnsi="Serif"/>
          <w:color w:val="000000"/>
          <w:sz w:val="24"/>
        </w:rPr>
      </w:pPr>
      <w:r>
        <w:rPr>
          <w:rFonts w:ascii="Serif" w:hAnsi="Serif"/>
          <w:color w:val="000000"/>
          <w:sz w:val="24"/>
        </w:rPr>
        <w:t>9.6.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A7000000">
      <w:pPr>
        <w:pStyle w:val="Style_8"/>
        <w:spacing w:line="240" w:lineRule="auto"/>
        <w:ind w:firstLine="680" w:left="0" w:right="0"/>
        <w:jc w:val="both"/>
        <w:rPr>
          <w:rFonts w:ascii="Serif" w:hAnsi="Serif"/>
          <w:color w:val="000000"/>
          <w:sz w:val="24"/>
        </w:rPr>
      </w:pPr>
      <w:r>
        <w:rPr>
          <w:rFonts w:ascii="Serif" w:hAnsi="Serif"/>
          <w:color w:val="000000"/>
          <w:sz w:val="24"/>
        </w:rPr>
        <w:t>9.7. В отношении третьих лиц Стороны обязуются:</w:t>
      </w:r>
    </w:p>
    <w:p w14:paraId="A8000000">
      <w:pPr>
        <w:pStyle w:val="Style_8"/>
        <w:spacing w:line="240" w:lineRule="auto"/>
        <w:ind w:firstLine="680" w:left="0" w:right="0"/>
        <w:jc w:val="both"/>
        <w:rPr>
          <w:rFonts w:ascii="Serif" w:hAnsi="Serif"/>
          <w:color w:val="000000"/>
          <w:sz w:val="24"/>
        </w:rPr>
      </w:pPr>
      <w:r>
        <w:rPr>
          <w:rFonts w:ascii="Serif" w:hAnsi="Serif"/>
          <w:color w:val="000000"/>
          <w:sz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A9000000">
      <w:pPr>
        <w:pStyle w:val="Style_8"/>
        <w:spacing w:line="240" w:lineRule="auto"/>
        <w:ind w:firstLine="680" w:left="0" w:right="0"/>
        <w:jc w:val="both"/>
        <w:rPr>
          <w:rFonts w:ascii="Serif" w:hAnsi="Serif"/>
          <w:color w:val="000000"/>
          <w:sz w:val="24"/>
        </w:rPr>
      </w:pPr>
      <w:r>
        <w:rPr>
          <w:rFonts w:ascii="Serif" w:hAnsi="Serif"/>
          <w:color w:val="000000"/>
          <w:sz w:val="24"/>
        </w:rPr>
        <w:t>- не привлекать их в качестве канала для совершения коррупционных действий;</w:t>
      </w:r>
    </w:p>
    <w:p w14:paraId="AA000000">
      <w:pPr>
        <w:pStyle w:val="Style_8"/>
        <w:spacing w:line="240" w:lineRule="auto"/>
        <w:ind w:firstLine="680" w:left="0" w:right="0"/>
        <w:jc w:val="both"/>
        <w:rPr>
          <w:rFonts w:ascii="Serif" w:hAnsi="Serif"/>
          <w:color w:val="000000"/>
          <w:sz w:val="24"/>
        </w:rPr>
      </w:pPr>
      <w:r>
        <w:rPr>
          <w:rFonts w:ascii="Serif" w:hAnsi="Serif"/>
          <w:color w:val="000000"/>
          <w:sz w:val="24"/>
        </w:rPr>
        <w:t>- не осуществлять им выплат, превышающих размер соответствующего вознаграждения.</w:t>
      </w:r>
    </w:p>
    <w:p w14:paraId="AB000000">
      <w:pPr>
        <w:pStyle w:val="Style_8"/>
        <w:spacing w:line="240" w:lineRule="auto"/>
        <w:ind w:firstLine="0" w:left="0" w:right="0"/>
        <w:jc w:val="both"/>
        <w:rPr>
          <w:rFonts w:ascii="Serif" w:hAnsi="Serif"/>
          <w:color w:val="000000"/>
          <w:sz w:val="24"/>
        </w:rPr>
      </w:pPr>
    </w:p>
    <w:p w14:paraId="AC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10</w:t>
      </w:r>
      <w:r>
        <w:rPr>
          <w:rFonts w:ascii="Serif" w:hAnsi="Serif"/>
          <w:b w:val="1"/>
          <w:color w:val="000000"/>
          <w:sz w:val="24"/>
        </w:rPr>
        <w:t>. ПОРЯДОК УРЕГУЛИРОВАНИЯ СПОРОВ</w:t>
      </w:r>
    </w:p>
    <w:p w14:paraId="AD000000">
      <w:pPr>
        <w:pStyle w:val="Style_8"/>
        <w:spacing w:line="240" w:lineRule="auto"/>
        <w:ind w:firstLine="680" w:left="0" w:right="0"/>
        <w:jc w:val="both"/>
        <w:rPr>
          <w:rFonts w:ascii="Serif" w:hAnsi="Serif"/>
          <w:color w:val="000000"/>
          <w:sz w:val="24"/>
        </w:rPr>
      </w:pPr>
      <w:r>
        <w:rPr>
          <w:rFonts w:ascii="Serif" w:hAnsi="Serif"/>
          <w:color w:val="000000"/>
          <w:sz w:val="24"/>
        </w:rPr>
        <w:t>10</w:t>
      </w:r>
      <w:r>
        <w:rPr>
          <w:rFonts w:ascii="Serif" w:hAnsi="Serif"/>
          <w:color w:val="000000"/>
          <w:sz w:val="24"/>
        </w:rPr>
        <w:t>.1. Все споры и разногласия, которые могут возникнуть между Сторонами при исполнении условий настоящего Контракта, будут разрешаться путем переговоров.</w:t>
      </w:r>
    </w:p>
    <w:p w14:paraId="AE000000">
      <w:pPr>
        <w:pStyle w:val="Style_8"/>
        <w:spacing w:line="240" w:lineRule="auto"/>
        <w:ind w:firstLine="680" w:left="0" w:right="0"/>
        <w:jc w:val="both"/>
        <w:rPr>
          <w:rFonts w:ascii="Serif" w:hAnsi="Serif"/>
          <w:color w:val="000000"/>
          <w:sz w:val="24"/>
        </w:rPr>
      </w:pPr>
      <w:r>
        <w:rPr>
          <w:rFonts w:ascii="Serif" w:hAnsi="Serif"/>
          <w:color w:val="000000"/>
          <w:sz w:val="24"/>
        </w:rPr>
        <w:t>10.</w:t>
      </w:r>
      <w:r>
        <w:rPr>
          <w:rFonts w:ascii="Serif" w:hAnsi="Serif"/>
          <w:color w:val="000000"/>
          <w:sz w:val="24"/>
        </w:rPr>
        <w:t>2. При не урегулировании в процессе переговоров спорных вопросов, споры разрешаются в Арбитражном суде Тюменской области (по месту нахождения Заказчика) в порядке, установленном действующим законодательством Российской Федерации.</w:t>
      </w:r>
    </w:p>
    <w:p w14:paraId="AF000000">
      <w:pPr>
        <w:pStyle w:val="Style_8"/>
        <w:spacing w:line="240" w:lineRule="auto"/>
        <w:ind w:firstLine="680" w:left="0" w:right="0"/>
        <w:jc w:val="both"/>
        <w:rPr>
          <w:rFonts w:ascii="Serif" w:hAnsi="Serif"/>
          <w:color w:val="000000"/>
          <w:sz w:val="24"/>
        </w:rPr>
      </w:pPr>
      <w:r>
        <w:rPr>
          <w:rFonts w:ascii="Serif" w:hAnsi="Serif"/>
          <w:color w:val="000000"/>
          <w:sz w:val="24"/>
        </w:rPr>
        <w:t>10.</w:t>
      </w:r>
      <w:r>
        <w:rPr>
          <w:rFonts w:ascii="Serif" w:hAnsi="Serif"/>
          <w:color w:val="000000"/>
          <w:sz w:val="24"/>
        </w:rPr>
        <w:t>3. До передачи спора на разрешени</w:t>
      </w:r>
      <w:r>
        <w:rPr>
          <w:rFonts w:ascii="Serif" w:hAnsi="Serif"/>
          <w:color w:val="000000"/>
          <w:sz w:val="24"/>
        </w:rPr>
        <w:t>е</w:t>
      </w:r>
      <w:r>
        <w:rPr>
          <w:rFonts w:ascii="Serif" w:hAnsi="Serif"/>
          <w:color w:val="000000"/>
          <w:sz w:val="24"/>
        </w:rPr>
        <w:t xml:space="preserve"> Арбитражного суда Тюменской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дней от даты ее получения. </w:t>
      </w:r>
    </w:p>
    <w:p w14:paraId="B0000000">
      <w:pPr>
        <w:pStyle w:val="Style_8"/>
        <w:spacing w:line="240" w:lineRule="auto"/>
        <w:ind w:firstLine="0" w:left="0" w:right="0"/>
        <w:jc w:val="both"/>
        <w:rPr>
          <w:rFonts w:ascii="Serif" w:hAnsi="Serif"/>
          <w:color w:val="000000"/>
          <w:sz w:val="24"/>
        </w:rPr>
      </w:pPr>
    </w:p>
    <w:p w14:paraId="B1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11</w:t>
      </w:r>
      <w:r>
        <w:rPr>
          <w:rFonts w:ascii="Serif" w:hAnsi="Serif"/>
          <w:b w:val="1"/>
          <w:color w:val="000000"/>
          <w:sz w:val="24"/>
        </w:rPr>
        <w:t>. СРОК ДЕЙСТВИЯ, ПОРЯДОК ИЗМЕНЕНИЯ И РАСТОРЖЕНИЯ КОНТРАКТА</w:t>
      </w:r>
    </w:p>
    <w:p w14:paraId="B2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11.1. Настоящий Контракт вступает в силу с момента заключения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действует </w:t>
      </w:r>
      <w:r>
        <w:rPr>
          <w:rFonts w:ascii="Serif" w:hAnsi="Serif"/>
          <w:b w:val="1"/>
          <w:color w:val="000000"/>
          <w:sz w:val="24"/>
        </w:rPr>
        <w:t>по «</w:t>
      </w:r>
      <w:r>
        <w:rPr>
          <w:rFonts w:ascii="Serif" w:hAnsi="Serif"/>
          <w:b w:val="1"/>
          <w:color w:val="000000"/>
          <w:sz w:val="24"/>
        </w:rPr>
        <w:t>3</w:t>
      </w:r>
      <w:r>
        <w:rPr>
          <w:rFonts w:ascii="Serif" w:hAnsi="Serif"/>
          <w:b w:val="1"/>
          <w:color w:val="000000"/>
          <w:sz w:val="24"/>
        </w:rPr>
        <w:t>1</w:t>
      </w:r>
      <w:r>
        <w:rPr>
          <w:rFonts w:ascii="Serif" w:hAnsi="Serif"/>
          <w:b w:val="1"/>
          <w:color w:val="000000"/>
          <w:sz w:val="24"/>
        </w:rPr>
        <w:t xml:space="preserve">» </w:t>
      </w:r>
      <w:r>
        <w:rPr>
          <w:rFonts w:ascii="Serif" w:hAnsi="Serif"/>
          <w:b w:val="1"/>
          <w:color w:val="000000"/>
          <w:sz w:val="24"/>
        </w:rPr>
        <w:t>декабря</w:t>
      </w:r>
      <w:r>
        <w:rPr>
          <w:rFonts w:ascii="Serif" w:hAnsi="Serif"/>
          <w:b w:val="1"/>
          <w:color w:val="000000"/>
          <w:sz w:val="24"/>
        </w:rPr>
        <w:t xml:space="preserve"> 2026 г. </w:t>
      </w:r>
      <w:r>
        <w:rPr>
          <w:rFonts w:ascii="Serif" w:hAnsi="Serif"/>
          <w:b w:val="1"/>
          <w:color w:val="000000"/>
          <w:sz w:val="24"/>
        </w:rPr>
        <w:t xml:space="preserve">(включительно). </w:t>
      </w:r>
    </w:p>
    <w:p w14:paraId="B3000000">
      <w:pPr>
        <w:pStyle w:val="Style_8"/>
        <w:spacing w:line="240" w:lineRule="auto"/>
        <w:ind w:firstLine="680" w:left="0" w:right="0"/>
        <w:jc w:val="both"/>
        <w:rPr>
          <w:rFonts w:ascii="Serif" w:hAnsi="Serif"/>
          <w:color w:val="000000"/>
          <w:sz w:val="24"/>
        </w:rPr>
      </w:pPr>
      <w:r>
        <w:rPr>
          <w:rFonts w:ascii="Serif" w:hAnsi="Serif"/>
          <w:color w:val="000000"/>
          <w:sz w:val="24"/>
        </w:rPr>
        <w:t>11.2.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B4000000">
      <w:pPr>
        <w:pStyle w:val="Style_8"/>
        <w:spacing w:line="240" w:lineRule="auto"/>
        <w:ind w:firstLine="680" w:left="0" w:right="0"/>
        <w:jc w:val="both"/>
        <w:rPr>
          <w:rFonts w:ascii="Serif" w:hAnsi="Serif"/>
          <w:color w:val="000000"/>
          <w:sz w:val="24"/>
        </w:rPr>
      </w:pPr>
      <w:r>
        <w:rPr>
          <w:rFonts w:ascii="Serif" w:hAnsi="Serif"/>
          <w:color w:val="000000"/>
          <w:sz w:val="24"/>
        </w:rPr>
        <w:t>11.3.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данного вида обязательства.</w:t>
      </w:r>
    </w:p>
    <w:p w14:paraId="B5000000">
      <w:pPr>
        <w:pStyle w:val="Style_8"/>
        <w:spacing w:line="240" w:lineRule="auto"/>
        <w:ind w:firstLine="680" w:left="0" w:right="0"/>
        <w:jc w:val="both"/>
        <w:rPr>
          <w:rFonts w:ascii="Serif" w:hAnsi="Serif"/>
          <w:color w:val="000000"/>
          <w:sz w:val="24"/>
        </w:rPr>
      </w:pPr>
      <w:r>
        <w:rPr>
          <w:rFonts w:ascii="Serif" w:hAnsi="Serif"/>
          <w:color w:val="000000"/>
          <w:sz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предусмотрено право Заказчика на односторонний отказ от исполнения Контракта.</w:t>
      </w:r>
    </w:p>
    <w:p w14:paraId="B6000000">
      <w:pPr>
        <w:pStyle w:val="Style_8"/>
        <w:spacing w:line="240" w:lineRule="auto"/>
        <w:ind w:firstLine="680" w:left="0" w:right="0"/>
        <w:jc w:val="both"/>
        <w:rPr>
          <w:rFonts w:ascii="Serif" w:hAnsi="Serif"/>
          <w:color w:val="000000"/>
          <w:sz w:val="24"/>
        </w:rPr>
      </w:pPr>
      <w:r>
        <w:rPr>
          <w:rFonts w:ascii="Serif" w:hAnsi="Serif"/>
          <w:color w:val="000000"/>
          <w:sz w:val="24"/>
        </w:rPr>
        <w:t>11.4.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B7000000">
      <w:pPr>
        <w:pStyle w:val="Style_8"/>
        <w:spacing w:line="240" w:lineRule="auto"/>
        <w:ind w:firstLine="680" w:left="0" w:right="0"/>
        <w:jc w:val="both"/>
        <w:rPr>
          <w:rFonts w:ascii="Serif" w:hAnsi="Serif"/>
          <w:color w:val="000000"/>
          <w:sz w:val="24"/>
        </w:rPr>
      </w:pPr>
      <w:r>
        <w:rPr>
          <w:rFonts w:ascii="Serif" w:hAnsi="Serif"/>
          <w:color w:val="000000"/>
          <w:sz w:val="24"/>
        </w:rPr>
        <w:t>11.5.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B8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11.6. Изменение существенных условий Контракта не допускается, за исключением случаев, предусмотренных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 настоящим разделом. </w:t>
      </w:r>
    </w:p>
    <w:p w14:paraId="B9000000">
      <w:pPr>
        <w:pStyle w:val="Style_8"/>
        <w:spacing w:line="240" w:lineRule="auto"/>
        <w:ind w:firstLine="680" w:left="0" w:right="0"/>
        <w:jc w:val="both"/>
        <w:rPr>
          <w:rFonts w:ascii="Serif" w:hAnsi="Serif"/>
          <w:color w:val="000000"/>
          <w:sz w:val="24"/>
        </w:rPr>
      </w:pPr>
      <w:r>
        <w:rPr>
          <w:rFonts w:ascii="Serif" w:hAnsi="Serif"/>
          <w:color w:val="000000"/>
          <w:sz w:val="24"/>
        </w:rPr>
        <w:t>11.7. Все изменения и дополнения к настоящему Контракту действительны в том случае, если они совершены в письменной форме и подписаны Сторонами. Все приложения к настоящему Контракту являются его неотъемлемой частью.</w:t>
      </w:r>
    </w:p>
    <w:p w14:paraId="BA000000">
      <w:pPr>
        <w:pStyle w:val="Style_8"/>
        <w:spacing w:line="240" w:lineRule="auto"/>
        <w:ind w:firstLine="680" w:left="0" w:right="0"/>
        <w:jc w:val="both"/>
        <w:rPr>
          <w:rFonts w:ascii="Serif" w:hAnsi="Serif"/>
          <w:color w:val="000000"/>
          <w:sz w:val="24"/>
        </w:rPr>
      </w:pPr>
      <w:r>
        <w:rPr>
          <w:rFonts w:ascii="Serif" w:hAnsi="Serif"/>
          <w:color w:val="000000"/>
          <w:sz w:val="24"/>
        </w:rPr>
        <w:t>11.8. Прекращение действия настоящего Контракта не влечёт за собой прекращение обязательств Сторон по нему и не освобождает Стороны от ответственности за нарушения, если таковые имели место при исполнении условий настоящего Контракта.</w:t>
      </w:r>
    </w:p>
    <w:p w14:paraId="BB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В том числе гарантийные обязательства, предусмотренные </w:t>
      </w:r>
      <w:r>
        <w:rPr>
          <w:rFonts w:ascii="Serif" w:hAnsi="Serif"/>
          <w:color w:val="000000"/>
          <w:sz w:val="24"/>
        </w:rPr>
        <w:t>разделом 6</w:t>
      </w:r>
      <w:r>
        <w:rPr>
          <w:rFonts w:ascii="Serif" w:hAnsi="Serif"/>
          <w:color w:val="000000"/>
          <w:sz w:val="24"/>
        </w:rPr>
        <w:t xml:space="preserve"> настоящего Контракта, действуют до истечения установленного гарантийного срока.</w:t>
      </w:r>
    </w:p>
    <w:p w14:paraId="BC000000">
      <w:pPr>
        <w:pStyle w:val="Style_8"/>
        <w:spacing w:line="240" w:lineRule="auto"/>
        <w:ind w:firstLine="0" w:left="0" w:right="0"/>
        <w:jc w:val="both"/>
        <w:rPr>
          <w:rFonts w:ascii="Serif" w:hAnsi="Serif"/>
          <w:color w:val="000000"/>
          <w:sz w:val="24"/>
        </w:rPr>
      </w:pPr>
    </w:p>
    <w:p w14:paraId="BD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1</w:t>
      </w:r>
      <w:r>
        <w:rPr>
          <w:rFonts w:ascii="Serif" w:hAnsi="Serif"/>
          <w:b w:val="1"/>
          <w:color w:val="000000"/>
          <w:sz w:val="24"/>
        </w:rPr>
        <w:t>2</w:t>
      </w:r>
      <w:r>
        <w:rPr>
          <w:rFonts w:ascii="Serif" w:hAnsi="Serif"/>
          <w:b w:val="1"/>
          <w:color w:val="000000"/>
          <w:sz w:val="24"/>
        </w:rPr>
        <w:t>. ЗАКЛЮЧИТЕЛЬНЫЕ ПОЛОЖЕНИЯ</w:t>
      </w:r>
    </w:p>
    <w:p w14:paraId="BE000000">
      <w:pPr>
        <w:pStyle w:val="Style_8"/>
        <w:spacing w:line="240" w:lineRule="auto"/>
        <w:ind w:firstLine="680" w:left="0" w:right="0"/>
        <w:jc w:val="both"/>
        <w:rPr>
          <w:rFonts w:ascii="Serif" w:hAnsi="Serif"/>
          <w:color w:val="000000"/>
          <w:sz w:val="24"/>
        </w:rPr>
      </w:pPr>
      <w:r>
        <w:rPr>
          <w:rFonts w:ascii="Serif" w:hAnsi="Serif"/>
          <w:color w:val="000000"/>
          <w:sz w:val="24"/>
        </w:rPr>
        <w:t>12.1. Настоящий Контракт составлен в 2 (Двух) экземплярах: в электронном виде и (или) на бумажном носителе. Контракты удостоверяются подписью руководителя Заказчика и Поставщика и скрепляются печатями. Один Экземпляр Контракта передается (направляется) Поставщику, а второй находится у Заказчика.</w:t>
      </w:r>
    </w:p>
    <w:p w14:paraId="BF000000">
      <w:pPr>
        <w:pStyle w:val="Style_8"/>
        <w:spacing w:line="240" w:lineRule="auto"/>
        <w:ind w:firstLine="680" w:left="0" w:right="0"/>
        <w:jc w:val="both"/>
        <w:rPr>
          <w:rFonts w:ascii="Serif" w:hAnsi="Serif"/>
          <w:color w:val="000000"/>
          <w:sz w:val="24"/>
        </w:rPr>
      </w:pPr>
      <w:r>
        <w:rPr>
          <w:rFonts w:ascii="Serif" w:hAnsi="Serif"/>
          <w:color w:val="000000"/>
          <w:sz w:val="24"/>
        </w:rPr>
        <w:t>12.2. Заявления, уведомления, извещения, требования или иные юридически значимые сообщения, с которыми Контракт связывает гражданско-правовые последствия для Сторон настоящего Контракта, влекут для этого лица такие последствия с момента доставки соответствующего сообщения Стороне или ее представителю.</w:t>
      </w:r>
    </w:p>
    <w:p w14:paraId="C0000000">
      <w:pPr>
        <w:pStyle w:val="Style_8"/>
        <w:spacing w:line="240" w:lineRule="auto"/>
        <w:ind w:firstLine="680" w:left="0" w:right="0"/>
        <w:jc w:val="both"/>
        <w:rPr>
          <w:rFonts w:ascii="Serif" w:hAnsi="Serif"/>
          <w:color w:val="000000"/>
          <w:sz w:val="24"/>
        </w:rPr>
      </w:pPr>
      <w:r>
        <w:rPr>
          <w:rFonts w:ascii="Serif" w:hAnsi="Serif"/>
          <w:color w:val="000000"/>
          <w:sz w:val="24"/>
        </w:rPr>
        <w:t>Юридически значимые сообщения подлежат передаче путем почтовой, факсимильной, электронной связи.</w:t>
      </w:r>
    </w:p>
    <w:p w14:paraId="C1000000">
      <w:pPr>
        <w:pStyle w:val="Style_8"/>
        <w:spacing w:line="240" w:lineRule="auto"/>
        <w:ind w:firstLine="680" w:left="0" w:right="0"/>
        <w:jc w:val="both"/>
        <w:rPr>
          <w:rFonts w:ascii="Serif" w:hAnsi="Serif"/>
          <w:color w:val="000000"/>
          <w:sz w:val="24"/>
        </w:rPr>
      </w:pPr>
      <w:r>
        <w:rPr>
          <w:rFonts w:ascii="Serif" w:hAnsi="Serif"/>
          <w:color w:val="000000"/>
          <w:sz w:val="24"/>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14:paraId="C2000000">
      <w:pPr>
        <w:pStyle w:val="Style_8"/>
        <w:spacing w:line="240" w:lineRule="auto"/>
        <w:ind w:firstLine="680" w:left="0" w:right="0"/>
        <w:jc w:val="both"/>
        <w:rPr>
          <w:rFonts w:ascii="Serif" w:hAnsi="Serif"/>
          <w:color w:val="000000"/>
          <w:sz w:val="24"/>
        </w:rPr>
      </w:pPr>
      <w:r>
        <w:rPr>
          <w:rFonts w:ascii="Serif" w:hAnsi="Serif"/>
          <w:color w:val="000000"/>
          <w:sz w:val="24"/>
        </w:rPr>
        <w:t>12.3. Стороны договорились, что при исполнении обязательств по Контракту могут обмениваться электронными документами с применением системы электронного документооборота (ЭДО) Диадок через оператора «Контур.Экстерн».</w:t>
      </w:r>
    </w:p>
    <w:p w14:paraId="C3000000">
      <w:pPr>
        <w:pStyle w:val="Style_8"/>
        <w:spacing w:line="240" w:lineRule="auto"/>
        <w:ind w:firstLine="680" w:left="0" w:right="0"/>
        <w:jc w:val="both"/>
        <w:rPr>
          <w:rFonts w:ascii="Serif" w:hAnsi="Serif"/>
          <w:color w:val="000000"/>
          <w:sz w:val="24"/>
        </w:rPr>
      </w:pPr>
      <w:r>
        <w:rPr>
          <w:rFonts w:ascii="Serif" w:hAnsi="Serif"/>
          <w:color w:val="000000"/>
          <w:sz w:val="24"/>
        </w:rPr>
        <w:t>12.4. Перемена Поставщика не допускается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C4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12.5.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 </w:t>
      </w:r>
    </w:p>
    <w:p w14:paraId="C5000000">
      <w:pPr>
        <w:pStyle w:val="Style_8"/>
        <w:spacing w:line="240" w:lineRule="auto"/>
        <w:ind w:firstLine="680" w:left="0" w:right="0"/>
        <w:jc w:val="both"/>
        <w:rPr>
          <w:rFonts w:ascii="Serif" w:hAnsi="Serif"/>
          <w:color w:val="000000"/>
          <w:sz w:val="24"/>
        </w:rPr>
      </w:pPr>
      <w:r>
        <w:rPr>
          <w:rFonts w:ascii="Serif" w:hAnsi="Serif"/>
          <w:color w:val="000000"/>
          <w:sz w:val="24"/>
        </w:rPr>
        <w:t>12.6.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Заказчика о приостановлении своей деятельности не позднее 1 (одного) рабочего дня со дня принятия решения о приостановлении деятельности Поставщика.</w:t>
      </w:r>
    </w:p>
    <w:p w14:paraId="C6000000">
      <w:pPr>
        <w:pStyle w:val="Style_8"/>
        <w:spacing w:line="240" w:lineRule="auto"/>
        <w:ind w:firstLine="680" w:left="0" w:right="0"/>
        <w:jc w:val="both"/>
        <w:rPr>
          <w:rFonts w:ascii="Serif" w:hAnsi="Serif"/>
          <w:color w:val="000000"/>
          <w:sz w:val="24"/>
        </w:rPr>
      </w:pPr>
      <w:r>
        <w:rPr>
          <w:rFonts w:ascii="Serif" w:hAnsi="Serif"/>
          <w:color w:val="000000"/>
          <w:sz w:val="24"/>
        </w:rPr>
        <w:t>12.7. По вопросам, не предусмотренным настоящим Контрактом, Стороны руководствуются действующим законодательством Российской Федерации.</w:t>
      </w:r>
    </w:p>
    <w:p w14:paraId="C7000000">
      <w:pPr>
        <w:pStyle w:val="Style_8"/>
        <w:spacing w:line="240" w:lineRule="auto"/>
        <w:ind w:firstLine="680" w:left="0" w:right="0"/>
        <w:jc w:val="both"/>
        <w:rPr>
          <w:rFonts w:ascii="Serif" w:hAnsi="Serif"/>
          <w:color w:val="000000"/>
          <w:sz w:val="24"/>
        </w:rPr>
      </w:pPr>
      <w:r>
        <w:rPr>
          <w:rFonts w:ascii="Serif" w:hAnsi="Serif"/>
          <w:color w:val="000000"/>
          <w:sz w:val="24"/>
        </w:rPr>
        <w:t xml:space="preserve">12.8. К настоящему Контракту прилагается и является его неотъемлемой частью: </w:t>
      </w:r>
      <w:r>
        <w:rPr>
          <w:rFonts w:ascii="Serif" w:hAnsi="Serif"/>
          <w:color w:val="000000"/>
          <w:sz w:val="24"/>
        </w:rPr>
        <w:tab/>
      </w:r>
    </w:p>
    <w:p w14:paraId="C8000000">
      <w:pPr>
        <w:pStyle w:val="Style_8"/>
        <w:spacing w:line="240" w:lineRule="auto"/>
        <w:ind w:firstLine="680" w:left="0" w:right="0"/>
        <w:jc w:val="both"/>
        <w:rPr>
          <w:rFonts w:ascii="Serif" w:hAnsi="Serif"/>
          <w:color w:val="000000"/>
          <w:sz w:val="24"/>
        </w:rPr>
      </w:pPr>
      <w:r>
        <w:rPr>
          <w:rFonts w:ascii="Serif" w:hAnsi="Serif"/>
          <w:color w:val="000000"/>
          <w:sz w:val="24"/>
        </w:rPr>
        <w:t>- Приложение № 1 – Техническое задание;</w:t>
      </w:r>
    </w:p>
    <w:p w14:paraId="C9000000">
      <w:pPr>
        <w:pStyle w:val="Style_8"/>
        <w:spacing w:line="240" w:lineRule="auto"/>
        <w:ind w:firstLine="680" w:left="0" w:right="0"/>
        <w:jc w:val="both"/>
        <w:rPr>
          <w:rFonts w:ascii="Serif" w:hAnsi="Serif"/>
          <w:color w:val="000000"/>
          <w:sz w:val="24"/>
        </w:rPr>
      </w:pPr>
      <w:r>
        <w:rPr>
          <w:rFonts w:ascii="Serif" w:hAnsi="Serif"/>
          <w:color w:val="000000"/>
          <w:sz w:val="24"/>
        </w:rPr>
        <w:t>- Приложение № 2 – Спецификация.</w:t>
      </w:r>
    </w:p>
    <w:p w14:paraId="CA000000">
      <w:pPr>
        <w:pStyle w:val="Style_8"/>
        <w:spacing w:line="240" w:lineRule="auto"/>
        <w:ind w:firstLine="680" w:left="0" w:right="0"/>
        <w:jc w:val="both"/>
        <w:rPr>
          <w:rFonts w:ascii="Serif" w:hAnsi="Serif"/>
          <w:color w:val="000000"/>
          <w:sz w:val="24"/>
        </w:rPr>
      </w:pPr>
    </w:p>
    <w:p w14:paraId="CB000000">
      <w:pPr>
        <w:pStyle w:val="Style_8"/>
        <w:spacing w:line="240" w:lineRule="auto"/>
        <w:ind w:firstLine="0" w:left="0" w:right="0"/>
        <w:jc w:val="center"/>
        <w:rPr>
          <w:rFonts w:ascii="Serif" w:hAnsi="Serif"/>
          <w:b w:val="1"/>
          <w:color w:val="000000"/>
          <w:sz w:val="24"/>
        </w:rPr>
      </w:pPr>
      <w:r>
        <w:rPr>
          <w:rFonts w:ascii="Serif" w:hAnsi="Serif"/>
          <w:b w:val="1"/>
          <w:color w:val="000000"/>
          <w:sz w:val="24"/>
        </w:rPr>
        <w:t>1</w:t>
      </w:r>
      <w:r>
        <w:rPr>
          <w:rFonts w:ascii="Serif" w:hAnsi="Serif"/>
          <w:b w:val="1"/>
          <w:color w:val="000000"/>
          <w:sz w:val="24"/>
        </w:rPr>
        <w:t>3</w:t>
      </w:r>
      <w:r>
        <w:rPr>
          <w:rFonts w:ascii="Serif" w:hAnsi="Serif"/>
          <w:b w:val="1"/>
          <w:color w:val="000000"/>
          <w:sz w:val="24"/>
        </w:rPr>
        <w:t>. АДРЕСА И БАНКОВСКИЕ РЕКВИЗИТЫ СТОРОН</w:t>
      </w:r>
    </w:p>
    <w:p w14:paraId="CC000000">
      <w:pPr>
        <w:pStyle w:val="Style_8"/>
        <w:spacing w:line="240" w:lineRule="auto"/>
        <w:ind w:firstLine="0" w:left="0" w:right="0"/>
        <w:jc w:val="both"/>
        <w:rPr>
          <w:rFonts w:ascii="Serif" w:hAnsi="Serif"/>
          <w:color w:val="000000"/>
          <w:sz w:val="24"/>
        </w:rPr>
      </w:pPr>
    </w:p>
    <w:tbl>
      <w:tblPr>
        <w:tblW w:type="auto" w:w="0"/>
        <w:jc w:val="left"/>
        <w:tblInd w:type="dxa" w:w="-108"/>
        <w:tblLayout w:type="fixed"/>
      </w:tblPr>
      <w:tblGrid>
        <w:gridCol w:w="5339"/>
        <w:gridCol w:w="4869"/>
      </w:tblGrid>
      <w:tr>
        <w:tc>
          <w:tcPr>
            <w:tcW w:type="dxa" w:w="53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CD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b w:val="1"/>
                <w:color w:val="000000"/>
                <w:sz w:val="24"/>
              </w:rPr>
              <w:t>ЗАКАЗЧИК:</w:t>
            </w:r>
          </w:p>
          <w:p w14:paraId="CE000000">
            <w:pPr>
              <w:pStyle w:val="Style_6"/>
              <w:widowControl w:val="0"/>
              <w:spacing w:after="0" w:before="0" w:line="240" w:lineRule="auto"/>
              <w:ind w:firstLine="0" w:left="0" w:right="0"/>
              <w:contextualSpacing w:val="0"/>
              <w:jc w:val="left"/>
              <w:rPr>
                <w:rFonts w:ascii="Serif" w:hAnsi="Serif"/>
                <w:color w:val="000000"/>
                <w:sz w:val="24"/>
              </w:rPr>
            </w:pPr>
            <w:r>
              <w:rPr>
                <w:rFonts w:ascii="Serif" w:hAnsi="Serif"/>
                <w:b w:val="1"/>
                <w:color w:val="000000"/>
                <w:sz w:val="24"/>
              </w:rPr>
              <w:t>Федеральное казенное учреждение «Центр хранения страхового фонда» (ЦХСФ)</w:t>
            </w:r>
          </w:p>
          <w:p w14:paraId="CF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Юридический/ почтовый адрес:</w:t>
            </w:r>
          </w:p>
          <w:p w14:paraId="D0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627015, Тюменская обл.,</w:t>
            </w:r>
          </w:p>
          <w:p w14:paraId="D1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г. Ялуторовск, ул. Ишимская, д.138</w:t>
            </w:r>
          </w:p>
          <w:p w14:paraId="D2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ИНН 7207000289 КПП 720701001</w:t>
            </w:r>
          </w:p>
          <w:p w14:paraId="D3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УФК по Новосибирской области (ЦХСФ лицевой счет 03671086940)</w:t>
            </w:r>
          </w:p>
          <w:p w14:paraId="D4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ОКЦ №1 СибГУ Банка  России//УФК по Новосибирской области, г. Новосибирск</w:t>
            </w:r>
          </w:p>
          <w:p w14:paraId="D5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казначейский счет: 03211643000000015114</w:t>
            </w:r>
          </w:p>
          <w:p w14:paraId="D6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банковский счет: 40102810445370000043</w:t>
            </w:r>
          </w:p>
          <w:p w14:paraId="D7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БИК: 015004950</w:t>
            </w:r>
          </w:p>
          <w:p w14:paraId="D8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ОКТМО 71715000</w:t>
            </w:r>
          </w:p>
          <w:p w14:paraId="D9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Тел.: +7(34535)3-22-71</w:t>
            </w:r>
          </w:p>
          <w:p w14:paraId="DA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email: yalarhiv@yandex.ru</w:t>
            </w:r>
          </w:p>
          <w:p w14:paraId="DB000000">
            <w:pPr>
              <w:pStyle w:val="Style_6"/>
              <w:widowControl w:val="1"/>
              <w:spacing w:after="0" w:before="0" w:line="240" w:lineRule="auto"/>
              <w:ind w:firstLine="0" w:left="0" w:right="0"/>
              <w:contextualSpacing w:val="0"/>
              <w:jc w:val="left"/>
              <w:rPr>
                <w:rFonts w:ascii="Serif" w:hAnsi="Serif"/>
                <w:color w:val="000000"/>
                <w:sz w:val="24"/>
              </w:rPr>
            </w:pPr>
          </w:p>
          <w:p w14:paraId="DC000000">
            <w:pPr>
              <w:pStyle w:val="Style_6"/>
              <w:widowControl w:val="1"/>
              <w:spacing w:after="0" w:before="0" w:line="240" w:lineRule="auto"/>
              <w:ind w:firstLine="0" w:left="0" w:right="0"/>
              <w:contextualSpacing w:val="0"/>
              <w:jc w:val="left"/>
              <w:rPr>
                <w:rFonts w:ascii="Serif" w:hAnsi="Serif"/>
                <w:color w:val="000000"/>
                <w:sz w:val="24"/>
              </w:rPr>
            </w:pPr>
          </w:p>
          <w:p w14:paraId="DD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 xml:space="preserve">_____________________ </w:t>
            </w:r>
            <w:r>
              <w:rPr>
                <w:rFonts w:ascii="Serif" w:hAnsi="Serif"/>
                <w:color w:val="000000"/>
                <w:sz w:val="24"/>
              </w:rPr>
              <w:t>Д.С.Васильев</w:t>
            </w:r>
          </w:p>
          <w:p w14:paraId="DE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color w:val="000000"/>
                <w:sz w:val="24"/>
              </w:rPr>
              <w:t>М.П.</w:t>
            </w:r>
          </w:p>
        </w:tc>
        <w:tc>
          <w:tcPr>
            <w:tcW w:type="dxa" w:w="486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F000000">
            <w:pPr>
              <w:pStyle w:val="Style_6"/>
              <w:widowControl w:val="1"/>
              <w:spacing w:after="0" w:before="0" w:line="240" w:lineRule="auto"/>
              <w:ind w:firstLine="0" w:left="0" w:right="0"/>
              <w:contextualSpacing w:val="0"/>
              <w:jc w:val="left"/>
              <w:rPr>
                <w:rFonts w:ascii="Serif" w:hAnsi="Serif"/>
                <w:color w:val="000000"/>
                <w:sz w:val="24"/>
              </w:rPr>
            </w:pPr>
            <w:r>
              <w:rPr>
                <w:rFonts w:ascii="Serif" w:hAnsi="Serif"/>
                <w:b w:val="1"/>
                <w:color w:val="000000"/>
                <w:sz w:val="24"/>
              </w:rPr>
              <w:t>ПОСТАВЩИК:</w:t>
            </w:r>
          </w:p>
        </w:tc>
      </w:tr>
    </w:tbl>
    <w:p w14:paraId="E0000000">
      <w:pPr>
        <w:pStyle w:val="Style_6"/>
        <w:spacing w:line="240" w:lineRule="auto"/>
        <w:ind w:firstLine="0" w:left="0" w:right="0"/>
        <w:jc w:val="both"/>
        <w:rPr>
          <w:rFonts w:ascii="Serif" w:hAnsi="Serif"/>
          <w:color w:val="000000"/>
          <w:sz w:val="24"/>
        </w:rPr>
      </w:pPr>
    </w:p>
    <w:p w14:paraId="E1000000">
      <w:pPr>
        <w:pStyle w:val="Style_6"/>
        <w:spacing w:after="0" w:before="0" w:line="240" w:lineRule="auto"/>
        <w:ind w:firstLine="0" w:left="0" w:right="0"/>
        <w:contextualSpacing w:val="0"/>
        <w:jc w:val="right"/>
        <w:rPr>
          <w:rFonts w:ascii="Serif" w:hAnsi="Serif"/>
          <w:color w:val="000000"/>
          <w:sz w:val="24"/>
        </w:rPr>
      </w:pPr>
      <w:r>
        <w:rPr>
          <w:color w:val="000000"/>
        </w:rPr>
        <w:br w:type="column"/>
      </w:r>
    </w:p>
    <w:p w14:paraId="E2000000">
      <w:pPr>
        <w:pStyle w:val="Style_6"/>
        <w:spacing w:after="0" w:before="0" w:line="240" w:lineRule="auto"/>
        <w:ind w:firstLine="0" w:left="0" w:right="0"/>
        <w:contextualSpacing w:val="0"/>
        <w:jc w:val="right"/>
        <w:rPr>
          <w:rFonts w:ascii="Serif" w:hAnsi="Serif"/>
          <w:color w:val="000000"/>
          <w:sz w:val="24"/>
        </w:rPr>
      </w:pPr>
    </w:p>
    <w:p w14:paraId="E3000000">
      <w:pPr>
        <w:pStyle w:val="Style_6"/>
        <w:spacing w:after="0" w:before="0" w:line="240" w:lineRule="auto"/>
        <w:ind w:firstLine="0" w:left="0" w:right="0"/>
        <w:contextualSpacing w:val="0"/>
        <w:jc w:val="right"/>
        <w:rPr>
          <w:rFonts w:ascii="Serif" w:hAnsi="Serif"/>
          <w:color w:val="000000"/>
          <w:sz w:val="24"/>
        </w:rPr>
      </w:pPr>
      <w:r>
        <w:rPr>
          <w:color w:val="000000"/>
        </w:rPr>
        <w:br w:type="column"/>
      </w:r>
      <w:r>
        <w:rPr>
          <w:rFonts w:ascii="Serif" w:hAnsi="Serif"/>
          <w:color w:val="000000"/>
          <w:sz w:val="24"/>
        </w:rPr>
        <w:t xml:space="preserve">Приложение № 1 к Контракту </w:t>
      </w:r>
    </w:p>
    <w:p w14:paraId="E4000000">
      <w:pPr>
        <w:pStyle w:val="Style_6"/>
        <w:spacing w:after="0" w:before="0" w:line="240" w:lineRule="auto"/>
        <w:ind w:firstLine="0" w:left="0" w:right="0"/>
        <w:contextualSpacing w:val="0"/>
        <w:jc w:val="right"/>
        <w:rPr>
          <w:rFonts w:ascii="Serif" w:hAnsi="Serif"/>
          <w:color w:val="000000"/>
          <w:sz w:val="24"/>
        </w:rPr>
      </w:pPr>
      <w:r>
        <w:rPr>
          <w:rFonts w:ascii="Serif" w:hAnsi="Serif"/>
          <w:color w:val="000000"/>
          <w:sz w:val="24"/>
        </w:rPr>
        <w:t>№____ от «___» ____________20__ г.</w:t>
      </w:r>
    </w:p>
    <w:p w14:paraId="E5000000">
      <w:pPr>
        <w:pStyle w:val="Style_6"/>
        <w:spacing w:after="0" w:before="0" w:line="240" w:lineRule="auto"/>
        <w:ind/>
        <w:contextualSpacing w:val="0"/>
        <w:jc w:val="center"/>
        <w:rPr>
          <w:rFonts w:ascii="Serif" w:hAnsi="Serif"/>
          <w:b w:val="1"/>
          <w:color w:val="000000"/>
          <w:sz w:val="24"/>
        </w:rPr>
      </w:pPr>
    </w:p>
    <w:p w14:paraId="E6000000">
      <w:pPr>
        <w:pStyle w:val="Style_8"/>
        <w:ind/>
        <w:jc w:val="center"/>
        <w:rPr>
          <w:color w:val="000000"/>
        </w:rPr>
      </w:pPr>
      <w:r>
        <w:rPr>
          <w:b w:val="1"/>
          <w:color w:val="000000"/>
          <w:sz w:val="24"/>
        </w:rPr>
        <w:t>ТЕХНИЧЕСКОЕ ЗАДАНИЕ</w:t>
      </w:r>
    </w:p>
    <w:p w14:paraId="E7000000">
      <w:pPr>
        <w:pStyle w:val="Style_8"/>
        <w:ind/>
        <w:jc w:val="center"/>
        <w:rPr>
          <w:color w:val="000000"/>
        </w:rPr>
      </w:pPr>
      <w:r>
        <w:rPr>
          <w:b w:val="1"/>
          <w:color w:val="000000"/>
          <w:sz w:val="24"/>
        </w:rPr>
        <w:t>на поставку приёмно-контрольного охранно-пожарного прибора</w:t>
      </w:r>
    </w:p>
    <w:p w14:paraId="E8000000">
      <w:pPr>
        <w:pStyle w:val="Style_8"/>
        <w:rPr>
          <w:color w:val="000000"/>
          <w:sz w:val="24"/>
        </w:rPr>
      </w:pPr>
    </w:p>
    <w:p w14:paraId="E9000000">
      <w:pPr>
        <w:pStyle w:val="Style_8"/>
        <w:rPr>
          <w:color w:val="000000"/>
        </w:rPr>
      </w:pPr>
      <w:r>
        <w:rPr>
          <w:b w:val="1"/>
          <w:color w:val="000000"/>
          <w:sz w:val="24"/>
        </w:rPr>
        <w:t>1. Объект закупки:</w:t>
      </w:r>
      <w:r>
        <w:rPr>
          <w:color w:val="000000"/>
          <w:sz w:val="24"/>
        </w:rPr>
        <w:t xml:space="preserve"> Поставка приёмно-контрольного охранно-пожарного прибора.</w:t>
      </w:r>
    </w:p>
    <w:p w14:paraId="EA000000">
      <w:pPr>
        <w:pStyle w:val="Style_8"/>
        <w:rPr>
          <w:color w:val="000000"/>
        </w:rPr>
      </w:pPr>
      <w:r>
        <w:rPr>
          <w:color w:val="000000"/>
          <w:sz w:val="24"/>
        </w:rPr>
        <w:t>Количество поставляемого оборудования — 1 шт.</w:t>
      </w:r>
    </w:p>
    <w:p w14:paraId="EB000000">
      <w:pPr>
        <w:pStyle w:val="Style_8"/>
        <w:rPr>
          <w:color w:val="000000"/>
        </w:rPr>
      </w:pPr>
      <w:r>
        <w:rPr>
          <w:color w:val="000000"/>
          <w:sz w:val="24"/>
        </w:rPr>
        <w:t>ОКПД2 — 26.30.50.112 — «Устройства приёмно-контрольные охранные и охранно-пожарные».</w:t>
      </w:r>
    </w:p>
    <w:p w14:paraId="EC000000">
      <w:pPr>
        <w:pStyle w:val="Style_8"/>
        <w:rPr>
          <w:color w:val="000000"/>
        </w:rPr>
      </w:pPr>
      <w:r>
        <w:rPr>
          <w:b w:val="1"/>
          <w:color w:val="000000"/>
          <w:sz w:val="24"/>
        </w:rPr>
        <w:t>2. Место поставки:</w:t>
      </w:r>
      <w:r>
        <w:rPr>
          <w:color w:val="000000"/>
          <w:sz w:val="24"/>
        </w:rPr>
        <w:t xml:space="preserve"> 627015, Тюменская область, г. Ялуторовск, ул. Ишимская, 138, в рабочее время Заказчика с 8.00 ч. до 16.00 ч. (местное время Заказчика).</w:t>
      </w:r>
    </w:p>
    <w:p w14:paraId="ED000000">
      <w:pPr>
        <w:pStyle w:val="Style_8"/>
        <w:rPr>
          <w:color w:val="000000"/>
        </w:rPr>
      </w:pPr>
      <w:r>
        <w:rPr>
          <w:color w:val="000000"/>
          <w:sz w:val="24"/>
        </w:rPr>
        <w:t>В связи с установленным по адресу Заказчика контрольно-пропускным режимом Поставщик обязан не позднее чем за 1 (один) рабочий день до предполагаемой даты поставки товара уведомить Заказчика по контактному телефону 8 (34535) 2-01-53 и по электронной почте: yalarhiv@yandex.ru.</w:t>
      </w:r>
    </w:p>
    <w:p w14:paraId="EE000000">
      <w:pPr>
        <w:pStyle w:val="Style_8"/>
        <w:rPr>
          <w:color w:val="000000"/>
        </w:rPr>
      </w:pPr>
      <w:r>
        <w:rPr>
          <w:b w:val="1"/>
          <w:color w:val="000000"/>
          <w:sz w:val="24"/>
        </w:rPr>
        <w:t xml:space="preserve">3. Срок поставки: </w:t>
      </w:r>
      <w:r>
        <w:rPr>
          <w:color w:val="000000"/>
          <w:sz w:val="24"/>
        </w:rPr>
        <w:t>С даты заключения контракта по «30» ноября 2026 года включительно.</w:t>
      </w:r>
    </w:p>
    <w:p w14:paraId="EF000000">
      <w:pPr>
        <w:pStyle w:val="Style_8"/>
        <w:rPr>
          <w:color w:val="000000"/>
        </w:rPr>
      </w:pPr>
      <w:r>
        <w:rPr>
          <w:b w:val="1"/>
          <w:color w:val="000000"/>
          <w:sz w:val="24"/>
        </w:rPr>
        <w:t>4. Технические характеристики поставляемого прибора</w:t>
      </w:r>
    </w:p>
    <w:tbl>
      <w:tblPr>
        <w:tblW w:type="auto" w:w="0"/>
        <w:jc w:val="left"/>
        <w:tblInd w:type="dxa" w:w="0"/>
        <w:tblLayout w:type="fixed"/>
      </w:tblPr>
      <w:tblGrid>
        <w:gridCol w:w="7983"/>
        <w:gridCol w:w="2222"/>
      </w:tblGrid>
      <w:tr>
        <w:tc>
          <w:tcPr>
            <w:tcW w:type="dxa" w:w="7983"/>
            <w:tcBorders>
              <w:top w:color="000000" w:sz="4" w:val="single"/>
              <w:left w:color="000000" w:sz="4" w:val="single"/>
              <w:bottom w:color="000000" w:sz="4" w:val="single"/>
              <w:right w:val="nil"/>
            </w:tcBorders>
            <w:tcMar>
              <w:top w:type="dxa" w:w="55"/>
              <w:left w:type="dxa" w:w="55"/>
              <w:bottom w:type="dxa" w:w="55"/>
              <w:right w:type="dxa" w:w="55"/>
            </w:tcMar>
          </w:tcPr>
          <w:p w14:paraId="F0000000">
            <w:pPr>
              <w:pStyle w:val="Style_9"/>
              <w:ind w:firstLine="0" w:left="0" w:right="0"/>
              <w:rPr>
                <w:color w:val="000000"/>
              </w:rPr>
            </w:pPr>
            <w:r>
              <w:rPr>
                <w:rFonts w:ascii="Serif" w:hAnsi="Serif"/>
                <w:b w:val="1"/>
                <w:color w:val="000000"/>
                <w:sz w:val="24"/>
              </w:rPr>
              <w:t>Характеристика</w:t>
            </w:r>
          </w:p>
        </w:tc>
        <w:tc>
          <w:tcPr>
            <w:tcW w:type="dxa" w:w="2222"/>
            <w:tcBorders>
              <w:top w:color="000000" w:sz="4" w:val="single"/>
              <w:left w:color="000000" w:sz="4" w:val="single"/>
              <w:bottom w:color="000000" w:sz="4" w:val="single"/>
              <w:right w:color="000000" w:sz="4" w:val="single"/>
            </w:tcBorders>
            <w:tcMar>
              <w:top w:type="dxa" w:w="55"/>
              <w:left w:type="dxa" w:w="55"/>
              <w:bottom w:type="dxa" w:w="55"/>
              <w:right w:type="dxa" w:w="55"/>
            </w:tcMar>
          </w:tcPr>
          <w:p w14:paraId="F1000000">
            <w:pPr>
              <w:pStyle w:val="Style_9"/>
              <w:ind w:firstLine="0" w:left="0" w:right="0"/>
              <w:rPr>
                <w:color w:val="000000"/>
              </w:rPr>
            </w:pPr>
            <w:r>
              <w:rPr>
                <w:rFonts w:ascii="Serif" w:hAnsi="Serif"/>
                <w:b w:val="1"/>
                <w:color w:val="000000"/>
                <w:sz w:val="24"/>
              </w:rPr>
              <w:t>Значение</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2000000">
            <w:pPr>
              <w:pStyle w:val="Style_9"/>
              <w:ind w:firstLine="0" w:left="0" w:right="0"/>
              <w:jc w:val="left"/>
              <w:rPr>
                <w:color w:val="000000"/>
              </w:rPr>
            </w:pPr>
            <w:r>
              <w:rPr>
                <w:rFonts w:ascii="Serif" w:hAnsi="Serif"/>
                <w:color w:val="000000"/>
                <w:sz w:val="24"/>
              </w:rPr>
              <w:t>Количество внутренних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3000000">
            <w:pPr>
              <w:pStyle w:val="Style_9"/>
              <w:ind w:firstLine="0" w:left="0" w:right="0"/>
              <w:jc w:val="center"/>
              <w:rPr>
                <w:color w:val="000000"/>
              </w:rPr>
            </w:pPr>
            <w:r>
              <w:rPr>
                <w:rFonts w:ascii="Serif" w:hAnsi="Serif"/>
                <w:color w:val="000000"/>
                <w:sz w:val="24"/>
              </w:rPr>
              <w:t xml:space="preserve">Не менее </w:t>
            </w:r>
            <w:r>
              <w:rPr>
                <w:rFonts w:ascii="Serif" w:hAnsi="Serif"/>
                <w:color w:val="000000"/>
                <w:sz w:val="24"/>
              </w:rPr>
              <w:t>4</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4000000">
            <w:pPr>
              <w:pStyle w:val="Style_9"/>
              <w:ind w:firstLine="0" w:left="0" w:right="0"/>
              <w:jc w:val="left"/>
              <w:rPr>
                <w:color w:val="000000"/>
              </w:rPr>
            </w:pPr>
            <w:r>
              <w:rPr>
                <w:rFonts w:ascii="Serif" w:hAnsi="Serif"/>
                <w:color w:val="000000"/>
                <w:sz w:val="24"/>
              </w:rPr>
              <w:t>Общее количество ШС (включая ШС по ШР)</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5000000">
            <w:pPr>
              <w:pStyle w:val="Style_9"/>
              <w:ind w:firstLine="0" w:left="0" w:right="0"/>
              <w:jc w:val="center"/>
              <w:rPr>
                <w:color w:val="000000"/>
              </w:rPr>
            </w:pPr>
            <w:r>
              <w:rPr>
                <w:rFonts w:ascii="Serif" w:hAnsi="Serif"/>
                <w:color w:val="000000"/>
                <w:sz w:val="24"/>
              </w:rPr>
              <w:t>Не менее</w:t>
            </w:r>
            <w:r>
              <w:rPr>
                <w:rFonts w:ascii="Serif" w:hAnsi="Serif"/>
                <w:color w:val="000000"/>
                <w:sz w:val="24"/>
              </w:rPr>
              <w:t xml:space="preserve"> 128</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6000000">
            <w:pPr>
              <w:pStyle w:val="Style_9"/>
              <w:ind w:firstLine="0" w:left="0" w:right="0"/>
              <w:jc w:val="left"/>
              <w:rPr>
                <w:color w:val="000000"/>
              </w:rPr>
            </w:pPr>
            <w:r>
              <w:rPr>
                <w:rFonts w:ascii="Serif" w:hAnsi="Serif"/>
                <w:color w:val="000000"/>
                <w:sz w:val="24"/>
              </w:rPr>
              <w:t>Количество ШС, подключаемых по шине расширения</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7000000">
            <w:pPr>
              <w:pStyle w:val="Style_9"/>
              <w:ind w:firstLine="0" w:left="0" w:right="0"/>
              <w:jc w:val="center"/>
              <w:rPr>
                <w:color w:val="000000"/>
              </w:rPr>
            </w:pPr>
            <w:r>
              <w:rPr>
                <w:rFonts w:ascii="Serif" w:hAnsi="Serif"/>
                <w:color w:val="000000"/>
                <w:sz w:val="24"/>
              </w:rPr>
              <w:t>Не менее 124, не более 128</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8000000">
            <w:pPr>
              <w:pStyle w:val="Style_9"/>
              <w:ind w:firstLine="0" w:left="0" w:right="0"/>
              <w:jc w:val="left"/>
              <w:rPr>
                <w:color w:val="000000"/>
              </w:rPr>
            </w:pPr>
            <w:r>
              <w:rPr>
                <w:rFonts w:ascii="Serif" w:hAnsi="Serif"/>
                <w:color w:val="000000"/>
                <w:sz w:val="24"/>
              </w:rPr>
              <w:t>Количество модулей расширения шлейфов,подключаемых по ШР</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9000000">
            <w:pPr>
              <w:pStyle w:val="Style_9"/>
              <w:ind w:firstLine="0" w:left="0" w:right="0"/>
              <w:jc w:val="center"/>
              <w:rPr>
                <w:color w:val="000000"/>
              </w:rPr>
            </w:pPr>
            <w:r>
              <w:rPr>
                <w:rFonts w:ascii="Serif" w:hAnsi="Serif"/>
                <w:color w:val="000000"/>
                <w:sz w:val="24"/>
              </w:rPr>
              <w:t>Не менее 30</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A000000">
            <w:pPr>
              <w:pStyle w:val="Style_9"/>
              <w:ind w:firstLine="0" w:left="0" w:right="0"/>
              <w:jc w:val="left"/>
              <w:rPr>
                <w:color w:val="000000"/>
              </w:rPr>
            </w:pPr>
            <w:r>
              <w:rPr>
                <w:rFonts w:ascii="Serif" w:hAnsi="Serif"/>
                <w:color w:val="000000"/>
                <w:sz w:val="24"/>
              </w:rPr>
              <w:t>Количество модулей индикации, подключаемых по ШР</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B000000">
            <w:pPr>
              <w:pStyle w:val="Style_9"/>
              <w:ind w:firstLine="0" w:left="0" w:right="0"/>
              <w:jc w:val="center"/>
              <w:rPr>
                <w:color w:val="000000"/>
              </w:rPr>
            </w:pPr>
            <w:r>
              <w:rPr>
                <w:rFonts w:ascii="Serif" w:hAnsi="Serif"/>
                <w:color w:val="000000"/>
                <w:sz w:val="24"/>
              </w:rPr>
              <w:t>Не менее 28</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C000000">
            <w:pPr>
              <w:pStyle w:val="Style_9"/>
              <w:ind w:firstLine="0" w:left="0" w:right="0"/>
              <w:jc w:val="left"/>
              <w:rPr>
                <w:color w:val="000000"/>
              </w:rPr>
            </w:pPr>
            <w:r>
              <w:rPr>
                <w:rFonts w:ascii="Serif" w:hAnsi="Serif"/>
                <w:color w:val="000000"/>
                <w:sz w:val="24"/>
              </w:rPr>
              <w:t>Количество транзитных модулей расширения, подключаемых по ШР</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D000000">
            <w:pPr>
              <w:pStyle w:val="Style_9"/>
              <w:ind w:firstLine="0" w:left="0" w:right="0"/>
              <w:jc w:val="center"/>
              <w:rPr>
                <w:color w:val="000000"/>
              </w:rPr>
            </w:pPr>
            <w:r>
              <w:rPr>
                <w:rFonts w:ascii="Serif" w:hAnsi="Serif"/>
                <w:color w:val="000000"/>
                <w:sz w:val="24"/>
              </w:rPr>
              <w:t>Не менее 16</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FE000000">
            <w:pPr>
              <w:pStyle w:val="Style_9"/>
              <w:ind w:firstLine="0" w:left="0" w:right="0"/>
              <w:jc w:val="left"/>
              <w:rPr>
                <w:color w:val="000000"/>
              </w:rPr>
            </w:pPr>
            <w:r>
              <w:rPr>
                <w:rFonts w:ascii="Serif" w:hAnsi="Serif"/>
                <w:color w:val="000000"/>
                <w:sz w:val="24"/>
              </w:rPr>
              <w:t>Количество индикаторов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FF000000">
            <w:pPr>
              <w:pStyle w:val="Style_9"/>
              <w:ind w:firstLine="0" w:left="0" w:right="0"/>
              <w:jc w:val="center"/>
              <w:rPr>
                <w:color w:val="000000"/>
              </w:rPr>
            </w:pPr>
            <w:r>
              <w:rPr>
                <w:rFonts w:ascii="Serif" w:hAnsi="Serif"/>
                <w:color w:val="000000"/>
                <w:sz w:val="24"/>
              </w:rPr>
              <w:t>Не менее 4</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0010000">
            <w:pPr>
              <w:pStyle w:val="Style_9"/>
              <w:ind w:firstLine="0" w:left="0" w:right="0"/>
              <w:jc w:val="left"/>
              <w:rPr>
                <w:color w:val="000000"/>
              </w:rPr>
            </w:pPr>
            <w:r>
              <w:rPr>
                <w:rFonts w:ascii="Serif" w:hAnsi="Serif"/>
                <w:color w:val="000000"/>
                <w:sz w:val="24"/>
              </w:rPr>
              <w:t>Тип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1010000">
            <w:pPr>
              <w:pStyle w:val="Style_9"/>
              <w:ind w:firstLine="0" w:left="0" w:right="0"/>
              <w:jc w:val="center"/>
              <w:rPr>
                <w:color w:val="000000"/>
              </w:rPr>
            </w:pPr>
            <w:r>
              <w:rPr>
                <w:rFonts w:ascii="Serif" w:hAnsi="Serif"/>
                <w:color w:val="000000"/>
                <w:sz w:val="24"/>
              </w:rPr>
              <w:t>Охранный</w:t>
            </w:r>
          </w:p>
          <w:p w14:paraId="02010000">
            <w:pPr>
              <w:pStyle w:val="Style_9"/>
              <w:ind w:firstLine="0" w:left="0" w:right="0"/>
              <w:jc w:val="center"/>
              <w:rPr>
                <w:color w:val="000000"/>
              </w:rPr>
            </w:pPr>
            <w:r>
              <w:rPr>
                <w:rFonts w:ascii="Serif" w:hAnsi="Serif"/>
                <w:color w:val="000000"/>
                <w:sz w:val="24"/>
              </w:rPr>
              <w:t>(круглосуточный)</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3010000">
            <w:pPr>
              <w:pStyle w:val="Style_9"/>
              <w:ind w:firstLine="0" w:left="0" w:right="0"/>
              <w:jc w:val="left"/>
              <w:rPr>
                <w:color w:val="000000"/>
              </w:rPr>
            </w:pPr>
            <w:r>
              <w:rPr>
                <w:rFonts w:ascii="Serif" w:hAnsi="Serif"/>
                <w:color w:val="000000"/>
                <w:sz w:val="24"/>
              </w:rPr>
              <w:t>Номинальное сопротивление оконечного резистора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4010000">
            <w:pPr>
              <w:pStyle w:val="Style_9"/>
              <w:ind w:firstLine="0" w:left="0" w:right="0"/>
              <w:jc w:val="center"/>
              <w:rPr>
                <w:color w:val="000000"/>
              </w:rPr>
            </w:pPr>
            <w:r>
              <w:rPr>
                <w:rFonts w:ascii="Serif" w:hAnsi="Serif"/>
                <w:color w:val="000000"/>
                <w:sz w:val="24"/>
              </w:rPr>
              <w:t>не менее 3,3 кОм, не более 7,5 кОм</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5010000">
            <w:pPr>
              <w:pStyle w:val="Style_9"/>
              <w:ind w:firstLine="0" w:left="0" w:right="0"/>
              <w:jc w:val="left"/>
              <w:rPr>
                <w:color w:val="000000"/>
              </w:rPr>
            </w:pPr>
            <w:r>
              <w:rPr>
                <w:rFonts w:ascii="Serif" w:hAnsi="Serif"/>
                <w:color w:val="000000"/>
                <w:sz w:val="24"/>
              </w:rPr>
              <w:t>Напряжение на входе ШС при номинальном сопротивлении ШС и напряжении питания 12 В (при питании ШС от внутреннего источника 24 В)</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6010000">
            <w:pPr>
              <w:pStyle w:val="Style_9"/>
              <w:ind w:firstLine="0" w:left="0" w:right="0"/>
              <w:jc w:val="center"/>
              <w:rPr>
                <w:color w:val="000000"/>
              </w:rPr>
            </w:pPr>
            <w:r>
              <w:rPr>
                <w:rFonts w:ascii="Serif" w:hAnsi="Serif"/>
                <w:color w:val="000000"/>
                <w:sz w:val="24"/>
              </w:rPr>
              <w:t>Не менее 7 В,</w:t>
            </w:r>
          </w:p>
          <w:p w14:paraId="07010000">
            <w:pPr>
              <w:pStyle w:val="Style_9"/>
              <w:ind w:firstLine="0" w:left="0" w:right="0"/>
              <w:jc w:val="center"/>
              <w:rPr>
                <w:color w:val="000000"/>
              </w:rPr>
            </w:pPr>
            <w:r>
              <w:rPr>
                <w:rFonts w:ascii="Serif" w:hAnsi="Serif"/>
                <w:color w:val="000000"/>
                <w:sz w:val="24"/>
              </w:rPr>
              <w:t xml:space="preserve"> не более 18 В</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8010000">
            <w:pPr>
              <w:pStyle w:val="Style_9"/>
              <w:ind w:firstLine="0" w:left="0" w:right="0"/>
              <w:jc w:val="left"/>
              <w:rPr>
                <w:color w:val="000000"/>
              </w:rPr>
            </w:pPr>
            <w:r>
              <w:rPr>
                <w:rFonts w:ascii="Serif" w:hAnsi="Serif"/>
                <w:color w:val="000000"/>
                <w:sz w:val="24"/>
              </w:rPr>
              <w:t>Сопротивление проводов охранных и пожарных ШС без учёта выносного элемента</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9010000">
            <w:pPr>
              <w:pStyle w:val="Style_9"/>
              <w:ind w:firstLine="0" w:left="0" w:right="0"/>
              <w:jc w:val="center"/>
              <w:rPr>
                <w:color w:val="000000"/>
              </w:rPr>
            </w:pPr>
            <w:r>
              <w:rPr>
                <w:rFonts w:ascii="Serif" w:hAnsi="Serif"/>
                <w:color w:val="000000"/>
                <w:sz w:val="24"/>
              </w:rPr>
              <w:t>Не более 100 Ом</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A010000">
            <w:pPr>
              <w:pStyle w:val="Style_9"/>
              <w:ind w:firstLine="0" w:left="0" w:right="0"/>
              <w:jc w:val="left"/>
              <w:rPr>
                <w:color w:val="000000"/>
              </w:rPr>
            </w:pPr>
            <w:r>
              <w:rPr>
                <w:rFonts w:ascii="Serif" w:hAnsi="Serif"/>
                <w:color w:val="000000"/>
                <w:sz w:val="24"/>
              </w:rPr>
              <w:t>Сопротивление утечки между проводами ШС или каждым проводом и «землёй»</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B010000">
            <w:pPr>
              <w:pStyle w:val="Style_9"/>
              <w:ind w:firstLine="0" w:left="0" w:right="0"/>
              <w:jc w:val="center"/>
              <w:rPr>
                <w:color w:val="000000"/>
              </w:rPr>
            </w:pPr>
            <w:r>
              <w:rPr>
                <w:rFonts w:ascii="Serif" w:hAnsi="Serif"/>
                <w:color w:val="000000"/>
                <w:sz w:val="24"/>
              </w:rPr>
              <w:t>Не менее 20 кОм</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C010000">
            <w:pPr>
              <w:pStyle w:val="Style_9"/>
              <w:ind w:firstLine="0" w:left="0" w:right="0"/>
              <w:jc w:val="left"/>
              <w:rPr>
                <w:color w:val="000000"/>
              </w:rPr>
            </w:pPr>
            <w:r>
              <w:rPr>
                <w:rFonts w:ascii="Serif" w:hAnsi="Serif"/>
                <w:color w:val="000000"/>
                <w:sz w:val="24"/>
              </w:rPr>
              <w:t>Суммарный ток потребления активных извещателей в дежурном режиме по одному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D010000">
            <w:pPr>
              <w:pStyle w:val="Style_9"/>
              <w:ind w:firstLine="0" w:left="0" w:right="0"/>
              <w:jc w:val="center"/>
              <w:rPr>
                <w:color w:val="000000"/>
              </w:rPr>
            </w:pPr>
            <w:r>
              <w:rPr>
                <w:rFonts w:ascii="Serif" w:hAnsi="Serif"/>
                <w:color w:val="000000"/>
                <w:sz w:val="24"/>
              </w:rPr>
              <w:t>Не более 1 мА</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0E010000">
            <w:pPr>
              <w:pStyle w:val="Style_9"/>
              <w:ind w:firstLine="0" w:left="0" w:right="0"/>
              <w:jc w:val="left"/>
              <w:rPr>
                <w:color w:val="000000"/>
              </w:rPr>
            </w:pPr>
            <w:r>
              <w:rPr>
                <w:rFonts w:ascii="Serif" w:hAnsi="Serif"/>
                <w:color w:val="000000"/>
                <w:sz w:val="24"/>
              </w:rPr>
              <w:t>Время, при котором происходит фиксация нарушения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0F010000">
            <w:pPr>
              <w:pStyle w:val="Style_9"/>
              <w:ind w:firstLine="0" w:left="0" w:right="0"/>
              <w:jc w:val="center"/>
              <w:rPr>
                <w:color w:val="000000"/>
              </w:rPr>
            </w:pPr>
            <w:r>
              <w:rPr>
                <w:rFonts w:ascii="Serif" w:hAnsi="Serif"/>
                <w:color w:val="000000"/>
                <w:sz w:val="24"/>
              </w:rPr>
              <w:t>Не более</w:t>
            </w:r>
            <w:r>
              <w:rPr>
                <w:rFonts w:ascii="Serif" w:hAnsi="Serif"/>
                <w:color w:val="000000"/>
                <w:sz w:val="24"/>
              </w:rPr>
              <w:t xml:space="preserve"> 500 мс</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0010000">
            <w:pPr>
              <w:pStyle w:val="Style_9"/>
              <w:ind w:firstLine="0" w:left="0" w:right="0"/>
              <w:jc w:val="left"/>
              <w:rPr>
                <w:color w:val="000000"/>
              </w:rPr>
            </w:pPr>
            <w:r>
              <w:rPr>
                <w:rFonts w:ascii="Serif" w:hAnsi="Serif"/>
                <w:color w:val="000000"/>
                <w:sz w:val="24"/>
              </w:rPr>
              <w:t>Время, при котором не происходит фиксация нарушения ШС</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1010000">
            <w:pPr>
              <w:pStyle w:val="Style_9"/>
              <w:ind w:firstLine="0" w:left="0" w:right="0"/>
              <w:jc w:val="center"/>
              <w:rPr>
                <w:color w:val="000000"/>
              </w:rPr>
            </w:pPr>
            <w:r>
              <w:rPr>
                <w:rFonts w:ascii="Serif" w:hAnsi="Serif"/>
                <w:color w:val="000000"/>
                <w:sz w:val="24"/>
              </w:rPr>
              <w:t>Не менее</w:t>
            </w:r>
            <w:r>
              <w:rPr>
                <w:rFonts w:ascii="Serif" w:hAnsi="Serif"/>
                <w:color w:val="000000"/>
                <w:sz w:val="24"/>
              </w:rPr>
              <w:t xml:space="preserve"> 300 мс</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2010000">
            <w:pPr>
              <w:pStyle w:val="Style_9"/>
              <w:ind w:firstLine="0" w:left="0" w:right="0"/>
              <w:jc w:val="left"/>
              <w:rPr>
                <w:color w:val="000000"/>
              </w:rPr>
            </w:pPr>
            <w:r>
              <w:rPr>
                <w:rFonts w:ascii="Serif" w:hAnsi="Serif"/>
                <w:color w:val="000000"/>
                <w:sz w:val="24"/>
              </w:rPr>
              <w:t>Количество силовых выходов (ключей)</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3010000">
            <w:pPr>
              <w:pStyle w:val="Style_9"/>
              <w:ind w:firstLine="0" w:left="0" w:right="0"/>
              <w:jc w:val="center"/>
              <w:rPr>
                <w:color w:val="000000"/>
              </w:rPr>
            </w:pPr>
            <w:r>
              <w:rPr>
                <w:rFonts w:ascii="Serif" w:hAnsi="Serif"/>
                <w:color w:val="000000"/>
                <w:sz w:val="24"/>
              </w:rPr>
              <w:t xml:space="preserve">Не менее </w:t>
            </w:r>
            <w:r>
              <w:rPr>
                <w:rFonts w:ascii="Serif" w:hAnsi="Serif"/>
                <w:color w:val="000000"/>
                <w:sz w:val="24"/>
              </w:rPr>
              <w:t>4</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4010000">
            <w:pPr>
              <w:pStyle w:val="Style_9"/>
              <w:ind w:firstLine="0" w:left="0" w:right="0"/>
              <w:jc w:val="left"/>
              <w:rPr>
                <w:color w:val="000000"/>
              </w:rPr>
            </w:pPr>
            <w:r>
              <w:rPr>
                <w:rFonts w:ascii="Serif" w:hAnsi="Serif"/>
                <w:color w:val="000000"/>
                <w:sz w:val="24"/>
              </w:rPr>
              <w:t>Ток коммутации каждого силового выхода</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5010000">
            <w:pPr>
              <w:pStyle w:val="Style_9"/>
              <w:ind w:firstLine="0" w:left="0" w:right="0"/>
              <w:jc w:val="center"/>
              <w:rPr>
                <w:color w:val="000000"/>
              </w:rPr>
            </w:pPr>
            <w:r>
              <w:rPr>
                <w:rFonts w:ascii="Serif" w:hAnsi="Serif"/>
                <w:color w:val="000000"/>
                <w:sz w:val="24"/>
              </w:rPr>
              <w:t>Не более 0,5 А</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6010000">
            <w:pPr>
              <w:pStyle w:val="Style_9"/>
              <w:ind w:firstLine="0" w:left="0" w:right="0"/>
              <w:jc w:val="left"/>
              <w:rPr>
                <w:color w:val="000000"/>
              </w:rPr>
            </w:pPr>
            <w:r>
              <w:rPr>
                <w:rFonts w:ascii="Serif" w:hAnsi="Serif"/>
                <w:color w:val="000000"/>
                <w:sz w:val="24"/>
              </w:rPr>
              <w:t>Напряжение коммутации силовых выходов</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7010000">
            <w:pPr>
              <w:pStyle w:val="Style_9"/>
              <w:ind w:firstLine="0" w:left="0" w:right="0"/>
              <w:jc w:val="center"/>
              <w:rPr>
                <w:color w:val="000000"/>
              </w:rPr>
            </w:pPr>
            <w:r>
              <w:rPr>
                <w:rFonts w:ascii="Serif" w:hAnsi="Serif"/>
                <w:color w:val="000000"/>
                <w:sz w:val="24"/>
              </w:rPr>
              <w:t>Не более 25 В</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8010000">
            <w:pPr>
              <w:pStyle w:val="Style_9"/>
              <w:ind w:firstLine="0" w:left="0" w:right="0"/>
              <w:jc w:val="left"/>
              <w:rPr>
                <w:color w:val="000000"/>
              </w:rPr>
            </w:pPr>
            <w:r>
              <w:rPr>
                <w:rFonts w:ascii="Serif" w:hAnsi="Serif"/>
                <w:color w:val="000000"/>
                <w:sz w:val="24"/>
              </w:rPr>
              <w:t>Максимальный суммарный ток коммутации силовых выходов, подключенных к каждому выходу для питания внешних нагрузок «+12В» прибора</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9010000">
            <w:pPr>
              <w:pStyle w:val="Style_9"/>
              <w:ind w:firstLine="0" w:left="0" w:right="0"/>
              <w:jc w:val="center"/>
              <w:rPr>
                <w:color w:val="000000"/>
              </w:rPr>
            </w:pPr>
            <w:r>
              <w:rPr>
                <w:rFonts w:ascii="Serif" w:hAnsi="Serif"/>
                <w:color w:val="000000"/>
                <w:sz w:val="24"/>
              </w:rPr>
              <w:t>Не более 0,45 А</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A010000">
            <w:pPr>
              <w:pStyle w:val="Style_9"/>
              <w:ind w:firstLine="0" w:left="0" w:right="0"/>
              <w:jc w:val="left"/>
              <w:rPr>
                <w:color w:val="000000"/>
              </w:rPr>
            </w:pPr>
            <w:r>
              <w:rPr>
                <w:rFonts w:ascii="Serif" w:hAnsi="Serif"/>
                <w:color w:val="000000"/>
                <w:sz w:val="24"/>
              </w:rPr>
              <w:t>Количество выходов для питания внешних нагрузок «+12В»</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B010000">
            <w:pPr>
              <w:pStyle w:val="Style_9"/>
              <w:ind w:firstLine="0" w:left="0" w:right="0"/>
              <w:jc w:val="center"/>
              <w:rPr>
                <w:color w:val="000000"/>
              </w:rPr>
            </w:pPr>
            <w:r>
              <w:rPr>
                <w:rFonts w:ascii="Serif" w:hAnsi="Serif"/>
                <w:color w:val="000000"/>
                <w:sz w:val="24"/>
              </w:rPr>
              <w:t>Не менее</w:t>
            </w:r>
            <w:r>
              <w:rPr>
                <w:rFonts w:ascii="Serif" w:hAnsi="Serif"/>
                <w:color w:val="000000"/>
                <w:sz w:val="24"/>
              </w:rPr>
              <w:t xml:space="preserve"> 2</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C010000">
            <w:pPr>
              <w:pStyle w:val="Style_9"/>
              <w:ind w:firstLine="0" w:left="0" w:right="0"/>
              <w:jc w:val="left"/>
              <w:rPr>
                <w:color w:val="000000"/>
              </w:rPr>
            </w:pPr>
            <w:r>
              <w:rPr>
                <w:rFonts w:ascii="Serif" w:hAnsi="Serif"/>
                <w:color w:val="000000"/>
                <w:sz w:val="24"/>
              </w:rPr>
              <w:t>Номинальный ток, выдаваемый прибором по каждому выходу для питания внешних нагрузок «+12В», при напряжении питания 11 - 14 В</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D010000">
            <w:pPr>
              <w:pStyle w:val="Style_9"/>
              <w:ind w:firstLine="0" w:left="0" w:right="0"/>
              <w:jc w:val="center"/>
              <w:rPr>
                <w:color w:val="000000"/>
              </w:rPr>
            </w:pPr>
            <w:r>
              <w:rPr>
                <w:rFonts w:ascii="Serif" w:hAnsi="Serif"/>
                <w:color w:val="000000"/>
                <w:sz w:val="24"/>
              </w:rPr>
              <w:t>Не менее</w:t>
            </w:r>
            <w:r>
              <w:rPr>
                <w:rFonts w:ascii="Serif" w:hAnsi="Serif"/>
                <w:color w:val="000000"/>
                <w:sz w:val="24"/>
              </w:rPr>
              <w:t xml:space="preserve"> 0,45 А</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1E010000">
            <w:pPr>
              <w:pStyle w:val="Style_9"/>
              <w:ind w:firstLine="0" w:left="0" w:right="0"/>
              <w:jc w:val="left"/>
              <w:rPr>
                <w:color w:val="000000"/>
              </w:rPr>
            </w:pPr>
            <w:r>
              <w:rPr>
                <w:rFonts w:ascii="Serif" w:hAnsi="Serif"/>
                <w:color w:val="000000"/>
                <w:sz w:val="24"/>
              </w:rPr>
              <w:t>Максимальный ток, выдаваемый прибором по каждому выходу для питания внешних нагрузок «+12В», при напряжении питания 11 - 14 В на время не более 4 минут</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1F010000">
            <w:pPr>
              <w:pStyle w:val="Style_9"/>
              <w:ind w:firstLine="0" w:left="0" w:right="0"/>
              <w:jc w:val="center"/>
              <w:rPr>
                <w:color w:val="000000"/>
              </w:rPr>
            </w:pPr>
            <w:r>
              <w:rPr>
                <w:rFonts w:ascii="Serif" w:hAnsi="Serif"/>
                <w:color w:val="000000"/>
                <w:sz w:val="24"/>
              </w:rPr>
              <w:t>Не менее</w:t>
            </w:r>
            <w:r>
              <w:rPr>
                <w:rFonts w:ascii="Serif" w:hAnsi="Serif"/>
                <w:color w:val="000000"/>
                <w:sz w:val="24"/>
              </w:rPr>
              <w:t xml:space="preserve"> 0,55 А</w:t>
            </w:r>
          </w:p>
        </w:tc>
      </w:tr>
      <w:tr>
        <w:tc>
          <w:tcPr>
            <w:tcW w:type="dxa" w:w="7983"/>
            <w:tcBorders>
              <w:top w:val="nil"/>
              <w:left w:color="000000" w:sz="4" w:val="single"/>
              <w:bottom w:color="000000" w:sz="4" w:val="single"/>
              <w:right w:val="nil"/>
            </w:tcBorders>
            <w:tcMar>
              <w:top w:type="dxa" w:w="55"/>
              <w:left w:type="dxa" w:w="55"/>
              <w:bottom w:type="dxa" w:w="55"/>
              <w:right w:type="dxa" w:w="55"/>
            </w:tcMar>
          </w:tcPr>
          <w:p w14:paraId="20010000">
            <w:pPr>
              <w:pStyle w:val="Style_9"/>
              <w:ind w:firstLine="0" w:left="0" w:right="0"/>
              <w:jc w:val="left"/>
              <w:rPr>
                <w:color w:val="000000"/>
              </w:rPr>
            </w:pPr>
            <w:r>
              <w:rPr>
                <w:rFonts w:ascii="Serif" w:hAnsi="Serif"/>
                <w:color w:val="000000"/>
                <w:sz w:val="24"/>
              </w:rPr>
              <w:t>Максимальное количество устанавливаемых SIM-карт</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1010000">
            <w:pPr>
              <w:pStyle w:val="Style_9"/>
              <w:ind w:firstLine="0" w:left="0" w:right="0"/>
              <w:jc w:val="center"/>
              <w:rPr>
                <w:color w:val="000000"/>
              </w:rPr>
            </w:pPr>
            <w:r>
              <w:rPr>
                <w:rFonts w:ascii="Serif" w:hAnsi="Serif"/>
                <w:color w:val="000000"/>
                <w:sz w:val="24"/>
              </w:rPr>
              <w:t>Не менее 2</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22010000">
            <w:pPr>
              <w:pStyle w:val="Style_9"/>
              <w:ind w:firstLine="0" w:left="0" w:right="0"/>
              <w:jc w:val="left"/>
              <w:rPr>
                <w:color w:val="000000"/>
              </w:rPr>
            </w:pPr>
            <w:r>
              <w:rPr>
                <w:rFonts w:ascii="Serif" w:hAnsi="Serif"/>
                <w:color w:val="000000"/>
                <w:sz w:val="24"/>
              </w:rPr>
              <w:t>Тип устанавливаемых SIM-карт</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3010000">
            <w:pPr>
              <w:pStyle w:val="Style_9"/>
              <w:ind w:firstLine="0" w:left="0" w:right="0"/>
              <w:jc w:val="center"/>
              <w:rPr>
                <w:color w:val="000000"/>
              </w:rPr>
            </w:pPr>
            <w:r>
              <w:rPr>
                <w:rFonts w:ascii="Serif" w:hAnsi="Serif"/>
                <w:strike w:val="0"/>
                <w:color w:val="000000"/>
                <w:sz w:val="24"/>
              </w:rPr>
              <w:t>mini-SIM, micro-SIM или nano-SIM (с использованием переходника при необходимости)</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24010000">
            <w:pPr>
              <w:pStyle w:val="Style_9"/>
              <w:ind w:firstLine="0" w:left="0" w:right="0"/>
              <w:jc w:val="left"/>
              <w:rPr>
                <w:color w:val="000000"/>
              </w:rPr>
            </w:pPr>
            <w:r>
              <w:rPr>
                <w:rFonts w:ascii="Serif" w:hAnsi="Serif"/>
                <w:color w:val="000000"/>
                <w:sz w:val="24"/>
              </w:rPr>
              <w:t>Поддерживаемые протоколы</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5010000">
            <w:pPr>
              <w:pStyle w:val="Style_9"/>
              <w:ind w:firstLine="0" w:left="0" w:right="0"/>
              <w:jc w:val="center"/>
              <w:rPr>
                <w:color w:val="000000"/>
              </w:rPr>
            </w:pPr>
            <w:r>
              <w:rPr>
                <w:rFonts w:ascii="Serif" w:hAnsi="Serif"/>
                <w:color w:val="000000"/>
                <w:sz w:val="24"/>
              </w:rPr>
              <w:t>UDP, DHCP, DNS</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26010000">
            <w:pPr>
              <w:pStyle w:val="Style_9"/>
              <w:ind w:firstLine="0" w:left="0" w:right="0"/>
              <w:jc w:val="left"/>
              <w:rPr>
                <w:color w:val="000000"/>
              </w:rPr>
            </w:pPr>
            <w:r>
              <w:rPr>
                <w:rFonts w:ascii="Serif" w:hAnsi="Serif"/>
                <w:color w:val="000000"/>
                <w:sz w:val="24"/>
              </w:rPr>
              <w:t>Время технической готовности</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7010000">
            <w:pPr>
              <w:pStyle w:val="Style_9"/>
              <w:ind w:firstLine="0" w:left="0" w:right="0"/>
              <w:jc w:val="center"/>
              <w:rPr>
                <w:color w:val="000000"/>
              </w:rPr>
            </w:pPr>
            <w:r>
              <w:rPr>
                <w:rFonts w:ascii="Serif" w:hAnsi="Serif"/>
                <w:color w:val="000000"/>
                <w:sz w:val="24"/>
              </w:rPr>
              <w:t>Не более 25 с</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28010000">
            <w:pPr>
              <w:pStyle w:val="Style_9"/>
              <w:ind w:firstLine="0" w:left="0" w:right="0"/>
              <w:jc w:val="left"/>
              <w:rPr>
                <w:color w:val="000000"/>
              </w:rPr>
            </w:pPr>
            <w:r>
              <w:rPr>
                <w:rFonts w:ascii="Serif" w:hAnsi="Serif"/>
                <w:color w:val="000000"/>
                <w:sz w:val="24"/>
              </w:rPr>
              <w:t>Скорость обмена по сети Ethernet</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9010000">
            <w:pPr>
              <w:pStyle w:val="Style_9"/>
              <w:ind w:firstLine="0" w:left="0" w:right="0"/>
              <w:jc w:val="center"/>
              <w:rPr>
                <w:color w:val="000000"/>
              </w:rPr>
            </w:pPr>
            <w:r>
              <w:rPr>
                <w:rFonts w:ascii="Serif" w:hAnsi="Serif"/>
                <w:color w:val="000000"/>
                <w:sz w:val="24"/>
              </w:rPr>
              <w:t>Не менее</w:t>
            </w:r>
          </w:p>
          <w:p w14:paraId="2A010000">
            <w:pPr>
              <w:pStyle w:val="Style_9"/>
              <w:ind w:firstLine="0" w:left="0" w:right="0"/>
              <w:jc w:val="center"/>
              <w:rPr>
                <w:color w:val="000000"/>
              </w:rPr>
            </w:pPr>
            <w:r>
              <w:rPr>
                <w:rFonts w:ascii="Serif" w:hAnsi="Serif"/>
                <w:color w:val="000000"/>
                <w:sz w:val="24"/>
              </w:rPr>
              <w:t>10 Мбит/с</w:t>
            </w:r>
          </w:p>
        </w:tc>
      </w:tr>
      <w:tr>
        <w:tc>
          <w:tcPr>
            <w:tcW w:type="dxa" w:w="7983"/>
            <w:tcBorders>
              <w:top w:val="nil"/>
              <w:left w:color="000000" w:sz="4" w:val="single"/>
              <w:bottom w:color="000000" w:sz="4" w:val="single"/>
              <w:right w:val="nil"/>
            </w:tcBorders>
            <w:tcMar>
              <w:top w:type="dxa" w:w="55"/>
              <w:left w:type="dxa" w:w="55"/>
              <w:bottom w:type="dxa" w:w="55"/>
              <w:right w:type="dxa" w:w="55"/>
            </w:tcMar>
            <w:vAlign w:val="center"/>
          </w:tcPr>
          <w:p w14:paraId="2B010000">
            <w:pPr>
              <w:pStyle w:val="Style_9"/>
              <w:ind w:firstLine="0" w:left="0" w:right="0"/>
              <w:jc w:val="left"/>
              <w:rPr>
                <w:color w:val="000000"/>
              </w:rPr>
            </w:pPr>
            <w:r>
              <w:rPr>
                <w:rFonts w:ascii="Serif" w:hAnsi="Serif"/>
                <w:color w:val="000000"/>
                <w:sz w:val="24"/>
              </w:rPr>
              <w:t>Информативность (количество информационных сообщений)</w:t>
            </w:r>
          </w:p>
        </w:tc>
        <w:tc>
          <w:tcPr>
            <w:tcW w:type="dxa" w:w="2222"/>
            <w:tcBorders>
              <w:top w:val="nil"/>
              <w:left w:color="000000" w:sz="4" w:val="single"/>
              <w:bottom w:color="000000" w:sz="4" w:val="single"/>
              <w:right w:color="000000" w:sz="4" w:val="single"/>
            </w:tcBorders>
            <w:tcMar>
              <w:top w:type="dxa" w:w="55"/>
              <w:left w:type="dxa" w:w="55"/>
              <w:bottom w:type="dxa" w:w="55"/>
              <w:right w:type="dxa" w:w="55"/>
            </w:tcMar>
            <w:vAlign w:val="center"/>
          </w:tcPr>
          <w:p w14:paraId="2C010000">
            <w:pPr>
              <w:pStyle w:val="Style_9"/>
              <w:ind w:firstLine="0" w:left="0" w:right="0"/>
              <w:jc w:val="center"/>
              <w:rPr>
                <w:color w:val="000000"/>
              </w:rPr>
            </w:pPr>
            <w:r>
              <w:rPr>
                <w:rFonts w:ascii="Serif" w:hAnsi="Serif"/>
                <w:color w:val="000000"/>
                <w:sz w:val="24"/>
              </w:rPr>
              <w:t>Не менее 36</w:t>
            </w:r>
          </w:p>
        </w:tc>
      </w:tr>
    </w:tbl>
    <w:p w14:paraId="2D010000">
      <w:pPr>
        <w:pStyle w:val="Style_6"/>
        <w:ind w:firstLine="0" w:left="0"/>
        <w:rPr>
          <w:color w:val="000000"/>
          <w:sz w:val="24"/>
        </w:rPr>
      </w:pPr>
    </w:p>
    <w:p w14:paraId="2E010000">
      <w:pPr>
        <w:pStyle w:val="Style_8"/>
        <w:rPr>
          <w:color w:val="000000"/>
        </w:rPr>
      </w:pPr>
      <w:r>
        <w:rPr>
          <w:b w:val="1"/>
          <w:color w:val="000000"/>
          <w:sz w:val="24"/>
        </w:rPr>
        <w:t>5. Требования к качеству поставляемого прибора:</w:t>
      </w:r>
    </w:p>
    <w:p w14:paraId="2F010000">
      <w:pPr>
        <w:pStyle w:val="Style_8"/>
        <w:rPr>
          <w:color w:val="000000"/>
        </w:rPr>
      </w:pPr>
      <w:r>
        <w:rPr>
          <w:color w:val="000000"/>
          <w:sz w:val="24"/>
        </w:rPr>
        <w:t>5.1. 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не иметь следов эксплуатации и нарушений заводской комплектации. Товар должен соответствовать требованиям безопасности для жизни и здоровья потребителей, противопожарным нормам, санитарным правилам.</w:t>
      </w:r>
    </w:p>
    <w:p w14:paraId="30010000">
      <w:pPr>
        <w:pStyle w:val="Style_8"/>
        <w:rPr>
          <w:color w:val="000000"/>
        </w:rPr>
      </w:pPr>
      <w:r>
        <w:rPr>
          <w:color w:val="000000"/>
          <w:sz w:val="24"/>
        </w:rPr>
        <w:t>5.2. Товар не должен иметь дефектов изготовления, повреждений, следов коррозии.</w:t>
      </w:r>
    </w:p>
    <w:p w14:paraId="31010000">
      <w:pPr>
        <w:pStyle w:val="Style_8"/>
        <w:rPr>
          <w:color w:val="000000"/>
        </w:rPr>
      </w:pPr>
      <w:r>
        <w:rPr>
          <w:color w:val="000000"/>
          <w:sz w:val="24"/>
        </w:rPr>
        <w:t>5.3. Соответствие требованиям:</w:t>
      </w:r>
    </w:p>
    <w:p w14:paraId="32010000">
      <w:pPr>
        <w:pStyle w:val="Style_8"/>
        <w:rPr>
          <w:color w:val="000000"/>
        </w:rPr>
      </w:pPr>
      <w:r>
        <w:rPr>
          <w:color w:val="000000"/>
          <w:sz w:val="24"/>
        </w:rPr>
        <w:t xml:space="preserve">— ГОСТ 14254-2015 (IEC 60529:2013) «Межгосударственный стандарт. Степени защиты, обеспечиваемые оболочками (Код IP)» — </w:t>
      </w:r>
      <w:r>
        <w:rPr>
          <w:color w:val="000000"/>
          <w:sz w:val="24"/>
        </w:rPr>
        <w:t>степень защиты не ниже IP30;</w:t>
      </w:r>
    </w:p>
    <w:p w14:paraId="33010000">
      <w:pPr>
        <w:pStyle w:val="Style_8"/>
        <w:rPr>
          <w:color w:val="000000"/>
        </w:rPr>
      </w:pPr>
      <w:r>
        <w:rPr>
          <w:color w:val="000000"/>
          <w:sz w:val="24"/>
        </w:rPr>
        <w:t>— Решение Совета Евразийской экономической комиссии от 18.10.2016 № 113 «О техническом регламенте Евразийского экономического союза "Об ограничении применения опасных веществ в изделиях электротехники и радиоэлектроники"» (ТР ЕАЭС 037/2016) — содержание свинца, ртути, шестивалентного хрома, полибромированных дифенилов и полибромированных дифенилэфиров не превышает 0,1 %, содержание кадмия не превышает 0,01 %.</w:t>
      </w:r>
    </w:p>
    <w:p w14:paraId="34010000">
      <w:pPr>
        <w:pStyle w:val="Style_8"/>
        <w:rPr>
          <w:color w:val="000000"/>
        </w:rPr>
      </w:pPr>
      <w:r>
        <w:rPr>
          <w:b w:val="1"/>
          <w:color w:val="000000"/>
          <w:sz w:val="24"/>
        </w:rPr>
        <w:t>6. Требования к сертификации и документации:</w:t>
      </w:r>
    </w:p>
    <w:p w14:paraId="35010000">
      <w:pPr>
        <w:pStyle w:val="Style_8"/>
        <w:rPr>
          <w:color w:val="000000"/>
        </w:rPr>
      </w:pPr>
      <w:r>
        <w:rPr>
          <w:color w:val="000000"/>
          <w:sz w:val="24"/>
        </w:rPr>
        <w:t>6.1. Поставщик обязан предоставить:</w:t>
      </w:r>
    </w:p>
    <w:p w14:paraId="36010000">
      <w:pPr>
        <w:pStyle w:val="Style_8"/>
        <w:rPr>
          <w:color w:val="000000"/>
        </w:rPr>
      </w:pPr>
      <w:r>
        <w:rPr>
          <w:color w:val="000000"/>
          <w:sz w:val="24"/>
        </w:rPr>
        <w:t>— паспорт изделия;</w:t>
      </w:r>
    </w:p>
    <w:p w14:paraId="37010000">
      <w:pPr>
        <w:pStyle w:val="Style_8"/>
        <w:rPr>
          <w:color w:val="000000"/>
        </w:rPr>
      </w:pPr>
      <w:r>
        <w:rPr>
          <w:color w:val="000000"/>
          <w:sz w:val="24"/>
        </w:rPr>
        <w:t>— универсальный передаточный документ (УПД).</w:t>
      </w:r>
    </w:p>
    <w:p w14:paraId="38010000">
      <w:pPr>
        <w:pStyle w:val="Style_8"/>
        <w:rPr>
          <w:color w:val="000000"/>
        </w:rPr>
      </w:pPr>
      <w:r>
        <w:rPr>
          <w:color w:val="000000"/>
          <w:sz w:val="24"/>
        </w:rPr>
        <w:t>6.2. Все поставляемые товары должны иметь действующие сертификаты соответствия и технические паспорта, разрешённые для использования на территории Российской Федерации. На оборудование, подлежащее обязательной сертификации в области пожарной безопасности, должен быть предоставлен действующий сертификат соответствия требованиям пожарной безопасности (выданный по ТР ЕАЭС 043/2017 или в системе ГОСТ Р).</w:t>
      </w:r>
    </w:p>
    <w:p w14:paraId="39010000">
      <w:pPr>
        <w:pStyle w:val="Style_8"/>
        <w:rPr>
          <w:color w:val="000000"/>
        </w:rPr>
      </w:pPr>
      <w:r>
        <w:rPr>
          <w:b w:val="1"/>
          <w:color w:val="000000"/>
          <w:sz w:val="24"/>
        </w:rPr>
        <w:t>7. Гарантийный срок:</w:t>
      </w:r>
    </w:p>
    <w:p w14:paraId="3A010000">
      <w:pPr>
        <w:pStyle w:val="Style_8"/>
        <w:rPr>
          <w:color w:val="000000"/>
        </w:rPr>
      </w:pPr>
      <w:r>
        <w:rPr>
          <w:color w:val="000000"/>
          <w:sz w:val="24"/>
        </w:rPr>
        <w:t>7.1. Гарантийный срок на прибор — не менее 12 месяцев с даты подписания акта приёма-передачи без замечаний.</w:t>
      </w:r>
    </w:p>
    <w:p w14:paraId="3B010000">
      <w:pPr>
        <w:pStyle w:val="Style_8"/>
        <w:rPr>
          <w:color w:val="000000"/>
        </w:rPr>
      </w:pPr>
      <w:r>
        <w:rPr>
          <w:color w:val="000000"/>
          <w:sz w:val="24"/>
        </w:rPr>
        <w:t>7.2. Гарантия распространяется на все составляющие и комплектующие части.</w:t>
      </w:r>
    </w:p>
    <w:p w14:paraId="3C010000">
      <w:pPr>
        <w:pStyle w:val="Style_8"/>
        <w:rPr>
          <w:color w:val="000000"/>
        </w:rPr>
      </w:pPr>
      <w:r>
        <w:rPr>
          <w:color w:val="000000"/>
          <w:sz w:val="24"/>
        </w:rPr>
        <w:t>7.3. В рамках гарантии Поставщик обеспечивает ремонт или замену неисправного оборудования, восстановление его работоспособности и программных настроек. Выезд специалиста для устранения неисправности осуществляется не позднее 5 рабочих дней с даты поступления письменной заявки Заказчика.</w:t>
      </w:r>
    </w:p>
    <w:p w14:paraId="3D010000">
      <w:pPr>
        <w:pStyle w:val="Style_8"/>
        <w:rPr>
          <w:color w:val="000000"/>
        </w:rPr>
      </w:pPr>
      <w:r>
        <w:rPr>
          <w:color w:val="000000"/>
          <w:sz w:val="24"/>
        </w:rPr>
        <w:t>7.4. В случае наступления гарантийного случая в гарантийный период срок гарантии продлевается на время, затраченное на устранение неисправности.</w:t>
      </w:r>
    </w:p>
    <w:p w14:paraId="3E010000">
      <w:pPr>
        <w:pStyle w:val="Style_8"/>
        <w:rPr>
          <w:color w:val="000000"/>
        </w:rPr>
      </w:pPr>
      <w:r>
        <w:rPr>
          <w:b w:val="1"/>
          <w:color w:val="000000"/>
          <w:sz w:val="24"/>
        </w:rPr>
        <w:t>8. Порядок приёмки товара:</w:t>
      </w:r>
    </w:p>
    <w:p w14:paraId="3F010000">
      <w:pPr>
        <w:pStyle w:val="Style_8"/>
        <w:rPr>
          <w:color w:val="000000"/>
        </w:rPr>
      </w:pPr>
      <w:r>
        <w:rPr>
          <w:color w:val="000000"/>
          <w:sz w:val="24"/>
        </w:rPr>
        <w:t>8.1. Приёмка товара осуществляется Заказчиком в течение 5 рабочих дней с момента поставки.</w:t>
      </w:r>
    </w:p>
    <w:p w14:paraId="40010000">
      <w:pPr>
        <w:pStyle w:val="Style_8"/>
        <w:rPr>
          <w:color w:val="000000"/>
        </w:rPr>
      </w:pPr>
      <w:r>
        <w:rPr>
          <w:color w:val="000000"/>
          <w:sz w:val="24"/>
        </w:rPr>
        <w:t>8.2. При выявлении недостатков Заказчик направляет Поставщику мотивированный отказ с перечнем замечаний. Срок устранения замечаний согласовывается сторонами и не может превышать 15 календарных дней.</w:t>
      </w:r>
    </w:p>
    <w:p w14:paraId="41010000">
      <w:pPr>
        <w:pStyle w:val="Style_8"/>
        <w:rPr>
          <w:color w:val="000000"/>
        </w:rPr>
      </w:pPr>
      <w:r>
        <w:rPr>
          <w:color w:val="000000"/>
          <w:sz w:val="24"/>
        </w:rPr>
        <w:t>8.3. Датой приёмки считается дата подписания акта приёма-передачи обеими сторонами.</w:t>
      </w:r>
    </w:p>
    <w:p w14:paraId="42010000">
      <w:pPr>
        <w:pStyle w:val="Style_8"/>
        <w:rPr>
          <w:color w:val="000000"/>
        </w:rPr>
      </w:pPr>
      <w:r>
        <w:rPr>
          <w:color w:val="000000"/>
          <w:sz w:val="24"/>
        </w:rPr>
        <w:t>9. Цена включает в себя все расходы Поставщика, связанные с исполнением обязательств, в том числе стоимость товара, комплектующих и программного обеспечения; транспортные расходы по доставке товара на объект; налоги, сборы и иные обязательные платежи, подлежащие уплате в соответствии с законодательством Российской Федерации; иные расходы Поставщика, связанные с выполнением обязательств.</w:t>
      </w:r>
    </w:p>
    <w:p w14:paraId="43010000">
      <w:pPr>
        <w:pStyle w:val="Style_8"/>
        <w:rPr>
          <w:color w:val="000000"/>
        </w:rPr>
      </w:pPr>
      <w:r>
        <w:rPr>
          <w:color w:val="000000"/>
          <w:sz w:val="24"/>
        </w:rPr>
        <w:t>Цена настоящего Контракта является твёрдой и определяется на весь срок действия настоящего Контракта, за исключением 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4010000">
      <w:pPr>
        <w:pStyle w:val="Style_8"/>
        <w:rPr>
          <w:color w:val="000000"/>
          <w:sz w:val="24"/>
        </w:rPr>
      </w:pPr>
    </w:p>
    <w:p w14:paraId="45010000">
      <w:pPr>
        <w:pStyle w:val="Style_8"/>
        <w:ind w:firstLine="0" w:left="0" w:right="0"/>
        <w:rPr>
          <w:color w:val="000000"/>
          <w:sz w:val="24"/>
        </w:rPr>
      </w:pPr>
    </w:p>
    <w:p w14:paraId="46010000">
      <w:pPr>
        <w:pStyle w:val="Style_8"/>
        <w:ind w:firstLine="0" w:left="0" w:right="0"/>
        <w:rPr>
          <w:color w:val="000000"/>
          <w:sz w:val="24"/>
        </w:rPr>
      </w:pPr>
      <w:r>
        <w:rPr>
          <w:color w:val="000000"/>
          <w:sz w:val="24"/>
        </w:rPr>
        <w:t>Разработал: Ведущий специалист отдела ИТО</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С.Г. Комольцев.</w:t>
      </w:r>
    </w:p>
    <w:p w14:paraId="47010000">
      <w:pPr>
        <w:pStyle w:val="Style_8"/>
        <w:ind w:firstLine="0" w:left="0" w:right="0"/>
        <w:rPr>
          <w:color w:val="000000"/>
          <w:sz w:val="24"/>
        </w:rPr>
      </w:pPr>
    </w:p>
    <w:p w14:paraId="48010000">
      <w:pPr>
        <w:pStyle w:val="Style_6"/>
        <w:widowControl w:val="1"/>
        <w:spacing w:after="0" w:before="0" w:line="240" w:lineRule="auto"/>
        <w:ind w:firstLine="0" w:left="0" w:right="0"/>
        <w:contextualSpacing w:val="0"/>
        <w:jc w:val="both"/>
        <w:rPr>
          <w:rFonts w:ascii="Serif" w:hAnsi="Serif"/>
          <w:b w:val="0"/>
          <w:color w:val="000000"/>
          <w:sz w:val="24"/>
        </w:rPr>
      </w:pPr>
    </w:p>
    <w:tbl>
      <w:tblPr>
        <w:tblW w:type="auto" w:w="0"/>
        <w:jc w:val="left"/>
        <w:tblInd w:type="dxa" w:w="0"/>
        <w:tblLayout w:type="fixed"/>
      </w:tblPr>
      <w:tblGrid>
        <w:gridCol w:w="5265"/>
        <w:gridCol w:w="4995"/>
      </w:tblGrid>
      <w:tr>
        <w:trPr>
          <w:trHeight w:hRule="atLeast" w:val="2040"/>
        </w:trPr>
        <w:tc>
          <w:tcPr>
            <w:tcW w:type="dxa" w:w="5265"/>
            <w:tcBorders>
              <w:top w:val="nil"/>
              <w:left w:val="nil"/>
              <w:bottom w:val="nil"/>
              <w:right w:val="nil"/>
            </w:tcBorders>
            <w:shd w:fill="auto" w:val="clear"/>
            <w:tcMar>
              <w:top w:type="dxa" w:w="0"/>
              <w:left w:type="dxa" w:w="108"/>
              <w:bottom w:type="dxa" w:w="0"/>
              <w:right w:type="dxa" w:w="108"/>
            </w:tcMar>
          </w:tcPr>
          <w:p w14:paraId="49010000">
            <w:pPr>
              <w:pStyle w:val="Style_6"/>
              <w:widowControl w:val="1"/>
              <w:spacing w:after="0" w:before="0" w:line="240" w:lineRule="auto"/>
              <w:ind w:firstLine="0" w:left="0" w:right="0"/>
              <w:contextualSpacing w:val="0"/>
              <w:jc w:val="center"/>
              <w:rPr>
                <w:rFonts w:ascii="Serif" w:hAnsi="Serif"/>
                <w:b w:val="1"/>
                <w:color w:val="000000"/>
                <w:sz w:val="24"/>
              </w:rPr>
            </w:pPr>
            <w:r>
              <w:rPr>
                <w:rFonts w:ascii="Serif" w:hAnsi="Serif"/>
                <w:b w:val="1"/>
                <w:color w:val="000000"/>
                <w:sz w:val="24"/>
              </w:rPr>
              <w:t>ЗАКАЗЧИК:</w:t>
            </w:r>
          </w:p>
          <w:p w14:paraId="4A010000">
            <w:pPr>
              <w:pStyle w:val="Style_6"/>
              <w:widowControl w:val="0"/>
              <w:spacing w:after="0" w:before="0" w:line="240" w:lineRule="auto"/>
              <w:ind w:firstLine="0" w:left="0" w:right="0"/>
              <w:contextualSpacing w:val="0"/>
              <w:jc w:val="left"/>
              <w:rPr>
                <w:rFonts w:ascii="Serif" w:hAnsi="Serif"/>
                <w:b w:val="1"/>
                <w:color w:val="000000"/>
                <w:sz w:val="24"/>
              </w:rPr>
            </w:pPr>
            <w:r>
              <w:rPr>
                <w:rFonts w:ascii="Serif" w:hAnsi="Serif"/>
                <w:b w:val="1"/>
                <w:color w:val="000000"/>
                <w:sz w:val="24"/>
              </w:rPr>
              <w:t>Федеральное казенное учреждение</w:t>
            </w:r>
          </w:p>
          <w:p w14:paraId="4B010000">
            <w:pPr>
              <w:pStyle w:val="Style_6"/>
              <w:widowControl w:val="0"/>
              <w:spacing w:after="0" w:before="0" w:line="240" w:lineRule="auto"/>
              <w:ind w:firstLine="0" w:left="0" w:right="0"/>
              <w:contextualSpacing w:val="0"/>
              <w:jc w:val="left"/>
              <w:rPr>
                <w:rFonts w:ascii="Serif" w:hAnsi="Serif"/>
                <w:b w:val="1"/>
                <w:color w:val="000000"/>
                <w:sz w:val="24"/>
              </w:rPr>
            </w:pPr>
            <w:r>
              <w:rPr>
                <w:rFonts w:ascii="Serif" w:hAnsi="Serif"/>
                <w:b w:val="1"/>
                <w:color w:val="000000"/>
                <w:sz w:val="24"/>
              </w:rPr>
              <w:t>«Центр хранения страхового фонда» (ЦХСФ)</w:t>
            </w:r>
          </w:p>
        </w:tc>
        <w:tc>
          <w:tcPr>
            <w:tcW w:type="dxa" w:w="4995"/>
            <w:tcBorders>
              <w:top w:val="nil"/>
              <w:left w:val="nil"/>
              <w:bottom w:val="nil"/>
              <w:right w:val="nil"/>
            </w:tcBorders>
            <w:shd w:fill="auto" w:val="clear"/>
            <w:tcMar>
              <w:top w:type="dxa" w:w="0"/>
              <w:left w:type="dxa" w:w="108"/>
              <w:bottom w:type="dxa" w:w="0"/>
              <w:right w:type="dxa" w:w="108"/>
            </w:tcMar>
          </w:tcPr>
          <w:p w14:paraId="4C010000">
            <w:pPr>
              <w:pStyle w:val="Style_6"/>
              <w:widowControl w:val="1"/>
              <w:spacing w:after="0" w:before="0" w:line="240" w:lineRule="auto"/>
              <w:ind w:firstLine="0" w:left="0" w:right="0"/>
              <w:contextualSpacing w:val="0"/>
              <w:jc w:val="center"/>
              <w:rPr>
                <w:rFonts w:ascii="Serif" w:hAnsi="Serif"/>
                <w:b w:val="1"/>
                <w:color w:val="000000"/>
                <w:sz w:val="24"/>
              </w:rPr>
            </w:pPr>
            <w:r>
              <w:rPr>
                <w:rFonts w:ascii="Serif" w:hAnsi="Serif"/>
                <w:b w:val="1"/>
                <w:color w:val="000000"/>
                <w:sz w:val="24"/>
              </w:rPr>
              <w:t>ПОСТАВЩИК:</w:t>
            </w:r>
          </w:p>
        </w:tc>
      </w:tr>
    </w:tbl>
    <w:p w14:paraId="4D010000">
      <w:pPr>
        <w:pStyle w:val="Style_6"/>
        <w:widowControl w:val="0"/>
        <w:spacing w:after="0" w:before="0" w:line="240" w:lineRule="auto"/>
        <w:ind w:firstLine="680" w:left="0" w:right="0"/>
        <w:contextualSpacing w:val="0"/>
        <w:jc w:val="right"/>
        <w:rPr>
          <w:rFonts w:ascii="Serif" w:hAnsi="Serif"/>
          <w:color w:val="000000"/>
          <w:sz w:val="24"/>
        </w:rPr>
      </w:pPr>
    </w:p>
    <w:p w14:paraId="4E010000">
      <w:pPr>
        <w:pStyle w:val="Style_6"/>
        <w:widowControl w:val="0"/>
        <w:spacing w:after="0" w:before="0" w:line="240" w:lineRule="auto"/>
        <w:ind w:firstLine="680" w:left="0" w:right="0"/>
        <w:contextualSpacing w:val="0"/>
        <w:jc w:val="right"/>
        <w:rPr>
          <w:rFonts w:ascii="Serif" w:hAnsi="Serif"/>
          <w:color w:val="000000"/>
          <w:sz w:val="24"/>
        </w:rPr>
      </w:pPr>
    </w:p>
    <w:p w14:paraId="4F010000">
      <w:pPr>
        <w:pStyle w:val="Style_6"/>
        <w:widowControl w:val="0"/>
        <w:spacing w:after="0" w:before="0" w:line="240" w:lineRule="auto"/>
        <w:ind w:firstLine="680" w:left="0" w:right="0"/>
        <w:contextualSpacing w:val="0"/>
        <w:jc w:val="right"/>
        <w:rPr>
          <w:rFonts w:ascii="Serif" w:hAnsi="Serif"/>
          <w:color w:val="000000"/>
          <w:sz w:val="24"/>
        </w:rPr>
      </w:pPr>
    </w:p>
    <w:p w14:paraId="50010000">
      <w:pPr>
        <w:pStyle w:val="Style_6"/>
        <w:widowControl w:val="0"/>
        <w:spacing w:after="0" w:before="0" w:line="240" w:lineRule="auto"/>
        <w:ind w:firstLine="680" w:left="0" w:right="0"/>
        <w:contextualSpacing w:val="0"/>
        <w:jc w:val="right"/>
        <w:rPr>
          <w:rFonts w:ascii="Serif" w:hAnsi="Serif"/>
          <w:color w:val="000000"/>
          <w:sz w:val="24"/>
        </w:rPr>
      </w:pPr>
    </w:p>
    <w:p w14:paraId="51010000">
      <w:pPr>
        <w:pStyle w:val="Style_6"/>
        <w:widowControl w:val="0"/>
        <w:spacing w:after="0" w:before="0" w:line="240" w:lineRule="auto"/>
        <w:ind w:firstLine="680" w:left="0" w:right="0"/>
        <w:contextualSpacing w:val="0"/>
        <w:jc w:val="right"/>
        <w:rPr>
          <w:rFonts w:ascii="Serif" w:hAnsi="Serif"/>
          <w:color w:val="000000"/>
          <w:sz w:val="24"/>
        </w:rPr>
      </w:pPr>
    </w:p>
    <w:p w14:paraId="52010000">
      <w:pPr>
        <w:pStyle w:val="Style_6"/>
        <w:widowControl w:val="0"/>
        <w:spacing w:after="0" w:before="0" w:line="240" w:lineRule="auto"/>
        <w:ind w:firstLine="680" w:left="0" w:right="0"/>
        <w:contextualSpacing w:val="0"/>
        <w:jc w:val="right"/>
        <w:rPr>
          <w:rFonts w:ascii="Serif" w:hAnsi="Serif"/>
          <w:color w:val="000000"/>
          <w:sz w:val="24"/>
        </w:rPr>
      </w:pPr>
    </w:p>
    <w:p w14:paraId="53010000">
      <w:pPr>
        <w:pStyle w:val="Style_6"/>
        <w:widowControl w:val="0"/>
        <w:spacing w:after="0" w:before="0" w:line="240" w:lineRule="auto"/>
        <w:ind w:firstLine="680" w:left="0" w:right="0"/>
        <w:contextualSpacing w:val="0"/>
        <w:jc w:val="right"/>
        <w:rPr>
          <w:rFonts w:ascii="Serif" w:hAnsi="Serif"/>
          <w:color w:val="000000"/>
          <w:sz w:val="24"/>
        </w:rPr>
      </w:pPr>
    </w:p>
    <w:p w14:paraId="54010000">
      <w:pPr>
        <w:pStyle w:val="Style_6"/>
        <w:widowControl w:val="0"/>
        <w:spacing w:after="0" w:before="0" w:line="240" w:lineRule="auto"/>
        <w:ind w:firstLine="680" w:left="0" w:right="0"/>
        <w:contextualSpacing w:val="0"/>
        <w:jc w:val="right"/>
        <w:rPr>
          <w:rFonts w:ascii="Serif" w:hAnsi="Serif"/>
          <w:color w:val="000000"/>
          <w:sz w:val="24"/>
        </w:rPr>
      </w:pPr>
    </w:p>
    <w:p w14:paraId="55010000">
      <w:pPr>
        <w:pStyle w:val="Style_6"/>
        <w:widowControl w:val="0"/>
        <w:spacing w:after="0" w:before="0" w:line="240" w:lineRule="auto"/>
        <w:ind w:firstLine="680" w:left="0" w:right="0"/>
        <w:contextualSpacing w:val="0"/>
        <w:jc w:val="right"/>
        <w:rPr>
          <w:rFonts w:ascii="Serif" w:hAnsi="Serif"/>
          <w:color w:val="000000"/>
          <w:sz w:val="24"/>
        </w:rPr>
      </w:pPr>
    </w:p>
    <w:p w14:paraId="56010000">
      <w:pPr>
        <w:pStyle w:val="Style_6"/>
        <w:widowControl w:val="0"/>
        <w:spacing w:after="0" w:before="0" w:line="240" w:lineRule="auto"/>
        <w:ind w:firstLine="680" w:left="0" w:right="0"/>
        <w:contextualSpacing w:val="0"/>
        <w:jc w:val="right"/>
        <w:rPr>
          <w:rFonts w:ascii="Serif" w:hAnsi="Serif"/>
          <w:color w:val="000000"/>
          <w:sz w:val="24"/>
        </w:rPr>
      </w:pPr>
    </w:p>
    <w:p w14:paraId="57010000">
      <w:pPr>
        <w:pStyle w:val="Style_6"/>
        <w:widowControl w:val="0"/>
        <w:spacing w:after="0" w:before="0" w:line="240" w:lineRule="auto"/>
        <w:ind w:firstLine="680" w:left="0" w:right="0"/>
        <w:contextualSpacing w:val="0"/>
        <w:jc w:val="right"/>
        <w:rPr>
          <w:rFonts w:ascii="Serif" w:hAnsi="Serif"/>
          <w:color w:val="000000"/>
          <w:sz w:val="24"/>
        </w:rPr>
      </w:pPr>
    </w:p>
    <w:p w14:paraId="58010000">
      <w:pPr>
        <w:pStyle w:val="Style_6"/>
        <w:widowControl w:val="0"/>
        <w:spacing w:after="0" w:before="0" w:line="240" w:lineRule="auto"/>
        <w:ind w:firstLine="680" w:left="0" w:right="0"/>
        <w:contextualSpacing w:val="0"/>
        <w:jc w:val="right"/>
        <w:rPr>
          <w:rFonts w:ascii="Serif" w:hAnsi="Serif"/>
          <w:color w:val="000000"/>
          <w:sz w:val="24"/>
        </w:rPr>
      </w:pPr>
    </w:p>
    <w:p w14:paraId="59010000">
      <w:pPr>
        <w:pStyle w:val="Style_6"/>
        <w:widowControl w:val="0"/>
        <w:spacing w:after="0" w:before="0" w:line="240" w:lineRule="auto"/>
        <w:ind w:firstLine="680" w:left="0" w:right="0"/>
        <w:contextualSpacing w:val="0"/>
        <w:jc w:val="right"/>
        <w:rPr>
          <w:rFonts w:ascii="Serif" w:hAnsi="Serif"/>
          <w:color w:val="000000"/>
          <w:sz w:val="24"/>
        </w:rPr>
      </w:pPr>
    </w:p>
    <w:p w14:paraId="5A010000">
      <w:pPr>
        <w:pStyle w:val="Style_6"/>
        <w:widowControl w:val="0"/>
        <w:spacing w:after="0" w:before="0" w:line="240" w:lineRule="auto"/>
        <w:ind w:firstLine="680" w:left="0" w:right="0"/>
        <w:contextualSpacing w:val="0"/>
        <w:jc w:val="right"/>
        <w:rPr>
          <w:rFonts w:ascii="Serif" w:hAnsi="Serif"/>
          <w:color w:val="000000"/>
          <w:sz w:val="24"/>
        </w:rPr>
      </w:pPr>
    </w:p>
    <w:p w14:paraId="5B010000">
      <w:pPr>
        <w:pStyle w:val="Style_6"/>
        <w:widowControl w:val="0"/>
        <w:spacing w:after="0" w:before="0" w:line="240" w:lineRule="auto"/>
        <w:ind w:firstLine="680" w:left="0" w:right="0"/>
        <w:contextualSpacing w:val="0"/>
        <w:jc w:val="right"/>
        <w:rPr>
          <w:rFonts w:ascii="Serif" w:hAnsi="Serif"/>
          <w:color w:val="000000"/>
          <w:sz w:val="24"/>
        </w:rPr>
      </w:pPr>
      <w:r>
        <w:rPr>
          <w:rFonts w:ascii="Serif" w:hAnsi="Serif"/>
          <w:color w:val="000000"/>
          <w:sz w:val="24"/>
        </w:rPr>
        <w:t>Приложение № 2 к Контракту №___/___</w:t>
      </w:r>
    </w:p>
    <w:p w14:paraId="5C010000">
      <w:pPr>
        <w:pStyle w:val="Style_6"/>
        <w:spacing w:after="0" w:before="0" w:line="240" w:lineRule="auto"/>
        <w:ind w:firstLine="680" w:left="0" w:right="0"/>
        <w:contextualSpacing w:val="0"/>
        <w:jc w:val="right"/>
        <w:rPr>
          <w:rFonts w:ascii="Serif" w:hAnsi="Serif"/>
          <w:color w:val="000000"/>
          <w:sz w:val="24"/>
        </w:rPr>
      </w:pPr>
      <w:r>
        <w:rPr>
          <w:rFonts w:ascii="Serif" w:hAnsi="Serif"/>
          <w:color w:val="000000"/>
          <w:sz w:val="24"/>
        </w:rPr>
        <w:t xml:space="preserve"> от «___» ___________ 2026 г.</w:t>
      </w:r>
    </w:p>
    <w:p w14:paraId="5D010000">
      <w:pPr>
        <w:pStyle w:val="Style_6"/>
        <w:spacing w:after="0" w:before="0" w:line="240" w:lineRule="auto"/>
        <w:ind w:firstLine="680" w:left="0" w:right="0"/>
        <w:contextualSpacing w:val="0"/>
        <w:jc w:val="right"/>
        <w:rPr>
          <w:rFonts w:ascii="Serif" w:hAnsi="Serif"/>
          <w:color w:val="000000"/>
          <w:sz w:val="24"/>
        </w:rPr>
      </w:pPr>
    </w:p>
    <w:p w14:paraId="5E010000">
      <w:pPr>
        <w:pStyle w:val="Style_6"/>
        <w:spacing w:after="0" w:before="0" w:line="240" w:lineRule="auto"/>
        <w:ind w:firstLine="680" w:left="0" w:right="0"/>
        <w:contextualSpacing w:val="0"/>
        <w:jc w:val="center"/>
        <w:rPr>
          <w:rFonts w:ascii="Serif" w:hAnsi="Serif"/>
          <w:b w:val="1"/>
          <w:color w:val="000000"/>
          <w:sz w:val="24"/>
        </w:rPr>
      </w:pPr>
      <w:r>
        <w:rPr>
          <w:rFonts w:ascii="Serif" w:hAnsi="Serif"/>
          <w:b w:val="1"/>
          <w:color w:val="000000"/>
          <w:sz w:val="24"/>
        </w:rPr>
        <w:t>СПЕЦИФИКАЦИЯ</w:t>
      </w:r>
    </w:p>
    <w:p w14:paraId="5F010000">
      <w:pPr>
        <w:pStyle w:val="Style_6"/>
        <w:spacing w:after="0" w:before="0" w:line="240" w:lineRule="auto"/>
        <w:ind w:firstLine="680" w:left="-567" w:right="0"/>
        <w:contextualSpacing w:val="0"/>
        <w:jc w:val="center"/>
        <w:rPr>
          <w:rFonts w:ascii="Serif" w:hAnsi="Serif"/>
          <w:b w:val="1"/>
          <w:color w:val="000000"/>
          <w:sz w:val="24"/>
        </w:rPr>
      </w:pPr>
    </w:p>
    <w:tbl>
      <w:tblPr>
        <w:tblW w:type="auto" w:w="0"/>
        <w:jc w:val="left"/>
        <w:tblInd w:type="dxa" w:w="-76"/>
        <w:tblLayout w:type="fixed"/>
      </w:tblPr>
      <w:tblGrid>
        <w:gridCol w:w="544"/>
        <w:gridCol w:w="3251"/>
        <w:gridCol w:w="1920"/>
        <w:gridCol w:w="795"/>
        <w:gridCol w:w="1020"/>
        <w:gridCol w:w="1365"/>
        <w:gridCol w:w="1365"/>
      </w:tblGrid>
      <w:tr>
        <w:tc>
          <w:tcPr>
            <w:tcW w:type="dxa" w:w="544"/>
            <w:tcBorders>
              <w:top w:color="000000" w:sz="4" w:val="single"/>
              <w:left w:color="000000" w:sz="4" w:val="single"/>
              <w:bottom w:color="000000" w:sz="4" w:val="single"/>
              <w:right w:val="nil"/>
            </w:tcBorders>
            <w:tcMar>
              <w:top w:type="dxa" w:w="55"/>
              <w:left w:type="dxa" w:w="108"/>
              <w:bottom w:type="dxa" w:w="55"/>
              <w:right w:type="dxa" w:w="108"/>
            </w:tcMar>
          </w:tcPr>
          <w:p w14:paraId="60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 п/п</w:t>
            </w:r>
          </w:p>
        </w:tc>
        <w:tc>
          <w:tcPr>
            <w:tcW w:type="dxa" w:w="3251"/>
            <w:tcBorders>
              <w:top w:color="000000" w:sz="4" w:val="single"/>
              <w:left w:color="000000" w:sz="4" w:val="single"/>
              <w:bottom w:color="000000" w:sz="4" w:val="single"/>
              <w:right w:val="nil"/>
            </w:tcBorders>
            <w:tcMar>
              <w:top w:type="dxa" w:w="55"/>
              <w:left w:type="dxa" w:w="108"/>
              <w:bottom w:type="dxa" w:w="55"/>
              <w:right w:type="dxa" w:w="108"/>
            </w:tcMar>
          </w:tcPr>
          <w:p w14:paraId="61010000">
            <w:pPr>
              <w:pStyle w:val="Style_6"/>
              <w:widowControl w:val="1"/>
              <w:tabs>
                <w:tab w:leader="none" w:pos="503" w:val="left"/>
              </w:tabs>
              <w:spacing w:after="0" w:before="0" w:line="240" w:lineRule="auto"/>
              <w:ind w:firstLine="0" w:left="113" w:right="0"/>
              <w:contextualSpacing w:val="0"/>
              <w:jc w:val="center"/>
              <w:rPr>
                <w:rFonts w:ascii="Serif" w:hAnsi="Serif"/>
                <w:color w:val="000000"/>
                <w:sz w:val="24"/>
              </w:rPr>
            </w:pPr>
            <w:r>
              <w:rPr>
                <w:rFonts w:ascii="Serif" w:hAnsi="Serif"/>
                <w:color w:val="000000"/>
                <w:sz w:val="24"/>
              </w:rPr>
              <w:t>Наименование товара</w:t>
            </w:r>
          </w:p>
        </w:tc>
        <w:tc>
          <w:tcPr>
            <w:tcW w:type="dxa" w:w="1920"/>
            <w:tcBorders>
              <w:top w:color="000000" w:sz="4" w:val="single"/>
              <w:left w:color="000000" w:sz="4" w:val="single"/>
              <w:bottom w:color="000000" w:sz="4" w:val="single"/>
              <w:right w:val="nil"/>
            </w:tcBorders>
            <w:tcMar>
              <w:top w:type="dxa" w:w="55"/>
              <w:left w:type="dxa" w:w="108"/>
              <w:bottom w:type="dxa" w:w="55"/>
              <w:right w:type="dxa" w:w="108"/>
            </w:tcMar>
          </w:tcPr>
          <w:p w14:paraId="62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Страна происхождения</w:t>
            </w:r>
          </w:p>
        </w:tc>
        <w:tc>
          <w:tcPr>
            <w:tcW w:type="dxa" w:w="795"/>
            <w:tcBorders>
              <w:top w:color="000000" w:sz="4" w:val="single"/>
              <w:left w:color="000000" w:sz="4" w:val="single"/>
              <w:bottom w:color="000000" w:sz="4" w:val="single"/>
              <w:right w:val="nil"/>
            </w:tcBorders>
            <w:tcMar>
              <w:top w:type="dxa" w:w="55"/>
              <w:left w:type="dxa" w:w="108"/>
              <w:bottom w:type="dxa" w:w="55"/>
              <w:right w:type="dxa" w:w="108"/>
            </w:tcMar>
          </w:tcPr>
          <w:p w14:paraId="63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Ед. изм.</w:t>
            </w:r>
          </w:p>
        </w:tc>
        <w:tc>
          <w:tcPr>
            <w:tcW w:type="dxa" w:w="1020"/>
            <w:tcBorders>
              <w:top w:color="000000" w:sz="4" w:val="single"/>
              <w:left w:color="000000" w:sz="4" w:val="single"/>
              <w:bottom w:color="000000" w:sz="4" w:val="single"/>
              <w:right w:val="nil"/>
            </w:tcBorders>
            <w:tcMar>
              <w:top w:type="dxa" w:w="55"/>
              <w:left w:type="dxa" w:w="108"/>
              <w:bottom w:type="dxa" w:w="55"/>
              <w:right w:type="dxa" w:w="108"/>
            </w:tcMar>
          </w:tcPr>
          <w:p w14:paraId="64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Кол-во</w:t>
            </w:r>
          </w:p>
        </w:tc>
        <w:tc>
          <w:tcPr>
            <w:tcW w:type="dxa" w:w="1365"/>
            <w:tcBorders>
              <w:top w:color="000000" w:sz="4" w:val="single"/>
              <w:left w:color="000000" w:sz="4" w:val="single"/>
              <w:bottom w:color="000000" w:sz="4" w:val="single"/>
              <w:right w:val="nil"/>
            </w:tcBorders>
            <w:tcMar>
              <w:top w:type="dxa" w:w="55"/>
              <w:left w:type="dxa" w:w="108"/>
              <w:bottom w:type="dxa" w:w="55"/>
              <w:right w:type="dxa" w:w="108"/>
            </w:tcMar>
            <w:vAlign w:val="center"/>
          </w:tcPr>
          <w:p w14:paraId="65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Цена за единицу с НДС(руб.)</w:t>
            </w:r>
          </w:p>
        </w:tc>
        <w:tc>
          <w:tcPr>
            <w:tcW w:type="dxa" w:w="1365"/>
            <w:tcBorders>
              <w:top w:color="000000" w:sz="4" w:val="single"/>
              <w:left w:color="000000" w:sz="4" w:val="single"/>
              <w:bottom w:color="000000" w:sz="4" w:val="single"/>
              <w:right w:color="000000" w:sz="4" w:val="single"/>
            </w:tcBorders>
            <w:tcMar>
              <w:top w:type="dxa" w:w="55"/>
              <w:left w:type="dxa" w:w="108"/>
              <w:bottom w:type="dxa" w:w="55"/>
              <w:right w:type="dxa" w:w="108"/>
            </w:tcMar>
            <w:vAlign w:val="center"/>
          </w:tcPr>
          <w:p w14:paraId="66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Сумма с НДС (руб.)</w:t>
            </w:r>
          </w:p>
        </w:tc>
      </w:tr>
      <w:tr>
        <w:tc>
          <w:tcPr>
            <w:tcW w:type="dxa" w:w="544"/>
            <w:tcBorders>
              <w:top w:val="nil"/>
              <w:left w:color="000000" w:sz="4" w:val="single"/>
              <w:bottom w:color="000000" w:sz="4" w:val="single"/>
              <w:right w:val="nil"/>
            </w:tcBorders>
            <w:tcMar>
              <w:top w:type="dxa" w:w="55"/>
              <w:left w:type="dxa" w:w="108"/>
              <w:bottom w:type="dxa" w:w="55"/>
              <w:right w:type="dxa" w:w="108"/>
            </w:tcMar>
          </w:tcPr>
          <w:p w14:paraId="67010000">
            <w:pPr>
              <w:pStyle w:val="Style_6"/>
              <w:widowControl w:val="1"/>
              <w:spacing w:after="0" w:before="0" w:line="240" w:lineRule="auto"/>
              <w:ind w:firstLine="0" w:left="0" w:right="0"/>
              <w:contextualSpacing w:val="0"/>
              <w:jc w:val="center"/>
              <w:rPr>
                <w:rFonts w:ascii="Serif" w:hAnsi="Serif"/>
                <w:color w:val="000000"/>
                <w:sz w:val="24"/>
              </w:rPr>
            </w:pPr>
            <w:r>
              <w:rPr>
                <w:rFonts w:ascii="Serif" w:hAnsi="Serif"/>
                <w:color w:val="000000"/>
                <w:sz w:val="24"/>
              </w:rPr>
              <w:t>1</w:t>
            </w:r>
          </w:p>
        </w:tc>
        <w:tc>
          <w:tcPr>
            <w:tcW w:type="dxa" w:w="3251"/>
            <w:tcBorders>
              <w:top w:val="nil"/>
              <w:left w:color="000000" w:sz="4" w:val="single"/>
              <w:bottom w:color="000000" w:sz="4" w:val="single"/>
              <w:right w:val="nil"/>
            </w:tcBorders>
            <w:tcMar>
              <w:top w:type="dxa" w:w="55"/>
              <w:left w:type="dxa" w:w="108"/>
              <w:bottom w:type="dxa" w:w="55"/>
              <w:right w:type="dxa" w:w="108"/>
            </w:tcMar>
          </w:tcPr>
          <w:p w14:paraId="68010000">
            <w:pPr>
              <w:pStyle w:val="Style_8"/>
              <w:spacing w:line="240" w:lineRule="auto"/>
              <w:ind w:firstLine="0" w:left="0" w:right="0"/>
              <w:jc w:val="left"/>
              <w:rPr>
                <w:rFonts w:ascii="Serif" w:hAnsi="Serif"/>
                <w:b w:val="0"/>
                <w:i w:val="0"/>
                <w:caps w:val="0"/>
                <w:smallCaps w:val="0"/>
                <w:color w:val="000000"/>
                <w:sz w:val="24"/>
                <w:highlight w:val="white"/>
              </w:rPr>
            </w:pPr>
          </w:p>
        </w:tc>
        <w:tc>
          <w:tcPr>
            <w:tcW w:type="dxa" w:w="1920"/>
            <w:tcBorders>
              <w:top w:val="nil"/>
              <w:left w:color="000000" w:sz="4" w:val="single"/>
              <w:bottom w:color="000000" w:sz="4" w:val="single"/>
              <w:right w:val="nil"/>
            </w:tcBorders>
            <w:tcMar>
              <w:top w:type="dxa" w:w="55"/>
              <w:left w:type="dxa" w:w="108"/>
              <w:bottom w:type="dxa" w:w="55"/>
              <w:right w:type="dxa" w:w="108"/>
            </w:tcMar>
          </w:tcPr>
          <w:p w14:paraId="69010000">
            <w:pPr>
              <w:pStyle w:val="Style_6"/>
              <w:widowControl w:val="1"/>
              <w:spacing w:after="0" w:before="0" w:line="240" w:lineRule="auto"/>
              <w:ind w:firstLine="0" w:left="0" w:right="0"/>
              <w:contextualSpacing w:val="0"/>
              <w:jc w:val="center"/>
              <w:rPr>
                <w:rFonts w:ascii="Serif" w:hAnsi="Serif"/>
                <w:color w:val="000000"/>
                <w:sz w:val="24"/>
              </w:rPr>
            </w:pPr>
          </w:p>
        </w:tc>
        <w:tc>
          <w:tcPr>
            <w:tcW w:type="dxa" w:w="795"/>
            <w:tcBorders>
              <w:top w:val="nil"/>
              <w:left w:color="000000" w:sz="4" w:val="single"/>
              <w:bottom w:color="000000" w:sz="4" w:val="single"/>
              <w:right w:val="nil"/>
            </w:tcBorders>
            <w:tcMar>
              <w:top w:type="dxa" w:w="55"/>
              <w:left w:type="dxa" w:w="108"/>
              <w:bottom w:type="dxa" w:w="55"/>
              <w:right w:type="dxa" w:w="108"/>
            </w:tcMar>
          </w:tcPr>
          <w:p w14:paraId="6A010000">
            <w:pPr>
              <w:pStyle w:val="Style_6"/>
              <w:widowControl w:val="1"/>
              <w:spacing w:after="0" w:before="0" w:line="240" w:lineRule="auto"/>
              <w:ind w:firstLine="0" w:left="0" w:right="0"/>
              <w:contextualSpacing w:val="0"/>
              <w:jc w:val="center"/>
              <w:rPr>
                <w:rFonts w:ascii="Serif" w:hAnsi="Serif"/>
                <w:color w:val="000000"/>
                <w:sz w:val="24"/>
              </w:rPr>
            </w:pPr>
          </w:p>
        </w:tc>
        <w:tc>
          <w:tcPr>
            <w:tcW w:type="dxa" w:w="1020"/>
            <w:tcBorders>
              <w:top w:val="nil"/>
              <w:left w:color="000000" w:sz="4" w:val="single"/>
              <w:bottom w:color="000000" w:sz="4" w:val="single"/>
              <w:right w:val="nil"/>
            </w:tcBorders>
            <w:tcMar>
              <w:top w:type="dxa" w:w="55"/>
              <w:left w:type="dxa" w:w="108"/>
              <w:bottom w:type="dxa" w:w="55"/>
              <w:right w:type="dxa" w:w="108"/>
            </w:tcMar>
          </w:tcPr>
          <w:p w14:paraId="6B010000">
            <w:pPr>
              <w:pStyle w:val="Style_6"/>
              <w:widowControl w:val="1"/>
              <w:spacing w:after="0" w:before="0" w:line="240" w:lineRule="auto"/>
              <w:ind w:firstLine="0" w:left="0" w:right="0"/>
              <w:contextualSpacing w:val="0"/>
              <w:jc w:val="center"/>
              <w:rPr>
                <w:rFonts w:ascii="Serif" w:hAnsi="Serif"/>
                <w:color w:val="000000"/>
                <w:sz w:val="24"/>
              </w:rPr>
            </w:pPr>
          </w:p>
        </w:tc>
        <w:tc>
          <w:tcPr>
            <w:tcW w:type="dxa" w:w="1365"/>
            <w:tcBorders>
              <w:top w:val="nil"/>
              <w:left w:color="000000" w:sz="4" w:val="single"/>
              <w:bottom w:color="000000" w:sz="4" w:val="single"/>
              <w:right w:val="nil"/>
            </w:tcBorders>
            <w:tcMar>
              <w:top w:type="dxa" w:w="55"/>
              <w:left w:type="dxa" w:w="108"/>
              <w:bottom w:type="dxa" w:w="55"/>
              <w:right w:type="dxa" w:w="108"/>
            </w:tcMar>
          </w:tcPr>
          <w:p w14:paraId="6C010000">
            <w:pPr>
              <w:pStyle w:val="Style_6"/>
              <w:widowControl w:val="1"/>
              <w:spacing w:after="0" w:before="0" w:line="240" w:lineRule="auto"/>
              <w:ind w:firstLine="0" w:left="0" w:right="0"/>
              <w:contextualSpacing w:val="0"/>
              <w:jc w:val="center"/>
              <w:rPr>
                <w:rFonts w:ascii="Serif" w:hAnsi="Serif"/>
                <w:color w:val="000000"/>
                <w:sz w:val="24"/>
              </w:rPr>
            </w:pPr>
          </w:p>
        </w:tc>
        <w:tc>
          <w:tcPr>
            <w:tcW w:type="dxa" w:w="1365"/>
            <w:tcBorders>
              <w:top w:val="nil"/>
              <w:left w:color="000000" w:sz="4" w:val="single"/>
              <w:bottom w:color="000000" w:sz="4" w:val="single"/>
              <w:right w:color="000000" w:sz="4" w:val="single"/>
            </w:tcBorders>
            <w:tcMar>
              <w:top w:type="dxa" w:w="55"/>
              <w:left w:type="dxa" w:w="108"/>
              <w:bottom w:type="dxa" w:w="55"/>
              <w:right w:type="dxa" w:w="108"/>
            </w:tcMar>
          </w:tcPr>
          <w:p w14:paraId="6D010000">
            <w:pPr>
              <w:pStyle w:val="Style_6"/>
              <w:widowControl w:val="1"/>
              <w:spacing w:after="0" w:before="0" w:line="240" w:lineRule="auto"/>
              <w:ind w:firstLine="0" w:left="0" w:right="0"/>
              <w:contextualSpacing w:val="0"/>
              <w:jc w:val="center"/>
              <w:rPr>
                <w:rFonts w:ascii="Serif" w:hAnsi="Serif"/>
                <w:color w:val="000000"/>
                <w:sz w:val="24"/>
              </w:rPr>
            </w:pPr>
          </w:p>
        </w:tc>
      </w:tr>
      <w:tr>
        <w:trPr>
          <w:trHeight w:hRule="atLeast" w:val="393"/>
        </w:trPr>
        <w:tc>
          <w:tcPr>
            <w:tcW w:type="dxa" w:w="8895"/>
            <w:gridSpan w:val="6"/>
            <w:tcBorders>
              <w:top w:val="nil"/>
              <w:left w:color="000000" w:sz="4" w:val="single"/>
              <w:bottom w:color="000000" w:sz="4" w:val="single"/>
              <w:right w:val="nil"/>
            </w:tcBorders>
            <w:tcMar>
              <w:top w:type="dxa" w:w="55"/>
              <w:left w:type="dxa" w:w="108"/>
              <w:bottom w:type="dxa" w:w="55"/>
              <w:right w:type="dxa" w:w="108"/>
            </w:tcMar>
          </w:tcPr>
          <w:p w14:paraId="6E010000">
            <w:pPr>
              <w:pStyle w:val="Style_6"/>
              <w:widowControl w:val="1"/>
              <w:spacing w:after="0" w:before="0" w:line="240" w:lineRule="auto"/>
              <w:ind w:firstLine="0" w:left="0" w:right="0"/>
              <w:contextualSpacing w:val="0"/>
              <w:jc w:val="right"/>
              <w:rPr>
                <w:rFonts w:ascii="Serif" w:hAnsi="Serif"/>
                <w:b w:val="1"/>
                <w:color w:val="000000"/>
                <w:sz w:val="24"/>
              </w:rPr>
            </w:pPr>
            <w:r>
              <w:rPr>
                <w:rFonts w:ascii="Serif" w:hAnsi="Serif"/>
                <w:b w:val="1"/>
                <w:color w:val="000000"/>
                <w:sz w:val="24"/>
              </w:rPr>
              <w:t>ИТОГО:</w:t>
            </w:r>
          </w:p>
        </w:tc>
        <w:tc>
          <w:tcPr>
            <w:tcW w:type="dxa" w:w="1365"/>
            <w:tcBorders>
              <w:top w:val="nil"/>
              <w:left w:color="000000" w:sz="4" w:val="single"/>
              <w:bottom w:color="000000" w:sz="4" w:val="single"/>
              <w:right w:color="000000" w:sz="4" w:val="single"/>
            </w:tcBorders>
            <w:tcMar>
              <w:top w:type="dxa" w:w="55"/>
              <w:left w:type="dxa" w:w="108"/>
              <w:bottom w:type="dxa" w:w="55"/>
              <w:right w:type="dxa" w:w="108"/>
            </w:tcMar>
          </w:tcPr>
          <w:p w14:paraId="6F010000">
            <w:pPr>
              <w:pStyle w:val="Style_6"/>
              <w:widowControl w:val="1"/>
              <w:spacing w:after="0" w:before="0" w:line="240" w:lineRule="auto"/>
              <w:ind w:firstLine="0" w:left="0" w:right="0"/>
              <w:contextualSpacing w:val="0"/>
              <w:rPr>
                <w:rFonts w:ascii="Serif" w:hAnsi="Serif"/>
                <w:color w:val="000000"/>
                <w:sz w:val="24"/>
              </w:rPr>
            </w:pPr>
          </w:p>
        </w:tc>
      </w:tr>
      <w:tr>
        <w:tc>
          <w:tcPr>
            <w:tcW w:type="dxa" w:w="8895"/>
            <w:gridSpan w:val="6"/>
            <w:tcBorders>
              <w:top w:val="nil"/>
              <w:left w:color="000000" w:sz="4" w:val="single"/>
              <w:bottom w:color="000000" w:sz="4" w:val="single"/>
              <w:right w:val="nil"/>
            </w:tcBorders>
            <w:tcMar>
              <w:top w:type="dxa" w:w="55"/>
              <w:left w:type="dxa" w:w="108"/>
              <w:bottom w:type="dxa" w:w="55"/>
              <w:right w:type="dxa" w:w="108"/>
            </w:tcMar>
          </w:tcPr>
          <w:p w14:paraId="70010000">
            <w:pPr>
              <w:pStyle w:val="Style_6"/>
              <w:widowControl w:val="1"/>
              <w:spacing w:after="0" w:before="0" w:line="240" w:lineRule="auto"/>
              <w:ind w:firstLine="0" w:left="0" w:right="0"/>
              <w:contextualSpacing w:val="0"/>
              <w:jc w:val="right"/>
              <w:rPr>
                <w:rFonts w:ascii="Serif" w:hAnsi="Serif"/>
                <w:b w:val="1"/>
                <w:color w:val="000000"/>
                <w:sz w:val="24"/>
              </w:rPr>
            </w:pPr>
            <w:r>
              <w:rPr>
                <w:rFonts w:ascii="Serif" w:hAnsi="Serif"/>
                <w:b w:val="1"/>
                <w:color w:val="000000"/>
                <w:sz w:val="24"/>
              </w:rPr>
              <w:t>В т.ч. НДС</w:t>
            </w:r>
          </w:p>
        </w:tc>
        <w:tc>
          <w:tcPr>
            <w:tcW w:type="dxa" w:w="1365"/>
            <w:tcBorders>
              <w:top w:val="nil"/>
              <w:left w:color="000000" w:sz="4" w:val="single"/>
              <w:bottom w:color="000000" w:sz="4" w:val="single"/>
              <w:right w:color="000000" w:sz="4" w:val="single"/>
            </w:tcBorders>
            <w:tcMar>
              <w:top w:type="dxa" w:w="55"/>
              <w:left w:type="dxa" w:w="108"/>
              <w:bottom w:type="dxa" w:w="55"/>
              <w:right w:type="dxa" w:w="108"/>
            </w:tcMar>
          </w:tcPr>
          <w:p w14:paraId="71010000">
            <w:pPr>
              <w:pStyle w:val="Style_6"/>
              <w:widowControl w:val="1"/>
              <w:spacing w:after="0" w:before="0" w:line="240" w:lineRule="auto"/>
              <w:ind w:firstLine="0" w:left="0" w:right="0"/>
              <w:contextualSpacing w:val="0"/>
              <w:rPr>
                <w:rFonts w:ascii="Serif" w:hAnsi="Serif"/>
                <w:color w:val="000000"/>
                <w:sz w:val="24"/>
              </w:rPr>
            </w:pPr>
          </w:p>
        </w:tc>
      </w:tr>
    </w:tbl>
    <w:p w14:paraId="72010000">
      <w:pPr>
        <w:pStyle w:val="Style_6"/>
        <w:spacing w:after="0" w:before="0" w:line="240" w:lineRule="auto"/>
        <w:ind w:firstLine="0" w:left="0" w:right="0"/>
        <w:contextualSpacing w:val="0"/>
        <w:jc w:val="both"/>
        <w:rPr>
          <w:rFonts w:ascii="Serif" w:hAnsi="Serif"/>
          <w:b w:val="1"/>
          <w:color w:val="000000"/>
          <w:sz w:val="24"/>
        </w:rPr>
      </w:pPr>
      <w:r>
        <w:rPr>
          <w:rFonts w:ascii="Serif" w:hAnsi="Serif"/>
          <w:b w:val="1"/>
          <w:color w:val="000000"/>
          <w:sz w:val="24"/>
        </w:rPr>
        <w:t>Всего наименований ___ (_________) на сумму:_______ (____________________) рублей 00 копеек, в том числе НДС.</w:t>
      </w:r>
    </w:p>
    <w:p w14:paraId="73010000">
      <w:pPr>
        <w:pStyle w:val="Style_6"/>
        <w:spacing w:after="0" w:before="0" w:line="240" w:lineRule="auto"/>
        <w:ind w:firstLine="0" w:left="0" w:right="0"/>
        <w:contextualSpacing w:val="0"/>
        <w:jc w:val="both"/>
        <w:rPr>
          <w:rFonts w:ascii="Serif" w:hAnsi="Serif"/>
          <w:b w:val="1"/>
          <w:color w:val="000000"/>
          <w:sz w:val="24"/>
        </w:rPr>
      </w:pPr>
    </w:p>
    <w:p w14:paraId="74010000">
      <w:pPr>
        <w:pStyle w:val="Style_6"/>
        <w:spacing w:after="0" w:before="0" w:line="240" w:lineRule="auto"/>
        <w:ind w:firstLine="680" w:left="0" w:right="0"/>
        <w:contextualSpacing w:val="0"/>
        <w:jc w:val="center"/>
        <w:rPr>
          <w:rFonts w:ascii="Serif" w:hAnsi="Serif"/>
          <w:b w:val="1"/>
          <w:color w:val="000000"/>
          <w:sz w:val="24"/>
        </w:rPr>
      </w:pPr>
    </w:p>
    <w:p w14:paraId="75010000">
      <w:pPr>
        <w:pStyle w:val="Style_6"/>
        <w:spacing w:after="0" w:before="0" w:line="240" w:lineRule="auto"/>
        <w:ind w:firstLine="680" w:left="0" w:right="0"/>
        <w:contextualSpacing w:val="0"/>
        <w:jc w:val="center"/>
        <w:rPr>
          <w:rFonts w:ascii="Serif" w:hAnsi="Serif"/>
          <w:b w:val="1"/>
          <w:color w:val="000000"/>
          <w:sz w:val="24"/>
        </w:rPr>
      </w:pPr>
    </w:p>
    <w:tbl>
      <w:tblPr>
        <w:tblW w:type="auto" w:w="0"/>
        <w:jc w:val="left"/>
        <w:tblLayout w:type="fixed"/>
      </w:tblPr>
      <w:tblGrid>
        <w:gridCol w:w="5325"/>
        <w:gridCol w:w="4875"/>
      </w:tblGrid>
      <w:tr>
        <w:trPr>
          <w:trHeight w:hRule="atLeast" w:val="2040"/>
        </w:trPr>
        <w:tc>
          <w:tcPr>
            <w:tcW w:type="dxa" w:w="5325"/>
            <w:tcBorders>
              <w:top w:val="nil"/>
              <w:left w:val="nil"/>
              <w:bottom w:val="nil"/>
              <w:right w:val="nil"/>
            </w:tcBorders>
            <w:shd w:fill="auto" w:val="clear"/>
            <w:tcMar>
              <w:top w:type="dxa" w:w="0"/>
              <w:left w:type="dxa" w:w="108"/>
              <w:bottom w:type="dxa" w:w="0"/>
              <w:right w:type="dxa" w:w="108"/>
            </w:tcMar>
          </w:tcPr>
          <w:p w14:paraId="76010000">
            <w:pPr>
              <w:pStyle w:val="Style_6"/>
              <w:widowControl w:val="1"/>
              <w:spacing w:after="0" w:before="0" w:line="240" w:lineRule="auto"/>
              <w:ind w:firstLine="0" w:left="0" w:right="0"/>
              <w:contextualSpacing w:val="0"/>
              <w:jc w:val="center"/>
              <w:rPr>
                <w:rFonts w:ascii="Serif" w:hAnsi="Serif"/>
                <w:b w:val="1"/>
                <w:color w:val="000000"/>
                <w:sz w:val="24"/>
              </w:rPr>
            </w:pPr>
            <w:r>
              <w:rPr>
                <w:rFonts w:ascii="Serif" w:hAnsi="Serif"/>
                <w:b w:val="1"/>
                <w:color w:val="000000"/>
                <w:sz w:val="24"/>
              </w:rPr>
              <w:t>ЗАКАЗЧИК:</w:t>
            </w:r>
          </w:p>
          <w:p w14:paraId="77010000">
            <w:pPr>
              <w:pStyle w:val="Style_6"/>
              <w:widowControl w:val="0"/>
              <w:spacing w:after="0" w:before="0" w:line="240" w:lineRule="auto"/>
              <w:ind w:firstLine="0" w:left="0" w:right="0"/>
              <w:contextualSpacing w:val="0"/>
              <w:jc w:val="left"/>
              <w:rPr>
                <w:rFonts w:ascii="Serif" w:hAnsi="Serif"/>
                <w:b w:val="1"/>
                <w:color w:val="000000"/>
                <w:sz w:val="24"/>
              </w:rPr>
            </w:pPr>
            <w:r>
              <w:rPr>
                <w:rFonts w:ascii="Serif" w:hAnsi="Serif"/>
                <w:b w:val="1"/>
                <w:color w:val="000000"/>
                <w:sz w:val="24"/>
              </w:rPr>
              <w:t>Федеральное казенное учреждение</w:t>
            </w:r>
          </w:p>
          <w:p w14:paraId="78010000">
            <w:pPr>
              <w:pStyle w:val="Style_6"/>
              <w:widowControl w:val="0"/>
              <w:spacing w:after="0" w:before="0" w:line="240" w:lineRule="auto"/>
              <w:ind w:firstLine="0" w:left="0" w:right="0"/>
              <w:contextualSpacing w:val="0"/>
              <w:jc w:val="left"/>
              <w:rPr>
                <w:rFonts w:ascii="Serif" w:hAnsi="Serif"/>
                <w:b w:val="1"/>
                <w:color w:val="000000"/>
                <w:sz w:val="24"/>
              </w:rPr>
            </w:pPr>
            <w:r>
              <w:rPr>
                <w:rFonts w:ascii="Serif" w:hAnsi="Serif"/>
                <w:b w:val="1"/>
                <w:color w:val="000000"/>
                <w:sz w:val="24"/>
              </w:rPr>
              <w:t>«Центр хранения страхового фонда» (ЦХСФ)</w:t>
            </w:r>
          </w:p>
          <w:p w14:paraId="79010000">
            <w:pPr>
              <w:pStyle w:val="Style_6"/>
              <w:widowControl w:val="1"/>
              <w:spacing w:after="120" w:before="120" w:line="240" w:lineRule="auto"/>
              <w:ind w:firstLine="0" w:left="120" w:right="120"/>
              <w:contextualSpacing w:val="0"/>
              <w:rPr>
                <w:rFonts w:ascii="Serif" w:hAnsi="Serif"/>
                <w:color w:val="000000"/>
                <w:sz w:val="24"/>
              </w:rPr>
            </w:pPr>
          </w:p>
        </w:tc>
        <w:tc>
          <w:tcPr>
            <w:tcW w:type="dxa" w:w="4875"/>
            <w:tcBorders>
              <w:top w:val="nil"/>
              <w:left w:val="nil"/>
              <w:bottom w:val="nil"/>
              <w:right w:val="nil"/>
            </w:tcBorders>
            <w:shd w:fill="auto" w:val="clear"/>
            <w:tcMar>
              <w:top w:type="dxa" w:w="0"/>
              <w:left w:type="dxa" w:w="108"/>
              <w:bottom w:type="dxa" w:w="0"/>
              <w:right w:type="dxa" w:w="108"/>
            </w:tcMar>
          </w:tcPr>
          <w:p w14:paraId="7A010000">
            <w:pPr>
              <w:pStyle w:val="Style_6"/>
              <w:widowControl w:val="1"/>
              <w:spacing w:after="0" w:before="0" w:line="240" w:lineRule="auto"/>
              <w:ind w:firstLine="0" w:left="0" w:right="0"/>
              <w:contextualSpacing w:val="0"/>
              <w:jc w:val="center"/>
              <w:rPr>
                <w:rFonts w:ascii="Serif" w:hAnsi="Serif"/>
                <w:b w:val="1"/>
                <w:color w:val="000000"/>
                <w:sz w:val="24"/>
              </w:rPr>
            </w:pPr>
            <w:r>
              <w:rPr>
                <w:rFonts w:ascii="Serif" w:hAnsi="Serif"/>
                <w:b w:val="1"/>
                <w:color w:val="000000"/>
                <w:sz w:val="24"/>
              </w:rPr>
              <w:t>ПОСТАВЩИК:</w:t>
            </w:r>
          </w:p>
        </w:tc>
      </w:tr>
    </w:tbl>
    <w:p w14:paraId="7B010000">
      <w:pPr>
        <w:pStyle w:val="Style_8"/>
        <w:spacing w:line="240" w:lineRule="auto"/>
        <w:ind/>
        <w:rPr>
          <w:rFonts w:ascii="Serif" w:hAnsi="Serif"/>
          <w:color w:val="000000"/>
          <w:sz w:val="24"/>
        </w:rPr>
      </w:pPr>
    </w:p>
    <w:sectPr>
      <w:headerReference r:id="rId9" w:type="default"/>
      <w:pgSz w:h="16838" w:orient="portrait" w:w="11906"/>
      <w:pgMar w:bottom="1134" w:left="1134" w:right="567" w:top="1134"/>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r>
      <w:t>Отп. в 3-х экз.</w:t>
    </w:r>
  </w:p>
  <w:p w14:paraId="03000000">
    <w:pPr>
      <w:pStyle w:val="Style_2"/>
    </w:pPr>
    <w:r>
      <w:t>1 экз. в дело</w:t>
    </w:r>
  </w:p>
  <w:p w14:paraId="04000000">
    <w:pPr>
      <w:pStyle w:val="Style_2"/>
    </w:pPr>
    <w:r>
      <w:t>2 и 3 в адрес</w:t>
    </w:r>
  </w:p>
  <w:p w14:paraId="05000000">
    <w:pPr>
      <w:pStyle w:val="Style_2"/>
    </w:pPr>
    <w:r>
      <w:t>исп. И.О. Фамилия</w:t>
    </w:r>
  </w:p>
  <w:p w14:paraId="06000000">
    <w:pPr>
      <w:pStyle w:val="Style_2"/>
    </w:pPr>
    <w:r>
      <w:t xml:space="preserve">тел. </w:t>
    </w:r>
    <w:r>
      <w:t>123-45-67</w:t>
    </w:r>
  </w:p>
  <w:p w14:paraId="07000000">
    <w:pPr>
      <w:pStyle w:val="Style_2"/>
    </w:pPr>
    <w:r>
      <w:t>01.01.2019</w:t>
    </w: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4"/>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7"/>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4000000">
    <w:pPr>
      <w:pStyle w:val="Style_4"/>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1"/>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72360" distL="72360" distR="72360" distT="72360" layoutInCell="true" locked="false" relativeHeight="251658240" simplePos="false">
              <wp:simplePos x="0" y="0"/>
              <wp:positionH relativeFrom="page">
                <wp:posOffset>10080006</wp:posOffset>
              </wp:positionH>
              <wp:positionV relativeFrom="margin">
                <wp:align>center</wp:align>
              </wp:positionV>
              <wp:extent cx="252000" cy="539640"/>
              <wp:wrapNone/>
              <wp:docPr hidden="false" id="1" name="Picture 1"/>
              <a:graphic>
                <a:graphicData uri="http://schemas.microsoft.com/office/word/2010/wordprocessingShape">
                  <wps:wsp>
                    <wps:cNvSpPr txBox="true"/>
                    <wps:spPr>
                      <a:xfrm flipH="false" flipV="false" rot="0">
                        <a:off x="0" y="0"/>
                        <a:ext cx="252000" cy="539640"/>
                      </a:xfrm>
                      <a:prstGeom prst="rect">
                        <a:avLst/>
                      </a:prstGeom>
                      <a:noFill/>
                      <a:ln>
                        <a:noFill/>
                      </a:ln>
                    </wps:spPr>
                    <wps:txbx>
                      <w:txbxContent>
                        <w:p w14:paraId="09000000">
                          <w:pPr>
                            <w:pStyle w:val="Style_3"/>
                          </w:pPr>
                          <w:r>
                            <w:fldChar w:fldCharType="begin"/>
                          </w:r>
                          <w:r>
                            <w:instrText xml:space="preserve">PAGE </w:instrText>
                          </w:r>
                          <w:r>
                            <w:fldChar w:fldCharType="separate"/>
                          </w:r>
                          <w:r>
                            <w:t xml:space="preserve"> </w:t>
                          </w:r>
                          <w:r>
                            <w:fldChar w:fldCharType="end"/>
                          </w:r>
                        </w:p>
                      </w:txbxContent>
                    </wps:txbx>
                    <wps:bodyPr anchor="ctr" bIns="0" lIns="0" rIns="0" tIns="0">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pPr>
    <w:r>
      <w:fldChar w:fldCharType="begin"/>
    </w:r>
    <w:r>
      <w:instrText xml:space="preserve">PAGE </w:instrText>
    </w:r>
    <w:r>
      <w:fldChar w:fldCharType="separate"/>
    </w:r>
    <w:r>
      <w:t xml:space="preserve"> </w:t>
    </w:r>
    <w:r>
      <w:fldChar w:fldCharType="end"/>
    </w: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tbl>
    <w:tblPr>
      <w:tblW w:type="auto" w:w="0"/>
      <w:jc w:val="left"/>
      <w:tblLayout w:type="fixed"/>
    </w:tblPr>
    <w:tblGrid>
      <w:gridCol/>
      <w:gridCol/>
    </w:tblGrid>
    <w:tr>
      <w:tc>
        <w:tcPr/>
        <w:p w14:paraId="0D000000">
          <w:pPr>
            <w:pStyle w:val="Style_5"/>
          </w:pPr>
        </w:p>
      </w:tc>
      <w:tc>
        <w:tcPr/>
        <w:p w14:paraId="0E000000">
          <w:pPr>
            <w:pStyle w:val="Style_5"/>
          </w:pPr>
        </w:p>
      </w:tc>
    </w:tr>
  </w:tbl>
  <w:p w14:paraId="0F000000">
    <w:pPr>
      <w:pStyle w:val="Style_6"/>
      <w:rPr>
        <w:sz w:val="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rPr>
        <w:sz w:val="20"/>
      </w:rPr>
    </w:pPr>
    <w:r>
      <w:rPr>
        <w:sz w:val="20"/>
      </w:rPr>
      <w:fldChar w:fldCharType="begin"/>
    </w:r>
    <w:r>
      <w:rPr>
        <w:sz w:val="20"/>
      </w:rPr>
      <w:instrText xml:space="preserve">PAGE </w:instrText>
    </w:r>
    <w:r>
      <w:rPr>
        <w:sz w:val="20"/>
      </w:rPr>
      <w:fldChar w:fldCharType="separate"/>
    </w:r>
    <w:r>
      <w:rPr>
        <w:sz w:val="20"/>
      </w:rPr>
      <w:t xml:space="preserve"> </w:t>
    </w:r>
    <w:r>
      <w:rPr>
        <w:sz w:val="20"/>
      </w:rPr>
      <w:fldChar w:fldCharType="end"/>
    </w:r>
  </w:p>
</w:hdr>
</file>

<file path=word/header10.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pPr>
    <w:r>
      <w:fldChar w:fldCharType="begin"/>
    </w:r>
    <w:r>
      <w:instrText xml:space="preserve">PAGE </w:instrText>
    </w:r>
    <w:r>
      <w:fldChar w:fldCharType="separate"/>
    </w:r>
    <w:r>
      <w:t xml:space="preserve"> </w:t>
    </w:r>
    <w:r>
      <w:fldChar w:fldCharType="end"/>
    </w: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pP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6000000">
    <w:pPr>
      <w:pStyle w:val="Style_1"/>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7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pStyle w:val="Style_49"/>
      <w:lvlText w:val="–"/>
      <w:pPr>
        <w:ind w:firstLine="709"/>
      </w:pPr>
      <w:rPr>
        <w:rFonts w:ascii="PT Astra Serif" w:hAnsi="PT Astra Serif"/>
      </w:rPr>
    </w:lvl>
    <w:lvl w:ilvl="1">
      <w:numFmt w:val="bullet"/>
      <w:lvlText w:val="–"/>
      <w:pPr>
        <w:ind w:firstLine="709"/>
      </w:pPr>
      <w:rPr>
        <w:rFonts w:ascii="PT Astra Serif" w:hAnsi="PT Astra Serif"/>
      </w:rPr>
    </w:lvl>
    <w:lvl w:ilvl="2">
      <w:numFmt w:val="bullet"/>
      <w:lvlText w:val="–"/>
      <w:pPr>
        <w:ind w:firstLine="709"/>
      </w:pPr>
      <w:rPr>
        <w:rFonts w:ascii="PT Astra Serif" w:hAnsi="PT Astra Serif"/>
      </w:rPr>
    </w:lvl>
    <w:lvl w:ilvl="3">
      <w:numFmt w:val="bullet"/>
      <w:lvlText w:val="–"/>
      <w:pPr>
        <w:ind w:firstLine="709"/>
      </w:pPr>
      <w:rPr>
        <w:rFonts w:ascii="PT Astra Serif" w:hAnsi="PT Astra Serif"/>
      </w:rPr>
    </w:lvl>
    <w:lvl w:ilvl="4">
      <w:numFmt w:val="bullet"/>
      <w:lvlText w:val="–"/>
      <w:pPr>
        <w:ind w:firstLine="709"/>
      </w:pPr>
      <w:rPr>
        <w:rFonts w:ascii="PT Astra Serif" w:hAnsi="PT Astra Serif"/>
      </w:rPr>
    </w:lvl>
    <w:lvl w:ilvl="5">
      <w:numFmt w:val="bullet"/>
      <w:lvlText w:val="–"/>
      <w:pPr>
        <w:ind w:firstLine="709"/>
      </w:pPr>
      <w:rPr>
        <w:rFonts w:ascii="PT Astra Serif" w:hAnsi="PT Astra Serif"/>
      </w:rPr>
    </w:lvl>
    <w:lvl w:ilvl="6">
      <w:numFmt w:val="bullet"/>
      <w:lvlText w:val="–"/>
      <w:pPr>
        <w:ind w:firstLine="709"/>
      </w:pPr>
      <w:rPr>
        <w:rFonts w:ascii="PT Astra Serif" w:hAnsi="PT Astra Serif"/>
      </w:rPr>
    </w:lvl>
    <w:lvl w:ilvl="7">
      <w:numFmt w:val="bullet"/>
      <w:lvlText w:val="–"/>
      <w:pPr>
        <w:ind w:firstLine="709"/>
      </w:pPr>
      <w:rPr>
        <w:rFonts w:ascii="PT Astra Serif" w:hAnsi="PT Astra Serif"/>
      </w:rPr>
    </w:lvl>
    <w:lvl w:ilvl="8">
      <w:numFmt w:val="bullet"/>
      <w:lvlText w:val="–"/>
      <w:pPr>
        <w:ind w:firstLine="709"/>
      </w:pPr>
      <w:rPr>
        <w:rFonts w:ascii="PT Astra Serif" w:hAnsi="PT Astra Serif"/>
      </w:rPr>
    </w:lvl>
  </w:abstractNum>
  <w:abstractNum w:abstractNumId="1">
    <w:lvl w:ilvl="0">
      <w:start w:val="1"/>
      <w:numFmt w:val="decimal"/>
      <w:pStyle w:val="Style_84"/>
      <w:lvlText w:val="%1."/>
      <w:pPr>
        <w:ind w:firstLine="709"/>
      </w:pPr>
    </w:lvl>
    <w:lvl w:ilvl="1">
      <w:start w:val="1"/>
      <w:numFmt w:val="decimal"/>
      <w:lvlText w:val="%1.%2."/>
      <w:pPr>
        <w:ind w:firstLine="709"/>
      </w:pPr>
    </w:lvl>
    <w:lvl w:ilvl="2">
      <w:start w:val="1"/>
      <w:numFmt w:val="decimal"/>
      <w:lvlText w:val="%1.%2.%3."/>
      <w:pPr>
        <w:ind w:firstLine="709"/>
      </w:pPr>
    </w:lvl>
    <w:lvl w:ilvl="3">
      <w:start w:val="1"/>
      <w:numFmt w:val="decimal"/>
      <w:lvlText w:val="%1.%2.%3.%4."/>
      <w:pPr>
        <w:ind w:firstLine="709"/>
      </w:pPr>
    </w:lvl>
    <w:lvl w:ilvl="4">
      <w:start w:val="1"/>
      <w:numFmt w:val="decimal"/>
      <w:lvlText w:val="%1.%2.%3.%4.%5."/>
      <w:pPr>
        <w:ind w:firstLine="709"/>
      </w:pPr>
    </w:lvl>
    <w:lvl w:ilvl="5">
      <w:start w:val="1"/>
      <w:numFmt w:val="decimal"/>
      <w:lvlText w:val="%1.%2.%3.%4.%5.%6."/>
      <w:pPr>
        <w:ind w:firstLine="709"/>
      </w:pPr>
    </w:lvl>
    <w:lvl w:ilvl="6">
      <w:start w:val="1"/>
      <w:numFmt w:val="decimal"/>
      <w:lvlText w:val="%1.%2.%3.%4.%5.%6.%7."/>
      <w:pPr>
        <w:ind w:firstLine="709"/>
      </w:pPr>
    </w:lvl>
    <w:lvl w:ilvl="7">
      <w:start w:val="1"/>
      <w:numFmt w:val="decimal"/>
      <w:lvlText w:val="%1.%2.%3.%4.%5.%6.%7.%8."/>
      <w:pPr>
        <w:ind w:firstLine="709"/>
      </w:pPr>
    </w:lvl>
    <w:lvl w:ilvl="8">
      <w:start w:val="1"/>
      <w:numFmt w:val="decimal"/>
      <w:lvlText w:val="%1.%2.%3.%4.%5.%6.%7.%8.%9."/>
      <w:pPr>
        <w:ind w:firstLine="709"/>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Liberation Serif" w:hAnsi="Liberation Serif"/>
        <w:color w:val="000000"/>
        <w:spacing w:val="0"/>
        <w:sz w:val="24"/>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pPr>
      <w:spacing w:line="240" w:lineRule="auto"/>
      <w:ind/>
      <w:jc w:val="center"/>
    </w:pPr>
    <w:rPr>
      <w:rFonts w:ascii="PT Astra Serif" w:hAnsi="PT Astra Serif"/>
      <w:sz w:val="28"/>
    </w:rPr>
  </w:style>
  <w:style w:default="1" w:styleId="Style_6_ch" w:type="character">
    <w:name w:val="Normal"/>
    <w:link w:val="Style_6"/>
    <w:rPr>
      <w:rFonts w:ascii="PT Astra Serif" w:hAnsi="PT Astra Serif"/>
      <w:sz w:val="28"/>
    </w:rPr>
  </w:style>
  <w:style w:styleId="Style_10" w:type="paragraph">
    <w:name w:val="Line numbering"/>
    <w:link w:val="Style_10_ch"/>
  </w:style>
  <w:style w:styleId="Style_10_ch" w:type="character">
    <w:name w:val="Line numbering"/>
    <w:link w:val="Style_10"/>
  </w:style>
  <w:style w:styleId="Style_11" w:type="paragraph">
    <w:name w:val="Caption characters"/>
    <w:link w:val="Style_11_ch"/>
  </w:style>
  <w:style w:styleId="Style_11_ch" w:type="character">
    <w:name w:val="Caption characters"/>
    <w:link w:val="Style_11"/>
  </w:style>
  <w:style w:styleId="Style_12" w:type="paragraph">
    <w:name w:val="toc 2"/>
    <w:basedOn w:val="Style_13"/>
    <w:link w:val="Style_12_ch"/>
    <w:uiPriority w:val="39"/>
    <w:pPr>
      <w:tabs>
        <w:tab w:leader="dot" w:pos="9355" w:val="right"/>
      </w:tabs>
      <w:ind w:firstLine="0" w:left="0" w:right="0"/>
    </w:pPr>
  </w:style>
  <w:style w:styleId="Style_12_ch" w:type="character">
    <w:name w:val="toc 2"/>
    <w:basedOn w:val="Style_13_ch"/>
    <w:link w:val="Style_12"/>
  </w:style>
  <w:style w:styleId="Style_14" w:type="paragraph">
    <w:name w:val="Rubies"/>
    <w:link w:val="Style_14_ch"/>
    <w:rPr>
      <w:sz w:val="12"/>
      <w:u w:val="none"/>
    </w:rPr>
  </w:style>
  <w:style w:styleId="Style_14_ch" w:type="character">
    <w:name w:val="Rubies"/>
    <w:link w:val="Style_14"/>
    <w:rPr>
      <w:sz w:val="12"/>
      <w:u w:val="none"/>
    </w:rPr>
  </w:style>
  <w:style w:styleId="Style_15" w:type="paragraph">
    <w:name w:val="ListLabel 4"/>
    <w:link w:val="Style_15_ch"/>
    <w:rPr>
      <w:rFonts w:ascii="Serif" w:hAnsi="Serif"/>
      <w:b w:val="0"/>
      <w:i w:val="0"/>
      <w:caps w:val="0"/>
      <w:smallCaps w:val="0"/>
      <w:color w:val="000000"/>
      <w:sz w:val="20"/>
      <w:u w:val="none"/>
    </w:rPr>
  </w:style>
  <w:style w:styleId="Style_15_ch" w:type="character">
    <w:name w:val="ListLabel 4"/>
    <w:link w:val="Style_15"/>
    <w:rPr>
      <w:rFonts w:ascii="Serif" w:hAnsi="Serif"/>
      <w:b w:val="0"/>
      <w:i w:val="0"/>
      <w:caps w:val="0"/>
      <w:smallCaps w:val="0"/>
      <w:color w:val="000000"/>
      <w:sz w:val="20"/>
      <w:u w:val="none"/>
    </w:rPr>
  </w:style>
  <w:style w:styleId="Style_16" w:type="paragraph">
    <w:name w:val="List 5 Start"/>
    <w:basedOn w:val="Style_18"/>
    <w:next w:val="Style_17"/>
    <w:link w:val="Style_16_ch"/>
    <w:pPr>
      <w:spacing w:after="0" w:before="0"/>
      <w:ind w:firstLine="0" w:left="0" w:right="0"/>
      <w:contextualSpacing w:val="0"/>
    </w:pPr>
  </w:style>
  <w:style w:styleId="Style_16_ch" w:type="character">
    <w:name w:val="List 5 Start"/>
    <w:basedOn w:val="Style_18_ch"/>
    <w:link w:val="Style_16"/>
  </w:style>
  <w:style w:styleId="Style_19" w:type="paragraph">
    <w:name w:val="toc 4"/>
    <w:basedOn w:val="Style_13"/>
    <w:link w:val="Style_19_ch"/>
    <w:uiPriority w:val="39"/>
    <w:pPr>
      <w:tabs>
        <w:tab w:leader="dot" w:pos="8789" w:val="right"/>
      </w:tabs>
      <w:ind w:firstLine="0" w:left="0" w:right="0"/>
    </w:pPr>
  </w:style>
  <w:style w:styleId="Style_19_ch" w:type="character">
    <w:name w:val="toc 4"/>
    <w:basedOn w:val="Style_13_ch"/>
    <w:link w:val="Style_19"/>
  </w:style>
  <w:style w:styleId="Style_20" w:type="paragraph">
    <w:name w:val="Numbering 5 End"/>
    <w:basedOn w:val="Style_18"/>
    <w:next w:val="Style_21"/>
    <w:link w:val="Style_20_ch"/>
    <w:pPr>
      <w:spacing w:after="0" w:before="0"/>
      <w:ind w:firstLine="0" w:left="0" w:right="0"/>
      <w:contextualSpacing w:val="0"/>
    </w:pPr>
  </w:style>
  <w:style w:styleId="Style_20_ch" w:type="character">
    <w:name w:val="Numbering 5 End"/>
    <w:basedOn w:val="Style_18_ch"/>
    <w:link w:val="Style_20"/>
  </w:style>
  <w:style w:styleId="Style_22" w:type="paragraph">
    <w:name w:val="heading 7"/>
    <w:basedOn w:val="Style_24"/>
    <w:next w:val="Style_23"/>
    <w:link w:val="Style_22_ch"/>
    <w:uiPriority w:val="9"/>
    <w:qFormat/>
    <w:pPr>
      <w:spacing w:after="0" w:before="0"/>
      <w:ind/>
      <w:contextualSpacing w:val="0"/>
    </w:pPr>
  </w:style>
  <w:style w:styleId="Style_22_ch" w:type="character">
    <w:name w:val="heading 7"/>
    <w:basedOn w:val="Style_24_ch"/>
    <w:link w:val="Style_22"/>
  </w:style>
  <w:style w:styleId="Style_18" w:type="paragraph">
    <w:name w:val="List"/>
    <w:basedOn w:val="Style_23"/>
    <w:next w:val="Style_23"/>
    <w:link w:val="Style_18_ch"/>
  </w:style>
  <w:style w:styleId="Style_18_ch" w:type="character">
    <w:name w:val="List"/>
    <w:basedOn w:val="Style_23_ch"/>
    <w:link w:val="Style_18"/>
  </w:style>
  <w:style w:styleId="Style_25" w:type="paragraph">
    <w:name w:val="Numbering 2"/>
    <w:basedOn w:val="Style_18"/>
    <w:link w:val="Style_25_ch"/>
    <w:pPr>
      <w:spacing w:after="0" w:before="0"/>
      <w:ind w:firstLine="0" w:left="0" w:right="0"/>
      <w:contextualSpacing w:val="0"/>
    </w:pPr>
  </w:style>
  <w:style w:styleId="Style_25_ch" w:type="character">
    <w:name w:val="Numbering 2"/>
    <w:basedOn w:val="Style_18_ch"/>
    <w:link w:val="Style_25"/>
  </w:style>
  <w:style w:styleId="Style_26" w:type="paragraph">
    <w:name w:val="Endnote anchor"/>
    <w:link w:val="Style_26_ch"/>
    <w:rPr>
      <w:vertAlign w:val="superscript"/>
    </w:rPr>
  </w:style>
  <w:style w:styleId="Style_26_ch" w:type="character">
    <w:name w:val="Endnote anchor"/>
    <w:link w:val="Style_26"/>
    <w:rPr>
      <w:vertAlign w:val="superscript"/>
    </w:rPr>
  </w:style>
  <w:style w:styleId="Style_27" w:type="paragraph">
    <w:name w:val="List 1 Cont."/>
    <w:basedOn w:val="Style_18"/>
    <w:link w:val="Style_27_ch"/>
    <w:pPr>
      <w:spacing w:after="0" w:before="0"/>
      <w:ind w:firstLine="0" w:left="0" w:right="0"/>
      <w:contextualSpacing w:val="0"/>
    </w:pPr>
  </w:style>
  <w:style w:styleId="Style_27_ch" w:type="character">
    <w:name w:val="List 1 Cont."/>
    <w:basedOn w:val="Style_18_ch"/>
    <w:link w:val="Style_27"/>
  </w:style>
  <w:style w:styleId="Style_28" w:type="paragraph">
    <w:name w:val="Contents 10"/>
    <w:basedOn w:val="Style_13"/>
    <w:link w:val="Style_28_ch"/>
    <w:pPr>
      <w:tabs>
        <w:tab w:leader="dot" w:pos="7091" w:val="right"/>
      </w:tabs>
      <w:ind w:firstLine="0" w:left="0" w:right="0"/>
    </w:pPr>
  </w:style>
  <w:style w:styleId="Style_28_ch" w:type="character">
    <w:name w:val="Contents 10"/>
    <w:basedOn w:val="Style_13_ch"/>
    <w:link w:val="Style_28"/>
  </w:style>
  <w:style w:styleId="Style_29" w:type="paragraph">
    <w:name w:val="toc 6"/>
    <w:basedOn w:val="Style_13"/>
    <w:link w:val="Style_29_ch"/>
    <w:uiPriority w:val="39"/>
    <w:pPr>
      <w:tabs>
        <w:tab w:leader="dot" w:pos="8223" w:val="right"/>
      </w:tabs>
      <w:ind w:firstLine="0" w:left="0" w:right="0"/>
    </w:pPr>
  </w:style>
  <w:style w:styleId="Style_29_ch" w:type="character">
    <w:name w:val="toc 6"/>
    <w:basedOn w:val="Style_13_ch"/>
    <w:link w:val="Style_29"/>
  </w:style>
  <w:style w:styleId="Style_30" w:type="paragraph">
    <w:name w:val="Table index heading"/>
    <w:basedOn w:val="Style_24"/>
    <w:link w:val="Style_30_ch"/>
    <w:pPr>
      <w:ind w:firstLine="0" w:left="0" w:right="0"/>
    </w:pPr>
  </w:style>
  <w:style w:styleId="Style_30_ch" w:type="character">
    <w:name w:val="Table index heading"/>
    <w:basedOn w:val="Style_24_ch"/>
    <w:link w:val="Style_30"/>
  </w:style>
  <w:style w:styleId="Style_31" w:type="paragraph">
    <w:name w:val="toc 7"/>
    <w:basedOn w:val="Style_13"/>
    <w:link w:val="Style_31_ch"/>
    <w:uiPriority w:val="39"/>
    <w:pPr>
      <w:tabs>
        <w:tab w:leader="dot" w:pos="7940" w:val="right"/>
      </w:tabs>
      <w:ind w:firstLine="0" w:left="0" w:right="0"/>
    </w:pPr>
  </w:style>
  <w:style w:styleId="Style_31_ch" w:type="character">
    <w:name w:val="toc 7"/>
    <w:basedOn w:val="Style_13_ch"/>
    <w:link w:val="Style_31"/>
  </w:style>
  <w:style w:styleId="Style_32" w:type="paragraph">
    <w:name w:val="User Index 4"/>
    <w:basedOn w:val="Style_13"/>
    <w:link w:val="Style_32_ch"/>
    <w:pPr>
      <w:tabs>
        <w:tab w:leader="dot" w:pos="8789" w:val="right"/>
      </w:tabs>
      <w:ind w:firstLine="0" w:left="0" w:right="0"/>
    </w:pPr>
  </w:style>
  <w:style w:styleId="Style_32_ch" w:type="character">
    <w:name w:val="User Index 4"/>
    <w:basedOn w:val="Style_13_ch"/>
    <w:link w:val="Style_32"/>
  </w:style>
  <w:style w:styleId="Style_33" w:type="paragraph">
    <w:name w:val="List Heading"/>
    <w:basedOn w:val="Style_6"/>
    <w:next w:val="Style_6"/>
    <w:link w:val="Style_33_ch"/>
    <w:pPr>
      <w:ind w:firstLine="0" w:left="0" w:right="0"/>
    </w:pPr>
  </w:style>
  <w:style w:styleId="Style_33_ch" w:type="character">
    <w:name w:val="List Heading"/>
    <w:basedOn w:val="Style_6_ch"/>
    <w:link w:val="Style_33"/>
  </w:style>
  <w:style w:styleId="Style_34" w:type="paragraph">
    <w:name w:val="List 2 Cont."/>
    <w:basedOn w:val="Style_18"/>
    <w:link w:val="Style_34_ch"/>
    <w:pPr>
      <w:spacing w:after="0" w:before="0"/>
      <w:ind w:firstLine="0" w:left="0" w:right="0"/>
      <w:contextualSpacing w:val="0"/>
    </w:pPr>
  </w:style>
  <w:style w:styleId="Style_34_ch" w:type="character">
    <w:name w:val="List 2 Cont."/>
    <w:basedOn w:val="Style_18_ch"/>
    <w:link w:val="Style_34"/>
  </w:style>
  <w:style w:styleId="Style_35" w:type="paragraph">
    <w:name w:val="Variable"/>
    <w:link w:val="Style_35_ch"/>
    <w:rPr>
      <w:i w:val="1"/>
    </w:rPr>
  </w:style>
  <w:style w:styleId="Style_35_ch" w:type="character">
    <w:name w:val="Variable"/>
    <w:link w:val="Style_35"/>
    <w:rPr>
      <w:i w:val="1"/>
    </w:rPr>
  </w:style>
  <w:style w:styleId="Style_36" w:type="paragraph">
    <w:name w:val="Содержимое таблицы11"/>
    <w:basedOn w:val="Style_6"/>
    <w:next w:val="Style_6"/>
    <w:link w:val="Style_36_ch"/>
    <w:pPr>
      <w:widowControl w:val="0"/>
      <w:ind/>
    </w:pPr>
  </w:style>
  <w:style w:styleId="Style_36_ch" w:type="character">
    <w:name w:val="Содержимое таблицы11"/>
    <w:basedOn w:val="Style_6_ch"/>
    <w:link w:val="Style_36"/>
  </w:style>
  <w:style w:styleId="Style_37" w:type="paragraph">
    <w:name w:val="Numbering 4 Cont."/>
    <w:basedOn w:val="Style_18"/>
    <w:link w:val="Style_37_ch"/>
    <w:pPr>
      <w:spacing w:after="0" w:before="0"/>
      <w:ind w:firstLine="0" w:left="0" w:right="0"/>
      <w:contextualSpacing w:val="0"/>
    </w:pPr>
  </w:style>
  <w:style w:styleId="Style_37_ch" w:type="character">
    <w:name w:val="Numbering 4 Cont."/>
    <w:basedOn w:val="Style_18_ch"/>
    <w:link w:val="Style_37"/>
  </w:style>
  <w:style w:styleId="Style_38" w:type="paragraph">
    <w:name w:val="Endnote"/>
    <w:basedOn w:val="Style_6"/>
    <w:next w:val="Style_6"/>
    <w:link w:val="Style_38_ch"/>
    <w:pPr>
      <w:ind w:firstLine="0" w:left="0" w:right="0"/>
    </w:pPr>
    <w:rPr>
      <w:sz w:val="28"/>
    </w:rPr>
  </w:style>
  <w:style w:styleId="Style_38_ch" w:type="character">
    <w:name w:val="Endnote"/>
    <w:basedOn w:val="Style_6_ch"/>
    <w:link w:val="Style_38"/>
    <w:rPr>
      <w:sz w:val="28"/>
    </w:rPr>
  </w:style>
  <w:style w:styleId="Style_39" w:type="paragraph">
    <w:name w:val="heading 3"/>
    <w:basedOn w:val="Style_24"/>
    <w:next w:val="Style_23"/>
    <w:link w:val="Style_39_ch"/>
    <w:uiPriority w:val="9"/>
    <w:qFormat/>
    <w:pPr>
      <w:spacing w:after="0" w:before="0"/>
      <w:ind/>
      <w:contextualSpacing w:val="0"/>
      <w:outlineLvl w:val="2"/>
    </w:pPr>
  </w:style>
  <w:style w:styleId="Style_39_ch" w:type="character">
    <w:name w:val="heading 3"/>
    <w:basedOn w:val="Style_24_ch"/>
    <w:link w:val="Style_39"/>
  </w:style>
  <w:style w:styleId="Style_40" w:type="paragraph">
    <w:name w:val="List 5 Cont."/>
    <w:basedOn w:val="Style_18"/>
    <w:link w:val="Style_40_ch"/>
    <w:pPr>
      <w:spacing w:after="0" w:before="0"/>
      <w:ind w:firstLine="0" w:left="0" w:right="0"/>
      <w:contextualSpacing w:val="0"/>
    </w:pPr>
  </w:style>
  <w:style w:styleId="Style_40_ch" w:type="character">
    <w:name w:val="List 5 Cont."/>
    <w:basedOn w:val="Style_18_ch"/>
    <w:link w:val="Style_40"/>
  </w:style>
  <w:style w:styleId="Style_41" w:type="paragraph">
    <w:name w:val="List 3 Cont."/>
    <w:basedOn w:val="Style_18"/>
    <w:link w:val="Style_41_ch"/>
    <w:pPr>
      <w:spacing w:after="0" w:before="0"/>
      <w:ind w:firstLine="0" w:left="0" w:right="0"/>
      <w:contextualSpacing w:val="0"/>
    </w:pPr>
  </w:style>
  <w:style w:styleId="Style_41_ch" w:type="character">
    <w:name w:val="List 3 Cont."/>
    <w:basedOn w:val="Style_18_ch"/>
    <w:link w:val="Style_41"/>
  </w:style>
  <w:style w:styleId="Style_42" w:type="paragraph">
    <w:name w:val="Addressee"/>
    <w:basedOn w:val="Style_6"/>
    <w:next w:val="Style_6"/>
    <w:link w:val="Style_42_ch"/>
    <w:pPr>
      <w:spacing w:after="0" w:before="0"/>
      <w:ind/>
      <w:contextualSpacing w:val="0"/>
    </w:pPr>
  </w:style>
  <w:style w:styleId="Style_42_ch" w:type="character">
    <w:name w:val="Addressee"/>
    <w:basedOn w:val="Style_6_ch"/>
    <w:link w:val="Style_42"/>
  </w:style>
  <w:style w:styleId="Style_43" w:type="paragraph">
    <w:name w:val="User Index 1"/>
    <w:basedOn w:val="Style_13"/>
    <w:link w:val="Style_43_ch"/>
    <w:pPr>
      <w:tabs>
        <w:tab w:leader="dot" w:pos="9638" w:val="right"/>
      </w:tabs>
      <w:ind w:firstLine="0" w:left="0" w:right="0"/>
    </w:pPr>
  </w:style>
  <w:style w:styleId="Style_43_ch" w:type="character">
    <w:name w:val="User Index 1"/>
    <w:basedOn w:val="Style_13_ch"/>
    <w:link w:val="Style_43"/>
  </w:style>
  <w:style w:styleId="Style_44" w:type="paragraph">
    <w:name w:val="Bibliography Heading"/>
    <w:basedOn w:val="Style_24"/>
    <w:link w:val="Style_44_ch"/>
    <w:pPr>
      <w:ind w:firstLine="0" w:left="0" w:right="0"/>
    </w:pPr>
  </w:style>
  <w:style w:styleId="Style_44_ch" w:type="character">
    <w:name w:val="Bibliography Heading"/>
    <w:basedOn w:val="Style_24_ch"/>
    <w:link w:val="Style_44"/>
  </w:style>
  <w:style w:styleId="Style_45" w:type="paragraph">
    <w:name w:val="Figure Index Heading"/>
    <w:basedOn w:val="Style_24"/>
    <w:link w:val="Style_45_ch"/>
    <w:pPr>
      <w:ind w:firstLine="0" w:left="0" w:right="0"/>
      <w:jc w:val="center"/>
    </w:pPr>
  </w:style>
  <w:style w:styleId="Style_45_ch" w:type="character">
    <w:name w:val="Figure Index Heading"/>
    <w:basedOn w:val="Style_24_ch"/>
    <w:link w:val="Style_45"/>
  </w:style>
  <w:style w:styleId="Style_46" w:type="paragraph">
    <w:name w:val="heading 9"/>
    <w:basedOn w:val="Style_24"/>
    <w:next w:val="Style_23"/>
    <w:link w:val="Style_46_ch"/>
    <w:uiPriority w:val="9"/>
    <w:qFormat/>
    <w:pPr>
      <w:spacing w:after="0" w:before="0"/>
      <w:ind/>
      <w:contextualSpacing w:val="0"/>
    </w:pPr>
  </w:style>
  <w:style w:styleId="Style_46_ch" w:type="character">
    <w:name w:val="heading 9"/>
    <w:basedOn w:val="Style_24_ch"/>
    <w:link w:val="Style_46"/>
  </w:style>
  <w:style w:styleId="Style_47" w:type="paragraph">
    <w:name w:val="List 3"/>
    <w:basedOn w:val="Style_18"/>
    <w:link w:val="Style_47_ch"/>
    <w:pPr>
      <w:spacing w:after="0" w:before="0"/>
      <w:ind w:firstLine="0" w:left="0" w:right="0"/>
      <w:contextualSpacing w:val="0"/>
    </w:pPr>
  </w:style>
  <w:style w:styleId="Style_47_ch" w:type="character">
    <w:name w:val="List 3"/>
    <w:basedOn w:val="Style_18_ch"/>
    <w:link w:val="Style_47"/>
  </w:style>
  <w:style w:styleId="Style_48" w:type="paragraph">
    <w:name w:val="User Index 6"/>
    <w:basedOn w:val="Style_13"/>
    <w:link w:val="Style_48_ch"/>
    <w:pPr>
      <w:tabs>
        <w:tab w:leader="dot" w:pos="8223" w:val="right"/>
      </w:tabs>
      <w:ind w:firstLine="0" w:left="0" w:right="0"/>
    </w:pPr>
  </w:style>
  <w:style w:styleId="Style_48_ch" w:type="character">
    <w:name w:val="User Index 6"/>
    <w:basedOn w:val="Style_13_ch"/>
    <w:link w:val="Style_48"/>
  </w:style>
  <w:style w:styleId="Style_49" w:type="paragraph">
    <w:name w:val="List 1"/>
    <w:basedOn w:val="Style_18"/>
    <w:link w:val="Style_49_ch"/>
    <w:pPr>
      <w:numPr>
        <w:numId w:val="1"/>
      </w:numPr>
      <w:spacing w:after="0" w:before="0"/>
      <w:ind/>
      <w:contextualSpacing w:val="0"/>
    </w:pPr>
  </w:style>
  <w:style w:styleId="Style_49_ch" w:type="character">
    <w:name w:val="List 1"/>
    <w:basedOn w:val="Style_18_ch"/>
    <w:link w:val="Style_49"/>
  </w:style>
  <w:style w:styleId="Style_50" w:type="paragraph">
    <w:name w:val="User Entry"/>
    <w:link w:val="Style_50_ch"/>
    <w:rPr>
      <w:rFonts w:ascii="Liberation Mono" w:hAnsi="Liberation Mono"/>
    </w:rPr>
  </w:style>
  <w:style w:styleId="Style_50_ch" w:type="character">
    <w:name w:val="User Entry"/>
    <w:link w:val="Style_50"/>
    <w:rPr>
      <w:rFonts w:ascii="Liberation Mono" w:hAnsi="Liberation Mono"/>
    </w:rPr>
  </w:style>
  <w:style w:styleId="Style_51" w:type="paragraph">
    <w:name w:val="Footnote Symbol"/>
    <w:link w:val="Style_51_ch"/>
  </w:style>
  <w:style w:styleId="Style_51_ch" w:type="character">
    <w:name w:val="Footnote Symbol"/>
    <w:link w:val="Style_51"/>
  </w:style>
  <w:style w:styleId="Style_7" w:type="paragraph">
    <w:name w:val="Исполнитель документа"/>
    <w:basedOn w:val="Style_6"/>
    <w:next w:val="Style_6"/>
    <w:link w:val="Style_7_ch"/>
    <w:pPr>
      <w:ind/>
      <w:jc w:val="left"/>
    </w:pPr>
    <w:rPr>
      <w:sz w:val="24"/>
    </w:rPr>
  </w:style>
  <w:style w:styleId="Style_7_ch" w:type="character">
    <w:name w:val="Исполнитель документа"/>
    <w:basedOn w:val="Style_6_ch"/>
    <w:link w:val="Style_7"/>
    <w:rPr>
      <w:sz w:val="24"/>
    </w:rPr>
  </w:style>
  <w:style w:styleId="Style_52" w:type="paragraph">
    <w:name w:val="List Indent"/>
    <w:basedOn w:val="Style_23"/>
    <w:next w:val="Style_23"/>
    <w:link w:val="Style_52_ch"/>
    <w:pPr>
      <w:tabs>
        <w:tab w:leader="none" w:pos="0" w:val="left"/>
      </w:tabs>
      <w:ind w:firstLine="0" w:left="0" w:right="0"/>
    </w:pPr>
  </w:style>
  <w:style w:styleId="Style_52_ch" w:type="character">
    <w:name w:val="List Indent"/>
    <w:basedOn w:val="Style_23_ch"/>
    <w:link w:val="Style_52"/>
  </w:style>
  <w:style w:styleId="Style_53" w:type="paragraph">
    <w:name w:val="Page Number"/>
    <w:link w:val="Style_53_ch"/>
  </w:style>
  <w:style w:styleId="Style_53_ch" w:type="character">
    <w:name w:val="Page Number"/>
    <w:link w:val="Style_53"/>
  </w:style>
  <w:style w:styleId="Style_54" w:type="paragraph">
    <w:name w:val="List 5 End"/>
    <w:basedOn w:val="Style_18"/>
    <w:next w:val="Style_17"/>
    <w:link w:val="Style_54_ch"/>
    <w:pPr>
      <w:spacing w:after="0" w:before="0"/>
      <w:ind w:firstLine="0" w:left="0" w:right="0"/>
      <w:contextualSpacing w:val="0"/>
    </w:pPr>
  </w:style>
  <w:style w:styleId="Style_54_ch" w:type="character">
    <w:name w:val="List 5 End"/>
    <w:basedOn w:val="Style_18_ch"/>
    <w:link w:val="Style_54"/>
  </w:style>
  <w:style w:styleId="Style_55" w:type="paragraph">
    <w:name w:val="Signature"/>
    <w:basedOn w:val="Style_6"/>
    <w:next w:val="Style_6"/>
    <w:link w:val="Style_55_ch"/>
    <w:pPr>
      <w:tabs>
        <w:tab w:leader="none" w:pos="31748" w:val="right"/>
      </w:tabs>
      <w:ind w:firstLine="0" w:left="0" w:right="0"/>
      <w:jc w:val="left"/>
    </w:pPr>
  </w:style>
  <w:style w:styleId="Style_55_ch" w:type="character">
    <w:name w:val="Signature"/>
    <w:basedOn w:val="Style_6_ch"/>
    <w:link w:val="Style_55"/>
  </w:style>
  <w:style w:styleId="Style_56" w:type="paragraph">
    <w:name w:val="List 2 Start"/>
    <w:basedOn w:val="Style_18"/>
    <w:next w:val="Style_57"/>
    <w:link w:val="Style_56_ch"/>
    <w:pPr>
      <w:spacing w:after="0" w:before="0"/>
      <w:ind w:firstLine="0" w:left="0" w:right="0"/>
      <w:contextualSpacing w:val="0"/>
    </w:pPr>
  </w:style>
  <w:style w:styleId="Style_56_ch" w:type="character">
    <w:name w:val="List 2 Start"/>
    <w:basedOn w:val="Style_18_ch"/>
    <w:link w:val="Style_56"/>
  </w:style>
  <w:style w:styleId="Style_58" w:type="paragraph">
    <w:name w:val="Bullet Symbols"/>
    <w:link w:val="Style_58_ch"/>
    <w:rPr>
      <w:rFonts w:ascii="OpenSymbol" w:hAnsi="OpenSymbol"/>
    </w:rPr>
  </w:style>
  <w:style w:styleId="Style_58_ch" w:type="character">
    <w:name w:val="Bullet Symbols"/>
    <w:link w:val="Style_58"/>
    <w:rPr>
      <w:rFonts w:ascii="OpenSymbol" w:hAnsi="OpenSymbol"/>
    </w:rPr>
  </w:style>
  <w:style w:styleId="Style_59" w:type="paragraph">
    <w:name w:val="Caption"/>
    <w:basedOn w:val="Style_6"/>
    <w:next w:val="Style_6"/>
    <w:link w:val="Style_59_ch"/>
    <w:pPr>
      <w:spacing w:after="0" w:before="0"/>
      <w:ind/>
      <w:contextualSpacing w:val="0"/>
    </w:pPr>
    <w:rPr>
      <w:i w:val="0"/>
      <w:sz w:val="28"/>
    </w:rPr>
  </w:style>
  <w:style w:styleId="Style_59_ch" w:type="character">
    <w:name w:val="Caption"/>
    <w:basedOn w:val="Style_6_ch"/>
    <w:link w:val="Style_59"/>
    <w:rPr>
      <w:i w:val="0"/>
      <w:sz w:val="28"/>
    </w:rPr>
  </w:style>
  <w:style w:styleId="Style_60" w:type="paragraph">
    <w:name w:val="Numbering 3 Cont."/>
    <w:basedOn w:val="Style_18"/>
    <w:link w:val="Style_60_ch"/>
    <w:pPr>
      <w:spacing w:after="0" w:before="0"/>
      <w:ind w:firstLine="0" w:left="0" w:right="0"/>
      <w:contextualSpacing w:val="0"/>
    </w:pPr>
  </w:style>
  <w:style w:styleId="Style_60_ch" w:type="character">
    <w:name w:val="Numbering 3 Cont."/>
    <w:basedOn w:val="Style_18_ch"/>
    <w:link w:val="Style_60"/>
  </w:style>
  <w:style w:styleId="Style_61" w:type="paragraph">
    <w:name w:val="Preformatted Text"/>
    <w:basedOn w:val="Style_6"/>
    <w:next w:val="Style_6"/>
    <w:link w:val="Style_61_ch"/>
    <w:pPr>
      <w:spacing w:after="0" w:before="0"/>
      <w:ind/>
      <w:contextualSpacing w:val="0"/>
    </w:pPr>
    <w:rPr>
      <w:rFonts w:ascii="PT Astra Serif" w:hAnsi="PT Astra Serif"/>
      <w:sz w:val="28"/>
    </w:rPr>
  </w:style>
  <w:style w:styleId="Style_61_ch" w:type="character">
    <w:name w:val="Preformatted Text"/>
    <w:basedOn w:val="Style_6_ch"/>
    <w:link w:val="Style_61"/>
    <w:rPr>
      <w:rFonts w:ascii="PT Astra Serif" w:hAnsi="PT Astra Serif"/>
      <w:sz w:val="28"/>
    </w:rPr>
  </w:style>
  <w:style w:styleId="Style_62" w:type="paragraph">
    <w:name w:val="Numbering 5 Cont."/>
    <w:basedOn w:val="Style_18"/>
    <w:link w:val="Style_62_ch"/>
    <w:pPr>
      <w:spacing w:after="0" w:before="0"/>
      <w:ind w:firstLine="0" w:left="0" w:right="0"/>
      <w:contextualSpacing w:val="0"/>
    </w:pPr>
  </w:style>
  <w:style w:styleId="Style_62_ch" w:type="character">
    <w:name w:val="Numbering 5 Cont."/>
    <w:basedOn w:val="Style_18_ch"/>
    <w:link w:val="Style_62"/>
  </w:style>
  <w:style w:styleId="Style_63" w:type="paragraph">
    <w:name w:val="Text"/>
    <w:basedOn w:val="Style_59"/>
    <w:link w:val="Style_63_ch"/>
  </w:style>
  <w:style w:styleId="Style_63_ch" w:type="character">
    <w:name w:val="Text"/>
    <w:basedOn w:val="Style_59_ch"/>
    <w:link w:val="Style_63"/>
  </w:style>
  <w:style w:styleId="Style_64" w:type="paragraph">
    <w:name w:val="Numbering 2 Start"/>
    <w:basedOn w:val="Style_18"/>
    <w:next w:val="Style_25"/>
    <w:link w:val="Style_64_ch"/>
    <w:pPr>
      <w:spacing w:after="0" w:before="0"/>
      <w:ind w:firstLine="0" w:left="0" w:right="0"/>
      <w:contextualSpacing w:val="0"/>
    </w:pPr>
  </w:style>
  <w:style w:styleId="Style_64_ch" w:type="character">
    <w:name w:val="Numbering 2 Start"/>
    <w:basedOn w:val="Style_18_ch"/>
    <w:link w:val="Style_64"/>
  </w:style>
  <w:style w:styleId="Style_57" w:type="paragraph">
    <w:name w:val="List 2"/>
    <w:basedOn w:val="Style_18"/>
    <w:link w:val="Style_57_ch"/>
    <w:pPr>
      <w:spacing w:after="0" w:before="0"/>
      <w:ind w:firstLine="0" w:left="0" w:right="0"/>
      <w:contextualSpacing w:val="0"/>
    </w:pPr>
  </w:style>
  <w:style w:styleId="Style_57_ch" w:type="character">
    <w:name w:val="List 2"/>
    <w:basedOn w:val="Style_18_ch"/>
    <w:link w:val="Style_57"/>
  </w:style>
  <w:style w:styleId="Style_65" w:type="paragraph">
    <w:name w:val="toc 3"/>
    <w:basedOn w:val="Style_13"/>
    <w:link w:val="Style_65_ch"/>
    <w:uiPriority w:val="39"/>
    <w:pPr>
      <w:tabs>
        <w:tab w:leader="dot" w:pos="9072" w:val="right"/>
      </w:tabs>
      <w:ind w:firstLine="0" w:left="0" w:right="0"/>
    </w:pPr>
  </w:style>
  <w:style w:styleId="Style_65_ch" w:type="character">
    <w:name w:val="toc 3"/>
    <w:basedOn w:val="Style_13_ch"/>
    <w:link w:val="Style_65"/>
  </w:style>
  <w:style w:styleId="Style_66" w:type="paragraph">
    <w:name w:val="Illustration Index 1"/>
    <w:basedOn w:val="Style_13"/>
    <w:link w:val="Style_66_ch"/>
    <w:pPr>
      <w:tabs>
        <w:tab w:leader="dot" w:pos="9638" w:val="right"/>
      </w:tabs>
      <w:ind w:firstLine="0" w:left="0" w:right="0"/>
    </w:pPr>
  </w:style>
  <w:style w:styleId="Style_66_ch" w:type="character">
    <w:name w:val="Illustration Index 1"/>
    <w:basedOn w:val="Style_13_ch"/>
    <w:link w:val="Style_66"/>
  </w:style>
  <w:style w:styleId="Style_67" w:type="paragraph">
    <w:name w:val="List 4 Start"/>
    <w:basedOn w:val="Style_18"/>
    <w:next w:val="Style_68"/>
    <w:link w:val="Style_67_ch"/>
    <w:pPr>
      <w:spacing w:after="0" w:before="0"/>
      <w:ind w:firstLine="0" w:left="0" w:right="0"/>
      <w:contextualSpacing w:val="0"/>
    </w:pPr>
  </w:style>
  <w:style w:styleId="Style_67_ch" w:type="character">
    <w:name w:val="List 4 Start"/>
    <w:basedOn w:val="Style_18_ch"/>
    <w:link w:val="Style_67"/>
  </w:style>
  <w:style w:styleId="Style_69" w:type="paragraph">
    <w:name w:val="Quotations"/>
    <w:basedOn w:val="Style_6"/>
    <w:next w:val="Style_6"/>
    <w:link w:val="Style_69_ch"/>
    <w:pPr>
      <w:spacing w:after="0" w:before="0"/>
      <w:ind w:firstLine="0" w:left="0" w:right="0"/>
      <w:contextualSpacing w:val="0"/>
    </w:pPr>
  </w:style>
  <w:style w:styleId="Style_69_ch" w:type="character">
    <w:name w:val="Quotations"/>
    <w:basedOn w:val="Style_6_ch"/>
    <w:link w:val="Style_69"/>
  </w:style>
  <w:style w:styleId="Style_70" w:type="paragraph">
    <w:name w:val="List 4 Cont."/>
    <w:basedOn w:val="Style_18"/>
    <w:link w:val="Style_70_ch"/>
    <w:pPr>
      <w:spacing w:after="0" w:before="0"/>
      <w:ind w:firstLine="0" w:left="0" w:right="0"/>
      <w:contextualSpacing w:val="0"/>
    </w:pPr>
  </w:style>
  <w:style w:styleId="Style_70_ch" w:type="character">
    <w:name w:val="List 4 Cont."/>
    <w:basedOn w:val="Style_18_ch"/>
    <w:link w:val="Style_70"/>
  </w:style>
  <w:style w:styleId="Style_9" w:type="paragraph">
    <w:name w:val="Table Contents"/>
    <w:basedOn w:val="Style_6"/>
    <w:next w:val="Style_6"/>
    <w:link w:val="Style_9_ch"/>
  </w:style>
  <w:style w:styleId="Style_9_ch" w:type="character">
    <w:name w:val="Table Contents"/>
    <w:basedOn w:val="Style_6_ch"/>
    <w:link w:val="Style_9"/>
  </w:style>
  <w:style w:styleId="Style_71" w:type="paragraph">
    <w:name w:val="No Spacing11"/>
    <w:link w:val="Style_71_ch"/>
    <w:pPr>
      <w:widowControl w:val="1"/>
      <w:spacing w:after="0" w:before="0" w:line="240" w:lineRule="auto"/>
      <w:ind w:firstLine="0" w:left="0" w:right="0"/>
      <w:contextualSpacing w:val="0"/>
      <w:jc w:val="left"/>
    </w:pPr>
    <w:rPr>
      <w:rFonts w:ascii="Calibri" w:hAnsi="Calibri"/>
      <w:color w:val="000000"/>
      <w:sz w:val="22"/>
    </w:rPr>
  </w:style>
  <w:style w:styleId="Style_71_ch" w:type="character">
    <w:name w:val="No Spacing11"/>
    <w:link w:val="Style_71"/>
    <w:rPr>
      <w:rFonts w:ascii="Calibri" w:hAnsi="Calibri"/>
      <w:color w:val="000000"/>
      <w:sz w:val="22"/>
    </w:rPr>
  </w:style>
  <w:style w:styleId="Style_72" w:type="paragraph">
    <w:name w:val="Index 1"/>
    <w:basedOn w:val="Style_13"/>
    <w:link w:val="Style_72_ch"/>
    <w:pPr>
      <w:ind w:firstLine="0" w:left="0" w:right="0"/>
    </w:pPr>
  </w:style>
  <w:style w:styleId="Style_72_ch" w:type="character">
    <w:name w:val="Index 1"/>
    <w:basedOn w:val="Style_13_ch"/>
    <w:link w:val="Style_72"/>
  </w:style>
  <w:style w:styleId="Style_73" w:type="paragraph">
    <w:name w:val="User Index Heading"/>
    <w:basedOn w:val="Style_24"/>
    <w:link w:val="Style_73_ch"/>
  </w:style>
  <w:style w:styleId="Style_73_ch" w:type="character">
    <w:name w:val="User Index Heading"/>
    <w:basedOn w:val="Style_24_ch"/>
    <w:link w:val="Style_73"/>
  </w:style>
  <w:style w:styleId="Style_74" w:type="paragraph">
    <w:name w:val="Contents Heading"/>
    <w:basedOn w:val="Style_24"/>
    <w:next w:val="Style_75"/>
    <w:link w:val="Style_74_ch"/>
    <w:pPr>
      <w:ind w:firstLine="0" w:left="0" w:right="0"/>
    </w:pPr>
  </w:style>
  <w:style w:styleId="Style_74_ch" w:type="character">
    <w:name w:val="Contents Heading"/>
    <w:basedOn w:val="Style_24_ch"/>
    <w:link w:val="Style_74"/>
  </w:style>
  <w:style w:styleId="Style_76" w:type="paragraph">
    <w:name w:val="Emphasis"/>
    <w:link w:val="Style_76_ch"/>
    <w:rPr>
      <w:i w:val="1"/>
    </w:rPr>
  </w:style>
  <w:style w:styleId="Style_76_ch" w:type="character">
    <w:name w:val="Emphasis"/>
    <w:link w:val="Style_76"/>
    <w:rPr>
      <w:i w:val="1"/>
    </w:rPr>
  </w:style>
  <w:style w:styleId="Style_77" w:type="paragraph">
    <w:name w:val="User Index 9"/>
    <w:basedOn w:val="Style_13"/>
    <w:link w:val="Style_77_ch"/>
    <w:pPr>
      <w:tabs>
        <w:tab w:leader="dot" w:pos="7374" w:val="right"/>
      </w:tabs>
      <w:ind w:firstLine="0" w:left="0" w:right="0"/>
    </w:pPr>
  </w:style>
  <w:style w:styleId="Style_77_ch" w:type="character">
    <w:name w:val="User Index 9"/>
    <w:basedOn w:val="Style_13_ch"/>
    <w:link w:val="Style_77"/>
  </w:style>
  <w:style w:styleId="Style_1" w:type="paragraph">
    <w:name w:val="Header"/>
    <w:basedOn w:val="Style_6"/>
    <w:next w:val="Style_6"/>
    <w:link w:val="Style_1_ch"/>
    <w:pPr>
      <w:tabs>
        <w:tab w:leader="none" w:pos="4819" w:val="center"/>
        <w:tab w:leader="none" w:pos="9638" w:val="right"/>
      </w:tabs>
      <w:ind/>
      <w:jc w:val="center"/>
    </w:pPr>
  </w:style>
  <w:style w:styleId="Style_1_ch" w:type="character">
    <w:name w:val="Header"/>
    <w:basedOn w:val="Style_6_ch"/>
    <w:link w:val="Style_1"/>
  </w:style>
  <w:style w:styleId="Style_78" w:type="paragraph">
    <w:name w:val="Object index heading"/>
    <w:basedOn w:val="Style_24"/>
    <w:link w:val="Style_78_ch"/>
    <w:pPr>
      <w:ind w:firstLine="0" w:left="0" w:right="0"/>
    </w:pPr>
  </w:style>
  <w:style w:styleId="Style_78_ch" w:type="character">
    <w:name w:val="Object index heading"/>
    <w:basedOn w:val="Style_24_ch"/>
    <w:link w:val="Style_78"/>
  </w:style>
  <w:style w:styleId="Style_79" w:type="paragraph">
    <w:name w:val="Numbering 2 End"/>
    <w:basedOn w:val="Style_18"/>
    <w:next w:val="Style_25"/>
    <w:link w:val="Style_79_ch"/>
    <w:pPr>
      <w:spacing w:after="0" w:before="0"/>
      <w:ind w:firstLine="0" w:left="0" w:right="0"/>
      <w:contextualSpacing w:val="0"/>
    </w:pPr>
  </w:style>
  <w:style w:styleId="Style_79_ch" w:type="character">
    <w:name w:val="Numbering 2 End"/>
    <w:basedOn w:val="Style_18_ch"/>
    <w:link w:val="Style_79"/>
  </w:style>
  <w:style w:styleId="Style_80" w:type="paragraph">
    <w:name w:val="Numbering 3 End"/>
    <w:basedOn w:val="Style_18"/>
    <w:next w:val="Style_81"/>
    <w:link w:val="Style_80_ch"/>
    <w:pPr>
      <w:spacing w:after="0" w:before="0"/>
      <w:ind w:firstLine="0" w:left="0" w:right="0"/>
      <w:contextualSpacing w:val="0"/>
    </w:pPr>
  </w:style>
  <w:style w:styleId="Style_80_ch" w:type="character">
    <w:name w:val="Numbering 3 End"/>
    <w:basedOn w:val="Style_18_ch"/>
    <w:link w:val="Style_80"/>
  </w:style>
  <w:style w:styleId="Style_82" w:type="paragraph">
    <w:name w:val="heading 5"/>
    <w:basedOn w:val="Style_24"/>
    <w:next w:val="Style_23"/>
    <w:link w:val="Style_82_ch"/>
    <w:uiPriority w:val="9"/>
    <w:qFormat/>
    <w:pPr>
      <w:spacing w:after="0" w:before="0"/>
      <w:ind/>
      <w:contextualSpacing w:val="0"/>
    </w:pPr>
  </w:style>
  <w:style w:styleId="Style_82_ch" w:type="character">
    <w:name w:val="heading 5"/>
    <w:basedOn w:val="Style_24_ch"/>
    <w:link w:val="Style_82"/>
  </w:style>
  <w:style w:styleId="Style_83" w:type="paragraph">
    <w:name w:val="Numbering 1 Start"/>
    <w:basedOn w:val="Style_18"/>
    <w:next w:val="Style_84"/>
    <w:link w:val="Style_83_ch"/>
    <w:pPr>
      <w:spacing w:after="0" w:before="0"/>
      <w:ind w:firstLine="0" w:left="0" w:right="0"/>
      <w:contextualSpacing w:val="0"/>
    </w:pPr>
  </w:style>
  <w:style w:styleId="Style_83_ch" w:type="character">
    <w:name w:val="Numbering 1 Start"/>
    <w:basedOn w:val="Style_18_ch"/>
    <w:link w:val="Style_83"/>
  </w:style>
  <w:style w:styleId="Style_85" w:type="paragraph">
    <w:name w:val="Drawing"/>
    <w:basedOn w:val="Style_59"/>
    <w:link w:val="Style_85_ch"/>
  </w:style>
  <w:style w:styleId="Style_85_ch" w:type="character">
    <w:name w:val="Drawing"/>
    <w:basedOn w:val="Style_59_ch"/>
    <w:link w:val="Style_85"/>
  </w:style>
  <w:style w:styleId="Style_86" w:type="paragraph">
    <w:name w:val="heading 1"/>
    <w:basedOn w:val="Style_24"/>
    <w:next w:val="Style_8"/>
    <w:link w:val="Style_86_ch"/>
    <w:uiPriority w:val="9"/>
    <w:qFormat/>
    <w:pPr>
      <w:spacing w:after="0" w:before="0"/>
      <w:ind/>
      <w:contextualSpacing w:val="0"/>
      <w:outlineLvl w:val="0"/>
    </w:pPr>
  </w:style>
  <w:style w:styleId="Style_86_ch" w:type="character">
    <w:name w:val="heading 1"/>
    <w:basedOn w:val="Style_24_ch"/>
    <w:link w:val="Style_86"/>
  </w:style>
  <w:style w:styleId="Style_87" w:type="paragraph">
    <w:name w:val="Source Text"/>
    <w:link w:val="Style_87_ch"/>
    <w:rPr>
      <w:rFonts w:ascii="Liberation Mono" w:hAnsi="Liberation Mono"/>
    </w:rPr>
  </w:style>
  <w:style w:styleId="Style_87_ch" w:type="character">
    <w:name w:val="Source Text"/>
    <w:link w:val="Style_87"/>
    <w:rPr>
      <w:rFonts w:ascii="Liberation Mono" w:hAnsi="Liberation Mono"/>
    </w:rPr>
  </w:style>
  <w:style w:styleId="Style_88" w:type="paragraph">
    <w:name w:val="Sender"/>
    <w:basedOn w:val="Style_6"/>
    <w:next w:val="Style_6"/>
    <w:link w:val="Style_88_ch"/>
    <w:pPr>
      <w:spacing w:after="0" w:before="0"/>
      <w:ind/>
      <w:contextualSpacing w:val="0"/>
    </w:pPr>
  </w:style>
  <w:style w:styleId="Style_88_ch" w:type="character">
    <w:name w:val="Sender"/>
    <w:basedOn w:val="Style_6_ch"/>
    <w:link w:val="Style_88"/>
  </w:style>
  <w:style w:styleId="Style_89" w:type="paragraph">
    <w:name w:val="Illustration"/>
    <w:basedOn w:val="Style_59"/>
    <w:link w:val="Style_89_ch"/>
  </w:style>
  <w:style w:styleId="Style_89_ch" w:type="character">
    <w:name w:val="Illustration"/>
    <w:basedOn w:val="Style_59_ch"/>
    <w:link w:val="Style_89"/>
  </w:style>
  <w:style w:styleId="Style_90" w:type="paragraph">
    <w:name w:val="Numbering 4 Start"/>
    <w:basedOn w:val="Style_18"/>
    <w:next w:val="Style_91"/>
    <w:link w:val="Style_90_ch"/>
    <w:pPr>
      <w:spacing w:after="0" w:before="0"/>
      <w:ind w:firstLine="0" w:left="0" w:right="0"/>
      <w:contextualSpacing w:val="0"/>
    </w:pPr>
  </w:style>
  <w:style w:styleId="Style_90_ch" w:type="character">
    <w:name w:val="Numbering 4 Start"/>
    <w:basedOn w:val="Style_18_ch"/>
    <w:link w:val="Style_90"/>
  </w:style>
  <w:style w:styleId="Style_92" w:type="paragraph">
    <w:name w:val="Hyperlink"/>
    <w:link w:val="Style_92_ch"/>
    <w:rPr>
      <w:color w:val="000080"/>
      <w:u w:color="000080" w:val="single"/>
    </w:rPr>
  </w:style>
  <w:style w:styleId="Style_92_ch" w:type="character">
    <w:name w:val="Hyperlink"/>
    <w:link w:val="Style_92"/>
    <w:rPr>
      <w:color w:val="000080"/>
      <w:u w:color="000080" w:val="single"/>
    </w:rPr>
  </w:style>
  <w:style w:styleId="Style_93" w:type="paragraph">
    <w:name w:val="Footnote"/>
    <w:basedOn w:val="Style_6"/>
    <w:next w:val="Style_6"/>
    <w:link w:val="Style_93_ch"/>
    <w:pPr>
      <w:ind w:firstLine="0" w:left="0" w:right="0"/>
      <w:jc w:val="left"/>
    </w:pPr>
    <w:rPr>
      <w:sz w:val="28"/>
    </w:rPr>
  </w:style>
  <w:style w:styleId="Style_93_ch" w:type="character">
    <w:name w:val="Footnote"/>
    <w:basedOn w:val="Style_6_ch"/>
    <w:link w:val="Style_93"/>
    <w:rPr>
      <w:sz w:val="28"/>
    </w:rPr>
  </w:style>
  <w:style w:styleId="Style_94" w:type="paragraph">
    <w:name w:val="heading 8"/>
    <w:basedOn w:val="Style_24"/>
    <w:next w:val="Style_23"/>
    <w:link w:val="Style_94_ch"/>
    <w:uiPriority w:val="9"/>
    <w:qFormat/>
    <w:pPr>
      <w:spacing w:after="0" w:before="0"/>
      <w:ind/>
      <w:contextualSpacing w:val="0"/>
    </w:pPr>
  </w:style>
  <w:style w:styleId="Style_94_ch" w:type="character">
    <w:name w:val="heading 8"/>
    <w:basedOn w:val="Style_24_ch"/>
    <w:link w:val="Style_94"/>
  </w:style>
  <w:style w:styleId="Style_95" w:type="paragraph">
    <w:name w:val="List 1 End"/>
    <w:basedOn w:val="Style_18"/>
    <w:next w:val="Style_49"/>
    <w:link w:val="Style_95_ch"/>
    <w:pPr>
      <w:spacing w:after="0" w:before="0"/>
      <w:ind w:firstLine="0" w:left="0" w:right="0"/>
      <w:contextualSpacing w:val="0"/>
    </w:pPr>
  </w:style>
  <w:style w:styleId="Style_95_ch" w:type="character">
    <w:name w:val="List 1 End"/>
    <w:basedOn w:val="Style_18_ch"/>
    <w:link w:val="Style_95"/>
  </w:style>
  <w:style w:styleId="Style_75" w:type="paragraph">
    <w:name w:val="toc 1"/>
    <w:basedOn w:val="Style_13"/>
    <w:link w:val="Style_75_ch"/>
    <w:uiPriority w:val="39"/>
    <w:pPr>
      <w:tabs>
        <w:tab w:leader="dot" w:pos="9638" w:val="right"/>
      </w:tabs>
      <w:ind w:firstLine="0" w:left="0" w:right="0"/>
    </w:pPr>
  </w:style>
  <w:style w:styleId="Style_75_ch" w:type="character">
    <w:name w:val="toc 1"/>
    <w:basedOn w:val="Style_13_ch"/>
    <w:link w:val="Style_75"/>
  </w:style>
  <w:style w:styleId="Style_96" w:type="paragraph">
    <w:name w:val="Hanging indent"/>
    <w:basedOn w:val="Style_23"/>
    <w:next w:val="Style_23"/>
    <w:link w:val="Style_96_ch"/>
    <w:pPr>
      <w:tabs>
        <w:tab w:leader="none" w:pos="0" w:val="left"/>
      </w:tabs>
      <w:ind w:firstLine="0" w:left="0" w:right="0"/>
    </w:pPr>
  </w:style>
  <w:style w:styleId="Style_96_ch" w:type="character">
    <w:name w:val="Hanging indent"/>
    <w:basedOn w:val="Style_23_ch"/>
    <w:link w:val="Style_96"/>
  </w:style>
  <w:style w:styleId="Style_97" w:type="paragraph">
    <w:name w:val="List 2 End"/>
    <w:basedOn w:val="Style_18"/>
    <w:next w:val="Style_57"/>
    <w:link w:val="Style_97_ch"/>
    <w:pPr>
      <w:spacing w:after="0" w:before="0"/>
      <w:ind w:firstLine="0" w:left="0" w:right="0"/>
      <w:contextualSpacing w:val="0"/>
    </w:pPr>
  </w:style>
  <w:style w:styleId="Style_97_ch" w:type="character">
    <w:name w:val="List 2 End"/>
    <w:basedOn w:val="Style_18_ch"/>
    <w:link w:val="Style_97"/>
  </w:style>
  <w:style w:styleId="Style_98" w:type="paragraph">
    <w:name w:val="Example"/>
    <w:link w:val="Style_98_ch"/>
    <w:rPr>
      <w:rFonts w:ascii="Liberation Mono" w:hAnsi="Liberation Mono"/>
    </w:rPr>
  </w:style>
  <w:style w:styleId="Style_98_ch" w:type="character">
    <w:name w:val="Example"/>
    <w:link w:val="Style_98"/>
    <w:rPr>
      <w:rFonts w:ascii="Liberation Mono" w:hAnsi="Liberation Mono"/>
    </w:rPr>
  </w:style>
  <w:style w:styleId="Style_99" w:type="paragraph">
    <w:name w:val="Footnote anchor"/>
    <w:link w:val="Style_99_ch"/>
    <w:rPr>
      <w:vertAlign w:val="superscript"/>
    </w:rPr>
  </w:style>
  <w:style w:styleId="Style_99_ch" w:type="character">
    <w:name w:val="Footnote anchor"/>
    <w:link w:val="Style_99"/>
    <w:rPr>
      <w:vertAlign w:val="superscript"/>
    </w:rPr>
  </w:style>
  <w:style w:styleId="Style_100" w:type="paragraph">
    <w:name w:val="Index Separator"/>
    <w:basedOn w:val="Style_13"/>
    <w:link w:val="Style_100_ch"/>
    <w:pPr>
      <w:ind w:firstLine="0" w:left="0" w:right="0"/>
    </w:pPr>
  </w:style>
  <w:style w:styleId="Style_100_ch" w:type="character">
    <w:name w:val="Index Separator"/>
    <w:basedOn w:val="Style_13_ch"/>
    <w:link w:val="Style_100"/>
  </w:style>
  <w:style w:styleId="Style_101" w:type="paragraph">
    <w:name w:val="User Index 10"/>
    <w:basedOn w:val="Style_13"/>
    <w:link w:val="Style_101_ch"/>
    <w:pPr>
      <w:tabs>
        <w:tab w:leader="dot" w:pos="7091" w:val="right"/>
      </w:tabs>
      <w:ind w:firstLine="0" w:left="0" w:right="0"/>
    </w:pPr>
  </w:style>
  <w:style w:styleId="Style_101_ch" w:type="character">
    <w:name w:val="User Index 10"/>
    <w:basedOn w:val="Style_13_ch"/>
    <w:link w:val="Style_101"/>
  </w:style>
  <w:style w:styleId="Style_102" w:type="paragraph">
    <w:name w:val="Header left"/>
    <w:basedOn w:val="Style_6"/>
    <w:next w:val="Style_6"/>
    <w:link w:val="Style_102_ch"/>
    <w:pPr>
      <w:tabs>
        <w:tab w:leader="none" w:pos="4819" w:val="center"/>
        <w:tab w:leader="none" w:pos="9638" w:val="right"/>
      </w:tabs>
      <w:ind/>
      <w:jc w:val="left"/>
    </w:pPr>
  </w:style>
  <w:style w:styleId="Style_102_ch" w:type="character">
    <w:name w:val="Header left"/>
    <w:basedOn w:val="Style_6_ch"/>
    <w:link w:val="Style_102"/>
  </w:style>
  <w:style w:styleId="Style_103" w:type="paragraph">
    <w:name w:val="Header and Footer"/>
    <w:basedOn w:val="Style_6"/>
    <w:next w:val="Style_6"/>
    <w:link w:val="Style_103_ch"/>
    <w:pPr>
      <w:tabs>
        <w:tab w:leader="none" w:pos="4819" w:val="center"/>
        <w:tab w:leader="none" w:pos="9638" w:val="right"/>
      </w:tabs>
      <w:ind/>
    </w:pPr>
  </w:style>
  <w:style w:styleId="Style_103_ch" w:type="character">
    <w:name w:val="Header and Footer"/>
    <w:basedOn w:val="Style_6_ch"/>
    <w:link w:val="Style_103"/>
  </w:style>
  <w:style w:styleId="Style_104" w:type="paragraph">
    <w:name w:val="List 4 End"/>
    <w:basedOn w:val="Style_18"/>
    <w:next w:val="Style_68"/>
    <w:link w:val="Style_104_ch"/>
    <w:pPr>
      <w:spacing w:after="0" w:before="0"/>
      <w:ind w:firstLine="0" w:left="0" w:right="0"/>
      <w:contextualSpacing w:val="0"/>
    </w:pPr>
  </w:style>
  <w:style w:styleId="Style_104_ch" w:type="character">
    <w:name w:val="List 4 End"/>
    <w:basedOn w:val="Style_18_ch"/>
    <w:link w:val="Style_104"/>
  </w:style>
  <w:style w:styleId="Style_105" w:type="paragraph">
    <w:name w:val="ListLabel 1"/>
    <w:link w:val="Style_105_ch"/>
    <w:rPr>
      <w:rFonts w:ascii="Serif" w:hAnsi="Serif"/>
      <w:b w:val="0"/>
      <w:i w:val="0"/>
      <w:caps w:val="0"/>
      <w:smallCaps w:val="0"/>
      <w:strike w:val="0"/>
      <w:color w:val="000000"/>
      <w:sz w:val="20"/>
      <w:highlight w:val="white"/>
    </w:rPr>
  </w:style>
  <w:style w:styleId="Style_105_ch" w:type="character">
    <w:name w:val="ListLabel 1"/>
    <w:link w:val="Style_105"/>
    <w:rPr>
      <w:rFonts w:ascii="Serif" w:hAnsi="Serif"/>
      <w:b w:val="0"/>
      <w:i w:val="0"/>
      <w:caps w:val="0"/>
      <w:smallCaps w:val="0"/>
      <w:strike w:val="0"/>
      <w:color w:val="000000"/>
      <w:sz w:val="20"/>
      <w:highlight w:val="white"/>
    </w:rPr>
  </w:style>
  <w:style w:styleId="Style_106" w:type="paragraph">
    <w:name w:val="ListLabel 3"/>
    <w:link w:val="Style_106_ch"/>
    <w:rPr>
      <w:rFonts w:ascii="Serif" w:hAnsi="Serif"/>
      <w:color w:val="000000"/>
      <w:sz w:val="20"/>
    </w:rPr>
  </w:style>
  <w:style w:styleId="Style_106_ch" w:type="character">
    <w:name w:val="ListLabel 3"/>
    <w:link w:val="Style_106"/>
    <w:rPr>
      <w:rFonts w:ascii="Serif" w:hAnsi="Serif"/>
      <w:color w:val="000000"/>
      <w:sz w:val="20"/>
    </w:rPr>
  </w:style>
  <w:style w:styleId="Style_107" w:type="paragraph">
    <w:name w:val="Bibliography 1"/>
    <w:basedOn w:val="Style_13"/>
    <w:link w:val="Style_107_ch"/>
    <w:pPr>
      <w:tabs>
        <w:tab w:leader="dot" w:pos="9638" w:val="right"/>
      </w:tabs>
      <w:ind w:firstLine="0" w:left="0" w:right="0"/>
    </w:pPr>
  </w:style>
  <w:style w:styleId="Style_107_ch" w:type="character">
    <w:name w:val="Bibliography 1"/>
    <w:basedOn w:val="Style_13_ch"/>
    <w:link w:val="Style_107"/>
  </w:style>
  <w:style w:styleId="Style_108" w:type="paragraph">
    <w:name w:val="Strong Emphasis"/>
    <w:link w:val="Style_108_ch"/>
    <w:rPr>
      <w:b w:val="1"/>
    </w:rPr>
  </w:style>
  <w:style w:styleId="Style_108_ch" w:type="character">
    <w:name w:val="Strong Emphasis"/>
    <w:link w:val="Style_108"/>
    <w:rPr>
      <w:b w:val="1"/>
    </w:rPr>
  </w:style>
  <w:style w:styleId="Style_109" w:type="paragraph">
    <w:name w:val="Text body indent"/>
    <w:basedOn w:val="Style_23"/>
    <w:next w:val="Style_23"/>
    <w:link w:val="Style_109_ch"/>
    <w:pPr>
      <w:ind w:firstLine="0" w:left="0" w:right="0"/>
    </w:pPr>
  </w:style>
  <w:style w:styleId="Style_109_ch" w:type="character">
    <w:name w:val="Text body indent"/>
    <w:basedOn w:val="Style_23_ch"/>
    <w:link w:val="Style_109"/>
  </w:style>
  <w:style w:styleId="Style_110" w:type="paragraph">
    <w:name w:val="toc 9"/>
    <w:basedOn w:val="Style_13"/>
    <w:link w:val="Style_110_ch"/>
    <w:uiPriority w:val="39"/>
    <w:pPr>
      <w:tabs>
        <w:tab w:leader="dot" w:pos="7374" w:val="right"/>
      </w:tabs>
      <w:ind w:firstLine="0" w:left="0" w:right="0"/>
    </w:pPr>
  </w:style>
  <w:style w:styleId="Style_110_ch" w:type="character">
    <w:name w:val="toc 9"/>
    <w:basedOn w:val="Style_13_ch"/>
    <w:link w:val="Style_110"/>
  </w:style>
  <w:style w:styleId="Style_21" w:type="paragraph">
    <w:name w:val="Numbering 5"/>
    <w:basedOn w:val="Style_18"/>
    <w:link w:val="Style_21_ch"/>
    <w:pPr>
      <w:spacing w:after="0" w:before="0"/>
      <w:ind w:firstLine="0" w:left="0" w:right="0"/>
      <w:contextualSpacing w:val="0"/>
    </w:pPr>
  </w:style>
  <w:style w:styleId="Style_21_ch" w:type="character">
    <w:name w:val="Numbering 5"/>
    <w:basedOn w:val="Style_18_ch"/>
    <w:link w:val="Style_21"/>
  </w:style>
  <w:style w:styleId="Style_111" w:type="paragraph">
    <w:name w:val="Index Heading"/>
    <w:basedOn w:val="Style_24"/>
    <w:link w:val="Style_111_ch"/>
    <w:pPr>
      <w:ind w:firstLine="0" w:left="0" w:right="0"/>
    </w:pPr>
  </w:style>
  <w:style w:styleId="Style_111_ch" w:type="character">
    <w:name w:val="Index Heading"/>
    <w:basedOn w:val="Style_24_ch"/>
    <w:link w:val="Style_111"/>
  </w:style>
  <w:style w:styleId="Style_112" w:type="paragraph">
    <w:name w:val="Marginalia"/>
    <w:basedOn w:val="Style_23"/>
    <w:next w:val="Style_23"/>
    <w:link w:val="Style_112_ch"/>
    <w:pPr>
      <w:ind w:firstLine="0" w:left="0" w:right="0"/>
    </w:pPr>
  </w:style>
  <w:style w:styleId="Style_112_ch" w:type="character">
    <w:name w:val="Marginalia"/>
    <w:basedOn w:val="Style_23_ch"/>
    <w:link w:val="Style_112"/>
  </w:style>
  <w:style w:styleId="Style_113" w:type="paragraph">
    <w:name w:val="Object index 1"/>
    <w:basedOn w:val="Style_13"/>
    <w:link w:val="Style_113_ch"/>
    <w:pPr>
      <w:tabs>
        <w:tab w:leader="dot" w:pos="9638" w:val="right"/>
      </w:tabs>
      <w:ind w:firstLine="0" w:left="0" w:right="0"/>
    </w:pPr>
  </w:style>
  <w:style w:styleId="Style_113_ch" w:type="character">
    <w:name w:val="Object index 1"/>
    <w:basedOn w:val="Style_13_ch"/>
    <w:link w:val="Style_113"/>
  </w:style>
  <w:style w:styleId="Style_114" w:type="paragraph">
    <w:name w:val="Numbering 4 End"/>
    <w:basedOn w:val="Style_18"/>
    <w:next w:val="Style_91"/>
    <w:link w:val="Style_114_ch"/>
    <w:pPr>
      <w:spacing w:after="0" w:before="0"/>
      <w:ind w:firstLine="0" w:left="0" w:right="0"/>
      <w:contextualSpacing w:val="0"/>
    </w:pPr>
  </w:style>
  <w:style w:styleId="Style_114_ch" w:type="character">
    <w:name w:val="Numbering 4 End"/>
    <w:basedOn w:val="Style_18_ch"/>
    <w:link w:val="Style_114"/>
  </w:style>
  <w:style w:styleId="Style_115" w:type="paragraph">
    <w:name w:val="Footer right"/>
    <w:basedOn w:val="Style_6"/>
    <w:next w:val="Style_6"/>
    <w:link w:val="Style_115_ch"/>
    <w:pPr>
      <w:tabs>
        <w:tab w:leader="none" w:pos="4819" w:val="center"/>
        <w:tab w:leader="none" w:pos="9638" w:val="right"/>
      </w:tabs>
      <w:ind/>
      <w:jc w:val="right"/>
    </w:pPr>
  </w:style>
  <w:style w:styleId="Style_115_ch" w:type="character">
    <w:name w:val="Footer right"/>
    <w:basedOn w:val="Style_6_ch"/>
    <w:link w:val="Style_115"/>
  </w:style>
  <w:style w:styleId="Style_8" w:type="paragraph">
    <w:name w:val="First line indent"/>
    <w:basedOn w:val="Style_6"/>
    <w:next w:val="Style_6"/>
    <w:link w:val="Style_8_ch"/>
    <w:pPr>
      <w:ind w:firstLine="709" w:left="0" w:right="0"/>
      <w:jc w:val="both"/>
    </w:pPr>
  </w:style>
  <w:style w:styleId="Style_8_ch" w:type="character">
    <w:name w:val="First line indent"/>
    <w:basedOn w:val="Style_6_ch"/>
    <w:link w:val="Style_8"/>
  </w:style>
  <w:style w:styleId="Style_116" w:type="paragraph">
    <w:name w:val="List 3 End"/>
    <w:basedOn w:val="Style_18"/>
    <w:next w:val="Style_47"/>
    <w:link w:val="Style_116_ch"/>
    <w:pPr>
      <w:spacing w:after="0" w:before="0"/>
      <w:ind w:firstLine="0" w:left="0" w:right="0"/>
      <w:contextualSpacing w:val="0"/>
    </w:pPr>
  </w:style>
  <w:style w:styleId="Style_116_ch" w:type="character">
    <w:name w:val="List 3 End"/>
    <w:basedOn w:val="Style_18_ch"/>
    <w:link w:val="Style_116"/>
  </w:style>
  <w:style w:styleId="Style_117" w:type="paragraph">
    <w:name w:val="Numbering 1 Cont."/>
    <w:basedOn w:val="Style_18"/>
    <w:link w:val="Style_117_ch"/>
    <w:pPr>
      <w:spacing w:after="0" w:before="0"/>
      <w:ind w:firstLine="0" w:left="0" w:right="0"/>
      <w:contextualSpacing w:val="0"/>
    </w:pPr>
  </w:style>
  <w:style w:styleId="Style_117_ch" w:type="character">
    <w:name w:val="Numbering 1 Cont."/>
    <w:basedOn w:val="Style_18_ch"/>
    <w:link w:val="Style_117"/>
  </w:style>
  <w:style w:styleId="Style_2" w:type="paragraph">
    <w:name w:val="Footer left"/>
    <w:basedOn w:val="Style_6"/>
    <w:next w:val="Style_6"/>
    <w:link w:val="Style_2_ch"/>
    <w:pPr>
      <w:tabs>
        <w:tab w:leader="none" w:pos="4819" w:val="center"/>
        <w:tab w:leader="none" w:pos="9638" w:val="right"/>
      </w:tabs>
      <w:ind/>
      <w:jc w:val="left"/>
    </w:pPr>
  </w:style>
  <w:style w:styleId="Style_2_ch" w:type="character">
    <w:name w:val="Footer left"/>
    <w:basedOn w:val="Style_6_ch"/>
    <w:link w:val="Style_2"/>
  </w:style>
  <w:style w:styleId="Style_118" w:type="paragraph">
    <w:name w:val="Numbering 2 Cont."/>
    <w:basedOn w:val="Style_18"/>
    <w:link w:val="Style_118_ch"/>
    <w:pPr>
      <w:spacing w:after="0" w:before="0"/>
      <w:ind w:firstLine="0" w:left="0" w:right="0"/>
      <w:contextualSpacing w:val="0"/>
    </w:pPr>
  </w:style>
  <w:style w:styleId="Style_118_ch" w:type="character">
    <w:name w:val="Numbering 2 Cont."/>
    <w:basedOn w:val="Style_18_ch"/>
    <w:link w:val="Style_118"/>
  </w:style>
  <w:style w:styleId="Style_119" w:type="paragraph">
    <w:name w:val="toc 8"/>
    <w:basedOn w:val="Style_13"/>
    <w:link w:val="Style_119_ch"/>
    <w:uiPriority w:val="39"/>
    <w:pPr>
      <w:tabs>
        <w:tab w:leader="dot" w:pos="7657" w:val="right"/>
      </w:tabs>
      <w:ind w:firstLine="0" w:left="0" w:right="0"/>
    </w:pPr>
  </w:style>
  <w:style w:styleId="Style_119_ch" w:type="character">
    <w:name w:val="toc 8"/>
    <w:basedOn w:val="Style_13_ch"/>
    <w:link w:val="Style_119"/>
  </w:style>
  <w:style w:styleId="Style_5" w:type="paragraph">
    <w:name w:val="Гриф_Экземпляр"/>
    <w:basedOn w:val="Style_6"/>
    <w:next w:val="Style_6"/>
    <w:link w:val="Style_5_ch"/>
    <w:pPr>
      <w:ind w:firstLine="0" w:left="0" w:right="0"/>
    </w:pPr>
    <w:rPr>
      <w:sz w:val="24"/>
    </w:rPr>
  </w:style>
  <w:style w:styleId="Style_5_ch" w:type="character">
    <w:name w:val="Гриф_Экземпляр"/>
    <w:basedOn w:val="Style_6_ch"/>
    <w:link w:val="Style_5"/>
    <w:rPr>
      <w:sz w:val="24"/>
    </w:rPr>
  </w:style>
  <w:style w:styleId="Style_23" w:type="paragraph">
    <w:name w:val="Text body"/>
    <w:basedOn w:val="Style_6"/>
    <w:next w:val="Style_6"/>
    <w:link w:val="Style_23_ch"/>
    <w:pPr>
      <w:ind/>
      <w:jc w:val="both"/>
    </w:pPr>
  </w:style>
  <w:style w:styleId="Style_23_ch" w:type="character">
    <w:name w:val="Text body"/>
    <w:basedOn w:val="Style_6_ch"/>
    <w:link w:val="Style_23"/>
  </w:style>
  <w:style w:styleId="Style_120" w:type="paragraph">
    <w:name w:val="Index 3"/>
    <w:basedOn w:val="Style_13"/>
    <w:link w:val="Style_120_ch"/>
    <w:pPr>
      <w:ind w:firstLine="0" w:left="0" w:right="0"/>
    </w:pPr>
  </w:style>
  <w:style w:styleId="Style_120_ch" w:type="character">
    <w:name w:val="Index 3"/>
    <w:basedOn w:val="Style_13_ch"/>
    <w:link w:val="Style_120"/>
  </w:style>
  <w:style w:styleId="Style_4" w:type="paragraph">
    <w:name w:val="Footer"/>
    <w:basedOn w:val="Style_6"/>
    <w:next w:val="Style_6"/>
    <w:link w:val="Style_4_ch"/>
    <w:pPr>
      <w:tabs>
        <w:tab w:leader="none" w:pos="4819" w:val="center"/>
        <w:tab w:leader="none" w:pos="9638" w:val="right"/>
      </w:tabs>
      <w:ind/>
      <w:jc w:val="center"/>
    </w:pPr>
  </w:style>
  <w:style w:styleId="Style_4_ch" w:type="character">
    <w:name w:val="Footer"/>
    <w:basedOn w:val="Style_6_ch"/>
    <w:link w:val="Style_4"/>
  </w:style>
  <w:style w:styleId="Style_121" w:type="paragraph">
    <w:name w:val="Salutation"/>
    <w:basedOn w:val="Style_6"/>
    <w:next w:val="Style_6"/>
    <w:link w:val="Style_121_ch"/>
  </w:style>
  <w:style w:styleId="Style_121_ch" w:type="character">
    <w:name w:val="Salutation"/>
    <w:basedOn w:val="Style_6_ch"/>
    <w:link w:val="Style_121"/>
  </w:style>
  <w:style w:styleId="Style_122" w:type="paragraph">
    <w:name w:val="User Index 3"/>
    <w:basedOn w:val="Style_13"/>
    <w:link w:val="Style_122_ch"/>
    <w:pPr>
      <w:tabs>
        <w:tab w:leader="dot" w:pos="9072" w:val="right"/>
      </w:tabs>
      <w:ind w:firstLine="0" w:left="0" w:right="0"/>
    </w:pPr>
  </w:style>
  <w:style w:styleId="Style_122_ch" w:type="character">
    <w:name w:val="User Index 3"/>
    <w:basedOn w:val="Style_13_ch"/>
    <w:link w:val="Style_122"/>
  </w:style>
  <w:style w:styleId="Style_123" w:type="paragraph">
    <w:name w:val="Vertical Numbering Symbols"/>
    <w:link w:val="Style_123_ch"/>
  </w:style>
  <w:style w:styleId="Style_123_ch" w:type="character">
    <w:name w:val="Vertical Numbering Symbols"/>
    <w:link w:val="Style_123"/>
  </w:style>
  <w:style w:styleId="Style_124" w:type="paragraph">
    <w:name w:val="Numbering 5 Start"/>
    <w:basedOn w:val="Style_18"/>
    <w:next w:val="Style_21"/>
    <w:link w:val="Style_124_ch"/>
    <w:pPr>
      <w:spacing w:after="0" w:before="0"/>
      <w:ind w:firstLine="0" w:left="0" w:right="0"/>
      <w:contextualSpacing w:val="0"/>
    </w:pPr>
  </w:style>
  <w:style w:styleId="Style_124_ch" w:type="character">
    <w:name w:val="Numbering 5 Start"/>
    <w:basedOn w:val="Style_18_ch"/>
    <w:link w:val="Style_124"/>
  </w:style>
  <w:style w:styleId="Style_125" w:type="paragraph">
    <w:name w:val="Placeholder"/>
    <w:link w:val="Style_125_ch"/>
    <w:rPr>
      <w:smallCaps w:val="1"/>
      <w:color w:val="008080"/>
      <w:u w:color="008080" w:val="dotted"/>
    </w:rPr>
  </w:style>
  <w:style w:styleId="Style_125_ch" w:type="character">
    <w:name w:val="Placeholder"/>
    <w:link w:val="Style_125"/>
    <w:rPr>
      <w:smallCaps w:val="1"/>
      <w:color w:val="008080"/>
      <w:u w:color="008080" w:val="dotted"/>
    </w:rPr>
  </w:style>
  <w:style w:styleId="Style_126" w:type="paragraph">
    <w:name w:val="Main index entry"/>
    <w:link w:val="Style_126_ch"/>
    <w:rPr>
      <w:b w:val="1"/>
    </w:rPr>
  </w:style>
  <w:style w:styleId="Style_126_ch" w:type="character">
    <w:name w:val="Main index entry"/>
    <w:link w:val="Style_126"/>
    <w:rPr>
      <w:b w:val="1"/>
    </w:rPr>
  </w:style>
  <w:style w:styleId="Style_127" w:type="paragraph">
    <w:name w:val="Table"/>
    <w:basedOn w:val="Style_59"/>
    <w:link w:val="Style_127_ch"/>
  </w:style>
  <w:style w:styleId="Style_127_ch" w:type="character">
    <w:name w:val="Table"/>
    <w:basedOn w:val="Style_59_ch"/>
    <w:link w:val="Style_127"/>
  </w:style>
  <w:style w:styleId="Style_128" w:type="paragraph">
    <w:name w:val="toc 5"/>
    <w:basedOn w:val="Style_13"/>
    <w:link w:val="Style_128_ch"/>
    <w:uiPriority w:val="39"/>
    <w:pPr>
      <w:tabs>
        <w:tab w:leader="dot" w:pos="8506" w:val="right"/>
      </w:tabs>
      <w:ind w:firstLine="0" w:left="0" w:right="0"/>
    </w:pPr>
  </w:style>
  <w:style w:styleId="Style_128_ch" w:type="character">
    <w:name w:val="toc 5"/>
    <w:basedOn w:val="Style_13_ch"/>
    <w:link w:val="Style_128"/>
  </w:style>
  <w:style w:styleId="Style_129" w:type="paragraph">
    <w:name w:val="Index Link"/>
    <w:link w:val="Style_129_ch"/>
  </w:style>
  <w:style w:styleId="Style_129_ch" w:type="character">
    <w:name w:val="Index Link"/>
    <w:link w:val="Style_129"/>
  </w:style>
  <w:style w:styleId="Style_13" w:type="paragraph">
    <w:name w:val="Index"/>
    <w:basedOn w:val="Style_6"/>
    <w:next w:val="Style_6"/>
    <w:link w:val="Style_13_ch"/>
    <w:pPr>
      <w:ind/>
      <w:jc w:val="left"/>
    </w:pPr>
  </w:style>
  <w:style w:styleId="Style_13_ch" w:type="character">
    <w:name w:val="Index"/>
    <w:basedOn w:val="Style_6_ch"/>
    <w:link w:val="Style_13"/>
  </w:style>
  <w:style w:styleId="Style_130" w:type="paragraph">
    <w:name w:val="User Index 8"/>
    <w:basedOn w:val="Style_13"/>
    <w:link w:val="Style_130_ch"/>
    <w:pPr>
      <w:tabs>
        <w:tab w:leader="dot" w:pos="7657" w:val="right"/>
      </w:tabs>
      <w:ind w:firstLine="0" w:left="0" w:right="0"/>
    </w:pPr>
  </w:style>
  <w:style w:styleId="Style_130_ch" w:type="character">
    <w:name w:val="User Index 8"/>
    <w:basedOn w:val="Style_13_ch"/>
    <w:link w:val="Style_130"/>
  </w:style>
  <w:style w:styleId="Style_131" w:type="paragraph">
    <w:name w:val="List 1 Start"/>
    <w:basedOn w:val="Style_18"/>
    <w:next w:val="Style_49"/>
    <w:link w:val="Style_131_ch"/>
    <w:pPr>
      <w:spacing w:after="0" w:before="0"/>
      <w:ind w:firstLine="0" w:left="0" w:right="0"/>
      <w:contextualSpacing w:val="0"/>
    </w:pPr>
  </w:style>
  <w:style w:styleId="Style_131_ch" w:type="character">
    <w:name w:val="List 1 Start"/>
    <w:basedOn w:val="Style_18_ch"/>
    <w:link w:val="Style_131"/>
  </w:style>
  <w:style w:styleId="Style_132" w:type="paragraph">
    <w:name w:val="Frame contents"/>
    <w:basedOn w:val="Style_6"/>
    <w:next w:val="Style_6"/>
    <w:link w:val="Style_132_ch"/>
  </w:style>
  <w:style w:styleId="Style_132_ch" w:type="character">
    <w:name w:val="Frame contents"/>
    <w:basedOn w:val="Style_6_ch"/>
    <w:link w:val="Style_132"/>
  </w:style>
  <w:style w:styleId="Style_133" w:type="paragraph">
    <w:name w:val="Numbering 3 Start"/>
    <w:basedOn w:val="Style_18"/>
    <w:next w:val="Style_81"/>
    <w:link w:val="Style_133_ch"/>
    <w:pPr>
      <w:spacing w:after="0" w:before="0"/>
      <w:ind w:firstLine="0" w:left="0" w:right="0"/>
      <w:contextualSpacing w:val="0"/>
    </w:pPr>
  </w:style>
  <w:style w:styleId="Style_133_ch" w:type="character">
    <w:name w:val="Numbering 3 Start"/>
    <w:basedOn w:val="Style_18_ch"/>
    <w:link w:val="Style_133"/>
  </w:style>
  <w:style w:styleId="Style_84" w:type="paragraph">
    <w:name w:val="Numbering 1"/>
    <w:basedOn w:val="Style_18"/>
    <w:link w:val="Style_84_ch"/>
    <w:pPr>
      <w:numPr>
        <w:numId w:val="2"/>
      </w:numPr>
      <w:spacing w:after="0" w:before="0"/>
      <w:ind/>
      <w:contextualSpacing w:val="0"/>
    </w:pPr>
  </w:style>
  <w:style w:styleId="Style_84_ch" w:type="character">
    <w:name w:val="Numbering 1"/>
    <w:basedOn w:val="Style_18_ch"/>
    <w:link w:val="Style_84"/>
  </w:style>
  <w:style w:styleId="Style_134" w:type="paragraph">
    <w:name w:val="List Contents"/>
    <w:basedOn w:val="Style_6"/>
    <w:next w:val="Style_6"/>
    <w:link w:val="Style_134_ch"/>
    <w:pPr>
      <w:ind w:firstLine="0" w:left="0" w:right="0"/>
    </w:pPr>
  </w:style>
  <w:style w:styleId="Style_134_ch" w:type="character">
    <w:name w:val="List Contents"/>
    <w:basedOn w:val="Style_6_ch"/>
    <w:link w:val="Style_134"/>
  </w:style>
  <w:style w:styleId="Style_81" w:type="paragraph">
    <w:name w:val="Numbering 3"/>
    <w:basedOn w:val="Style_18"/>
    <w:link w:val="Style_81_ch"/>
    <w:pPr>
      <w:spacing w:after="0" w:before="0"/>
      <w:ind w:firstLine="0" w:left="0" w:right="0"/>
      <w:contextualSpacing w:val="0"/>
    </w:pPr>
  </w:style>
  <w:style w:styleId="Style_81_ch" w:type="character">
    <w:name w:val="Numbering 3"/>
    <w:basedOn w:val="Style_18_ch"/>
    <w:link w:val="Style_81"/>
  </w:style>
  <w:style w:styleId="Style_135" w:type="paragraph">
    <w:name w:val="Horizontal Line"/>
    <w:basedOn w:val="Style_6"/>
    <w:next w:val="Style_6"/>
    <w:link w:val="Style_135_ch"/>
    <w:pPr>
      <w:spacing w:after="0" w:before="0"/>
      <w:ind/>
      <w:contextualSpacing w:val="0"/>
    </w:pPr>
    <w:rPr>
      <w:sz w:val="4"/>
    </w:rPr>
  </w:style>
  <w:style w:styleId="Style_135_ch" w:type="character">
    <w:name w:val="Horizontal Line"/>
    <w:basedOn w:val="Style_6_ch"/>
    <w:link w:val="Style_135"/>
    <w:rPr>
      <w:sz w:val="4"/>
    </w:rPr>
  </w:style>
  <w:style w:styleId="Style_136" w:type="paragraph">
    <w:name w:val="Index 2"/>
    <w:basedOn w:val="Style_13"/>
    <w:link w:val="Style_136_ch"/>
    <w:pPr>
      <w:ind w:firstLine="0" w:left="0" w:right="0"/>
    </w:pPr>
  </w:style>
  <w:style w:styleId="Style_136_ch" w:type="character">
    <w:name w:val="Index 2"/>
    <w:basedOn w:val="Style_13_ch"/>
    <w:link w:val="Style_136"/>
  </w:style>
  <w:style w:styleId="Style_137" w:type="paragraph">
    <w:name w:val="List 3 Start"/>
    <w:basedOn w:val="Style_18"/>
    <w:next w:val="Style_47"/>
    <w:link w:val="Style_137_ch"/>
    <w:pPr>
      <w:spacing w:after="0" w:before="0"/>
      <w:ind w:firstLine="0" w:left="0" w:right="0"/>
      <w:contextualSpacing w:val="0"/>
    </w:pPr>
  </w:style>
  <w:style w:styleId="Style_137_ch" w:type="character">
    <w:name w:val="List 3 Start"/>
    <w:basedOn w:val="Style_18_ch"/>
    <w:link w:val="Style_137"/>
  </w:style>
  <w:style w:styleId="Style_138" w:type="paragraph">
    <w:name w:val="Visited Internet Link"/>
    <w:link w:val="Style_138_ch"/>
    <w:rPr>
      <w:color w:val="800000"/>
      <w:u w:color="800000" w:val="single"/>
    </w:rPr>
  </w:style>
  <w:style w:styleId="Style_138_ch" w:type="character">
    <w:name w:val="Visited Internet Link"/>
    <w:link w:val="Style_138"/>
    <w:rPr>
      <w:color w:val="800000"/>
      <w:u w:color="800000" w:val="single"/>
    </w:rPr>
  </w:style>
  <w:style w:styleId="Style_139" w:type="paragraph">
    <w:name w:val="Heading 10"/>
    <w:basedOn w:val="Style_24"/>
    <w:next w:val="Style_23"/>
    <w:link w:val="Style_139_ch"/>
    <w:pPr>
      <w:spacing w:after="0" w:before="0"/>
      <w:ind/>
      <w:contextualSpacing w:val="0"/>
    </w:pPr>
  </w:style>
  <w:style w:styleId="Style_139_ch" w:type="character">
    <w:name w:val="Heading 10"/>
    <w:basedOn w:val="Style_24_ch"/>
    <w:link w:val="Style_139"/>
  </w:style>
  <w:style w:styleId="Style_140" w:type="paragraph">
    <w:name w:val="Subtitle"/>
    <w:basedOn w:val="Style_6"/>
    <w:next w:val="Style_6"/>
    <w:link w:val="Style_140_ch"/>
    <w:uiPriority w:val="11"/>
    <w:qFormat/>
    <w:pPr>
      <w:spacing w:after="0" w:before="0"/>
      <w:ind w:firstLine="0" w:left="709" w:right="0"/>
      <w:contextualSpacing w:val="0"/>
      <w:jc w:val="both"/>
    </w:pPr>
    <w:rPr>
      <w:b w:val="1"/>
    </w:rPr>
  </w:style>
  <w:style w:styleId="Style_140_ch" w:type="character">
    <w:name w:val="Subtitle"/>
    <w:basedOn w:val="Style_6_ch"/>
    <w:link w:val="Style_140"/>
    <w:rPr>
      <w:b w:val="1"/>
    </w:rPr>
  </w:style>
  <w:style w:styleId="Style_17" w:type="paragraph">
    <w:name w:val="List 5"/>
    <w:basedOn w:val="Style_18"/>
    <w:link w:val="Style_17_ch"/>
    <w:pPr>
      <w:spacing w:after="0" w:before="0"/>
      <w:ind w:firstLine="0" w:left="0" w:right="0"/>
      <w:contextualSpacing w:val="0"/>
    </w:pPr>
  </w:style>
  <w:style w:styleId="Style_17_ch" w:type="character">
    <w:name w:val="List 5"/>
    <w:basedOn w:val="Style_18_ch"/>
    <w:link w:val="Style_17"/>
  </w:style>
  <w:style w:styleId="Style_141" w:type="paragraph">
    <w:name w:val="No Spacing1"/>
    <w:link w:val="Style_141_ch"/>
    <w:pPr>
      <w:widowControl w:val="1"/>
      <w:spacing w:after="0" w:before="0" w:line="240" w:lineRule="auto"/>
      <w:ind w:firstLine="0" w:left="0" w:right="0"/>
      <w:contextualSpacing w:val="0"/>
      <w:jc w:val="left"/>
    </w:pPr>
    <w:rPr>
      <w:rFonts w:ascii="Calibri" w:hAnsi="Calibri"/>
      <w:color w:val="000000"/>
      <w:sz w:val="22"/>
    </w:rPr>
  </w:style>
  <w:style w:styleId="Style_141_ch" w:type="character">
    <w:name w:val="No Spacing1"/>
    <w:link w:val="Style_141"/>
    <w:rPr>
      <w:rFonts w:ascii="Calibri" w:hAnsi="Calibri"/>
      <w:color w:val="000000"/>
      <w:sz w:val="22"/>
    </w:rPr>
  </w:style>
  <w:style w:styleId="Style_142" w:type="paragraph">
    <w:name w:val="Endnote Symbol"/>
    <w:link w:val="Style_142_ch"/>
  </w:style>
  <w:style w:styleId="Style_142_ch" w:type="character">
    <w:name w:val="Endnote Symbol"/>
    <w:link w:val="Style_142"/>
  </w:style>
  <w:style w:styleId="Style_143" w:type="paragraph">
    <w:name w:val="Teletype"/>
    <w:link w:val="Style_143_ch"/>
    <w:rPr>
      <w:rFonts w:ascii="Liberation Mono" w:hAnsi="Liberation Mono"/>
    </w:rPr>
  </w:style>
  <w:style w:styleId="Style_143_ch" w:type="character">
    <w:name w:val="Teletype"/>
    <w:link w:val="Style_143"/>
    <w:rPr>
      <w:rFonts w:ascii="Liberation Mono" w:hAnsi="Liberation Mono"/>
    </w:rPr>
  </w:style>
  <w:style w:styleId="Style_144" w:type="paragraph">
    <w:name w:val="User Index 5"/>
    <w:basedOn w:val="Style_13"/>
    <w:link w:val="Style_144_ch"/>
    <w:pPr>
      <w:tabs>
        <w:tab w:leader="dot" w:pos="8506" w:val="right"/>
      </w:tabs>
      <w:ind w:firstLine="0" w:left="0" w:right="0"/>
    </w:pPr>
  </w:style>
  <w:style w:styleId="Style_144_ch" w:type="character">
    <w:name w:val="User Index 5"/>
    <w:basedOn w:val="Style_13_ch"/>
    <w:link w:val="Style_144"/>
  </w:style>
  <w:style w:styleId="Style_145" w:type="paragraph">
    <w:name w:val="Title"/>
    <w:basedOn w:val="Style_6"/>
    <w:next w:val="Style_6"/>
    <w:link w:val="Style_145_ch"/>
    <w:uiPriority w:val="10"/>
    <w:qFormat/>
    <w:pPr>
      <w:spacing w:after="170" w:before="0"/>
      <w:ind/>
      <w:contextualSpacing w:val="0"/>
    </w:pPr>
    <w:rPr>
      <w:b w:val="1"/>
    </w:rPr>
  </w:style>
  <w:style w:styleId="Style_145_ch" w:type="character">
    <w:name w:val="Title"/>
    <w:basedOn w:val="Style_6_ch"/>
    <w:link w:val="Style_145"/>
    <w:rPr>
      <w:b w:val="1"/>
    </w:rPr>
  </w:style>
  <w:style w:styleId="Style_146" w:type="paragraph">
    <w:name w:val="heading 4"/>
    <w:basedOn w:val="Style_24"/>
    <w:next w:val="Style_23"/>
    <w:link w:val="Style_146_ch"/>
    <w:uiPriority w:val="9"/>
    <w:qFormat/>
    <w:pPr>
      <w:spacing w:after="0" w:before="0"/>
      <w:ind/>
      <w:contextualSpacing w:val="0"/>
    </w:pPr>
  </w:style>
  <w:style w:styleId="Style_146_ch" w:type="character">
    <w:name w:val="heading 4"/>
    <w:basedOn w:val="Style_24_ch"/>
    <w:link w:val="Style_146"/>
  </w:style>
  <w:style w:styleId="Style_147" w:type="paragraph">
    <w:name w:val="Numbering Symbols"/>
    <w:link w:val="Style_147_ch"/>
  </w:style>
  <w:style w:styleId="Style_147_ch" w:type="character">
    <w:name w:val="Numbering Symbols"/>
    <w:link w:val="Style_147"/>
  </w:style>
  <w:style w:styleId="Style_148" w:type="paragraph">
    <w:name w:val="Table Heading"/>
    <w:basedOn w:val="Style_9"/>
    <w:next w:val="Style_9"/>
    <w:link w:val="Style_148_ch"/>
    <w:pPr>
      <w:ind/>
      <w:jc w:val="center"/>
    </w:pPr>
    <w:rPr>
      <w:b w:val="1"/>
    </w:rPr>
  </w:style>
  <w:style w:styleId="Style_148_ch" w:type="character">
    <w:name w:val="Table Heading"/>
    <w:basedOn w:val="Style_9_ch"/>
    <w:link w:val="Style_148"/>
    <w:rPr>
      <w:b w:val="1"/>
    </w:rPr>
  </w:style>
  <w:style w:styleId="Style_149" w:type="paragraph">
    <w:name w:val="Numbering 1 End"/>
    <w:basedOn w:val="Style_18"/>
    <w:next w:val="Style_84"/>
    <w:link w:val="Style_149_ch"/>
    <w:pPr>
      <w:spacing w:after="0" w:before="0"/>
      <w:ind w:firstLine="0" w:left="0" w:right="0"/>
      <w:contextualSpacing w:val="0"/>
    </w:pPr>
  </w:style>
  <w:style w:styleId="Style_149_ch" w:type="character">
    <w:name w:val="Numbering 1 End"/>
    <w:basedOn w:val="Style_18_ch"/>
    <w:link w:val="Style_149"/>
  </w:style>
  <w:style w:styleId="Style_150" w:type="paragraph">
    <w:name w:val="Drop Caps"/>
    <w:link w:val="Style_150_ch"/>
  </w:style>
  <w:style w:styleId="Style_150_ch" w:type="character">
    <w:name w:val="Drop Caps"/>
    <w:link w:val="Style_150"/>
  </w:style>
  <w:style w:styleId="Style_91" w:type="paragraph">
    <w:name w:val="Numbering 4"/>
    <w:basedOn w:val="Style_18"/>
    <w:link w:val="Style_91_ch"/>
    <w:pPr>
      <w:spacing w:after="0" w:before="0"/>
      <w:ind w:firstLine="0" w:left="0" w:right="0"/>
      <w:contextualSpacing w:val="0"/>
    </w:pPr>
  </w:style>
  <w:style w:styleId="Style_91_ch" w:type="character">
    <w:name w:val="Numbering 4"/>
    <w:basedOn w:val="Style_18_ch"/>
    <w:link w:val="Style_91"/>
  </w:style>
  <w:style w:styleId="Style_151" w:type="paragraph">
    <w:name w:val="Definition"/>
    <w:link w:val="Style_151_ch"/>
  </w:style>
  <w:style w:styleId="Style_151_ch" w:type="character">
    <w:name w:val="Definition"/>
    <w:link w:val="Style_151"/>
  </w:style>
  <w:style w:styleId="Style_152" w:type="paragraph">
    <w:name w:val="Table index 1"/>
    <w:basedOn w:val="Style_13"/>
    <w:link w:val="Style_152_ch"/>
    <w:pPr>
      <w:tabs>
        <w:tab w:leader="dot" w:pos="9638" w:val="right"/>
      </w:tabs>
      <w:ind w:firstLine="0" w:left="0" w:right="0"/>
    </w:pPr>
  </w:style>
  <w:style w:styleId="Style_152_ch" w:type="character">
    <w:name w:val="Table index 1"/>
    <w:basedOn w:val="Style_13_ch"/>
    <w:link w:val="Style_152"/>
  </w:style>
  <w:style w:styleId="Style_153" w:type="paragraph">
    <w:name w:val="heading 2"/>
    <w:basedOn w:val="Style_24"/>
    <w:next w:val="Style_23"/>
    <w:link w:val="Style_153_ch"/>
    <w:uiPriority w:val="9"/>
    <w:qFormat/>
    <w:pPr>
      <w:spacing w:after="0" w:before="0"/>
      <w:ind/>
      <w:contextualSpacing w:val="0"/>
      <w:outlineLvl w:val="1"/>
    </w:pPr>
  </w:style>
  <w:style w:styleId="Style_153_ch" w:type="character">
    <w:name w:val="heading 2"/>
    <w:basedOn w:val="Style_24_ch"/>
    <w:link w:val="Style_153"/>
  </w:style>
  <w:style w:styleId="Style_154" w:type="paragraph">
    <w:name w:val="User Index 2"/>
    <w:basedOn w:val="Style_13"/>
    <w:link w:val="Style_154_ch"/>
    <w:pPr>
      <w:tabs>
        <w:tab w:leader="dot" w:pos="9355" w:val="right"/>
      </w:tabs>
      <w:ind w:firstLine="0" w:left="0" w:right="0"/>
    </w:pPr>
  </w:style>
  <w:style w:styleId="Style_154_ch" w:type="character">
    <w:name w:val="User Index 2"/>
    <w:basedOn w:val="Style_13_ch"/>
    <w:link w:val="Style_154"/>
  </w:style>
  <w:style w:styleId="Style_3" w:type="paragraph">
    <w:name w:val="Header right"/>
    <w:basedOn w:val="Style_6"/>
    <w:next w:val="Style_6"/>
    <w:link w:val="Style_3_ch"/>
    <w:pPr>
      <w:tabs>
        <w:tab w:leader="none" w:pos="4819" w:val="center"/>
        <w:tab w:leader="none" w:pos="9638" w:val="right"/>
      </w:tabs>
      <w:ind/>
      <w:jc w:val="right"/>
    </w:pPr>
  </w:style>
  <w:style w:styleId="Style_3_ch" w:type="character">
    <w:name w:val="Header right"/>
    <w:basedOn w:val="Style_6_ch"/>
    <w:link w:val="Style_3"/>
  </w:style>
  <w:style w:styleId="Style_68" w:type="paragraph">
    <w:name w:val="List 4"/>
    <w:basedOn w:val="Style_18"/>
    <w:link w:val="Style_68_ch"/>
    <w:pPr>
      <w:spacing w:after="0" w:before="0"/>
      <w:ind w:firstLine="0" w:left="0" w:right="0"/>
      <w:contextualSpacing w:val="0"/>
    </w:pPr>
  </w:style>
  <w:style w:styleId="Style_68_ch" w:type="character">
    <w:name w:val="List 4"/>
    <w:basedOn w:val="Style_18_ch"/>
    <w:link w:val="Style_68"/>
  </w:style>
  <w:style w:styleId="Style_155" w:type="paragraph">
    <w:name w:val="User Index 7"/>
    <w:basedOn w:val="Style_13"/>
    <w:link w:val="Style_155_ch"/>
    <w:pPr>
      <w:tabs>
        <w:tab w:leader="dot" w:pos="7940" w:val="right"/>
      </w:tabs>
      <w:ind w:firstLine="0" w:left="0" w:right="0"/>
    </w:pPr>
  </w:style>
  <w:style w:styleId="Style_155_ch" w:type="character">
    <w:name w:val="User Index 7"/>
    <w:basedOn w:val="Style_13_ch"/>
    <w:link w:val="Style_155"/>
  </w:style>
  <w:style w:styleId="Style_24" w:type="paragraph">
    <w:name w:val="Heading"/>
    <w:basedOn w:val="Style_6"/>
    <w:next w:val="Style_6"/>
    <w:link w:val="Style_24_ch"/>
    <w:pPr>
      <w:spacing w:after="0" w:before="0"/>
      <w:ind/>
      <w:contextualSpacing w:val="0"/>
      <w:jc w:val="center"/>
    </w:pPr>
    <w:rPr>
      <w:b w:val="1"/>
    </w:rPr>
  </w:style>
  <w:style w:styleId="Style_24_ch" w:type="character">
    <w:name w:val="Heading"/>
    <w:basedOn w:val="Style_6_ch"/>
    <w:link w:val="Style_24"/>
    <w:rPr>
      <w:b w:val="1"/>
    </w:rPr>
  </w:style>
  <w:style w:styleId="Style_156" w:type="paragraph">
    <w:name w:val="heading 6"/>
    <w:basedOn w:val="Style_24"/>
    <w:next w:val="Style_23"/>
    <w:link w:val="Style_156_ch"/>
    <w:uiPriority w:val="9"/>
    <w:qFormat/>
  </w:style>
  <w:style w:styleId="Style_156_ch" w:type="character">
    <w:name w:val="heading 6"/>
    <w:basedOn w:val="Style_24_ch"/>
    <w:link w:val="Style_156"/>
  </w:style>
  <w:style w:styleId="Style_157" w:type="paragraph">
    <w:name w:val="Citation"/>
    <w:link w:val="Style_157_ch"/>
    <w:rPr>
      <w:i w:val="1"/>
    </w:rPr>
  </w:style>
  <w:style w:styleId="Style_157_ch" w:type="character">
    <w:name w:val="Citation"/>
    <w:link w:val="Style_157"/>
    <w:rPr>
      <w:i w:val="1"/>
    </w:rPr>
  </w:style>
  <w:style w:styleId="Style_158" w:type="paragraph">
    <w:name w:val="No Spacing"/>
    <w:link w:val="Style_158_ch"/>
    <w:pPr>
      <w:widowControl w:val="1"/>
      <w:spacing w:after="0" w:before="0" w:line="240" w:lineRule="auto"/>
      <w:ind w:firstLine="0" w:left="0" w:right="0"/>
      <w:contextualSpacing w:val="0"/>
      <w:jc w:val="left"/>
    </w:pPr>
    <w:rPr>
      <w:rFonts w:ascii="Calibri" w:hAnsi="Calibri"/>
      <w:color w:val="000000"/>
      <w:sz w:val="22"/>
    </w:rPr>
  </w:style>
  <w:style w:styleId="Style_158_ch" w:type="character">
    <w:name w:val="No Spacing"/>
    <w:link w:val="Style_158"/>
    <w:rPr>
      <w:rFonts w:ascii="Calibri" w:hAnsi="Calibri"/>
      <w:color w:val="000000"/>
      <w:sz w:val="22"/>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7" Target="settings.xml" Type="http://schemas.openxmlformats.org/officeDocument/2006/relationships/settings"/>
  <Relationship Id="rId7" Target="header7.xml" Type="http://schemas.openxmlformats.org/officeDocument/2006/relationships/header"/>
  <Relationship Id="rId6" Target="footer6.xml" Type="http://schemas.openxmlformats.org/officeDocument/2006/relationships/footer"/>
  <Relationship Id="rId14" Target="header14.xml" Type="http://schemas.openxmlformats.org/officeDocument/2006/relationships/header"/>
  <Relationship Id="rId13" Target="header13.xml" Type="http://schemas.openxmlformats.org/officeDocument/2006/relationships/header"/>
  <Relationship Id="rId22" Target="numbering.xml" Type="http://schemas.openxmlformats.org/officeDocument/2006/relationships/numbering"/>
  <Relationship Id="rId18" Target="styles.xml" Type="http://schemas.openxmlformats.org/officeDocument/2006/relationships/styles"/>
  <Relationship Id="rId4" Target="header4.xml" Type="http://schemas.openxmlformats.org/officeDocument/2006/relationships/header"/>
  <Relationship Id="rId3" Target="header3.xml" Type="http://schemas.openxmlformats.org/officeDocument/2006/relationships/header"/>
  <Relationship Id="rId12" Target="footer12.xml" Type="http://schemas.openxmlformats.org/officeDocument/2006/relationships/footer"/>
  <Relationship Id="rId10" Target="header10.xml" Type="http://schemas.openxmlformats.org/officeDocument/2006/relationships/header"/>
  <Relationship Id="rId19" Target="stylesWithEffects.xml" Type="http://schemas.microsoft.com/office/2007/relationships/stylesWithEffects"/>
  <Relationship Id="rId5" Target="header5.xml" Type="http://schemas.openxmlformats.org/officeDocument/2006/relationships/header"/>
  <Relationship Id="rId11" Target="header11.xml" Type="http://schemas.openxmlformats.org/officeDocument/2006/relationships/header"/>
  <Relationship Id="rId8" Target="footer8.xml" Type="http://schemas.openxmlformats.org/officeDocument/2006/relationships/footer"/>
  <Relationship Id="rId16" Target="fontTable.xml" Type="http://schemas.openxmlformats.org/officeDocument/2006/relationships/fontTable"/>
  <Relationship Id="rId20" Target="webSettings.xml" Type="http://schemas.openxmlformats.org/officeDocument/2006/relationships/webSettings"/>
  <Relationship Id="rId2" Target="footer2.xml" Type="http://schemas.openxmlformats.org/officeDocument/2006/relationships/footer"/>
  <Relationship Id="rId21" Target="theme/theme1.xml" Type="http://schemas.openxmlformats.org/officeDocument/2006/relationships/theme"/>
  <Relationship Id="rId9" Target="header9.xml" Type="http://schemas.openxmlformats.org/officeDocument/2006/relationships/header"/>
  <Relationship Id="rId15" Target="header15.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2026-10-08T06:53:37Z</dcterms:modified>
</cp:coreProperties>
</file>