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№______</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1" w:name="_Hlk159928058"/>
      <w:r>
        <w:rPr>
          <w:b/>
          <w:bCs/>
          <w:color w:val="000000"/>
        </w:rPr>
        <w:t xml:space="preserve">               </w:t>
      </w:r>
      <w:r>
        <w:rPr/>
        <w:t>«      » _____________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08.06.2026,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r>
        <w:rPr>
          <w:rFonts w:eastAsia="Times New Roman" w:cs="Times New Roman"/>
          <w:color w:val="auto"/>
          <w:kern w:val="0"/>
          <w:sz w:val="20"/>
          <w:szCs w:val="20"/>
          <w:lang w:val="ru-RU" w:eastAsia="ru-RU" w:bidi="ar-SA"/>
        </w:rPr>
        <w:t xml:space="preserve">: </w:t>
      </w:r>
      <w:r>
        <w:rPr>
          <w:rFonts w:eastAsia="Times New Roman" w:cs="Times New Roman" w:ascii="Times New Roman" w:hAnsi="Times New Roman"/>
          <w:b/>
          <w:bCs/>
          <w:color w:val="auto"/>
          <w:kern w:val="0"/>
          <w:sz w:val="20"/>
          <w:szCs w:val="20"/>
          <w:lang w:val="ru-RU" w:eastAsia="ru-RU" w:bidi="ar-SA"/>
        </w:rPr>
        <w:t>кабеля отведений пациента ЭКГ холт. 12 канала 10 leads к регистратору Astrocard® НЕ12N (с дисплеем)</w:t>
      </w:r>
      <w:r>
        <w:rPr>
          <w:rFonts w:eastAsia="Times New Roman" w:cs="Times New Roman"/>
          <w:color w:val="auto"/>
          <w:kern w:val="0"/>
          <w:sz w:val="20"/>
          <w:szCs w:val="20"/>
          <w:lang w:val="ru-RU" w:eastAsia="ru-RU" w:bidi="ar-SA"/>
        </w:rPr>
        <w:t xml:space="preserve"> </w:t>
      </w:r>
      <w:r>
        <w:rPr/>
        <w:t xml:space="preserve">и передать его Заказчику, а Заказчик по-настоящему </w:t>
      </w:r>
      <w:r>
        <w:rPr>
          <w:bCs/>
        </w:rPr>
        <w:t>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rPr>
          <w:lang w:val="ru-RU"/>
        </w:rPr>
      </w:pPr>
      <w:r>
        <w:rPr>
          <w:lang w:val="ru-RU"/>
        </w:rPr>
        <w:t xml:space="preserve">2.4. </w:t>
      </w:r>
      <w:r>
        <w:rPr>
          <w:rFonts w:eastAsia="Times New Roman"/>
          <w:color w:themeColor="dark1" w:val="000000"/>
          <w:lang w:val="ru-RU"/>
        </w:rPr>
        <w:t>Расчет по настоящему Контракту производится:</w:t>
      </w:r>
    </w:p>
    <w:p>
      <w:pPr>
        <w:pStyle w:val="BodyTextIndent"/>
        <w:widowControl/>
        <w:tabs>
          <w:tab w:val="clear" w:pos="708"/>
          <w:tab w:val="left" w:pos="540" w:leader="none"/>
        </w:tabs>
        <w:suppressAutoHyphens w:val="true"/>
        <w:bidi w:val="0"/>
        <w:spacing w:before="0" w:after="0"/>
        <w:ind w:hanging="0"/>
        <w:rPr>
          <w:rFonts w:ascii="Times New Roman" w:hAnsi="Times New Roman" w:cs="Times New Roman"/>
          <w:color w:val="auto"/>
          <w:kern w:val="0"/>
          <w:sz w:val="20"/>
          <w:szCs w:val="20"/>
          <w:lang w:val="ru-RU" w:eastAsia="ru-RU" w:bidi="ar-SA"/>
        </w:rPr>
      </w:pPr>
      <w:r>
        <w:rPr>
          <w:rFonts w:cs="Times New Roman"/>
          <w:color w:val="auto"/>
          <w:kern w:val="0"/>
          <w:sz w:val="20"/>
          <w:szCs w:val="20"/>
          <w:lang w:val="ru-RU" w:eastAsia="ru-RU" w:bidi="ar-SA"/>
        </w:rPr>
        <w:t xml:space="preserve">- 30% стоимости  — в течение 7 (семи) рабочих дней после выставления поставщиком счета; </w:t>
      </w:r>
    </w:p>
    <w:p>
      <w:pPr>
        <w:pStyle w:val="BodyTextIndent"/>
        <w:widowControl/>
        <w:tabs>
          <w:tab w:val="clear" w:pos="708"/>
          <w:tab w:val="left" w:pos="540" w:leader="none"/>
        </w:tabs>
        <w:suppressAutoHyphens w:val="true"/>
        <w:bidi w:val="0"/>
        <w:spacing w:before="0" w:after="0"/>
        <w:ind w:hanging="0"/>
        <w:rPr>
          <w:rFonts w:ascii="Times New Roman" w:hAnsi="Times New Roman" w:cs="Times New Roman"/>
          <w:color w:val="auto"/>
          <w:kern w:val="0"/>
          <w:sz w:val="20"/>
          <w:szCs w:val="20"/>
          <w:lang w:val="ru-RU" w:eastAsia="ru-RU" w:bidi="ar-SA"/>
        </w:rPr>
      </w:pPr>
      <w:r>
        <w:rPr>
          <w:rFonts w:cs="Times New Roman"/>
          <w:color w:val="auto"/>
          <w:kern w:val="0"/>
          <w:sz w:val="20"/>
          <w:szCs w:val="20"/>
          <w:lang w:val="ru-RU" w:eastAsia="ru-RU" w:bidi="ar-SA"/>
        </w:rPr>
        <w:t>- оставшуюся часть в размере 70% стоимости — производится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 За товар поступивший в декабре месяце расчет производится не позднее 26 числа.</w:t>
      </w:r>
    </w:p>
    <w:p>
      <w:pPr>
        <w:pStyle w:val="BodyTextIndent"/>
        <w:tabs>
          <w:tab w:val="clear" w:pos="708"/>
          <w:tab w:val="left" w:pos="540" w:leader="none"/>
        </w:tabs>
        <w:ind w:hanging="0"/>
        <w:rPr>
          <w:lang w:val="ru-RU"/>
        </w:rPr>
      </w:pPr>
      <w:r>
        <w:rPr>
          <w:lang w:val="ru-RU"/>
        </w:rPr>
        <w:t xml:space="preserve">2.5.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rFonts w:eastAsia="Calibri"/>
        </w:rPr>
      </w:pPr>
      <w:r>
        <w:rPr/>
        <w:t>2.6.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в период с даты, следующей за датой заключения контра</w:t>
      </w:r>
      <w:r>
        <w:rPr>
          <w:shd w:fill="auto" w:val="clear"/>
        </w:rPr>
        <w:t>кта в</w:t>
      </w:r>
      <w:r>
        <w:rPr>
          <w:shd w:fill="auto" w:val="clear"/>
        </w:rPr>
        <w:t xml:space="preserve"> течение </w:t>
      </w:r>
      <w:r>
        <w:rPr>
          <w:shd w:fill="auto" w:val="clear"/>
        </w:rPr>
        <w:t>30</w:t>
      </w:r>
      <w:r>
        <w:rPr>
          <w:shd w:fill="auto" w:val="clear"/>
        </w:rPr>
        <w:t xml:space="preserve"> дней, единовременно.  Поставщик обязан уведомить Заказчика  о дате  поставки товара не менее чем за 3 (три)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pPr>
      <w:r>
        <w:rPr>
          <w:shd w:fill="auto" w:val="clear"/>
        </w:rPr>
        <w:t>4.2. Поставка Товара осуществляется за счет Поставщика на франко-склад Заказчика по адресу: 650002, г.</w:t>
      </w:r>
      <w:r>
        <w:rPr/>
        <w:t xml:space="preserve">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dark1" w:val="000000"/>
        </w:rPr>
      </w:pPr>
      <w:r>
        <w:rPr/>
        <w:t xml:space="preserve">4.3. </w:t>
      </w:r>
      <w:r>
        <w:rPr>
          <w:color w:themeColor="dark1" w:val="000000"/>
        </w:rPr>
        <w:t>Датой поставки Товара считается дата подписания Заказчиком счет-фактуры (УПД) или товарной накладной.</w:t>
      </w:r>
    </w:p>
    <w:p>
      <w:pPr>
        <w:pStyle w:val="Normal"/>
        <w:jc w:val="both"/>
        <w:rPr>
          <w:color w:themeColor="dark1" w:val="000000"/>
        </w:rPr>
      </w:pPr>
      <w:r>
        <w:rPr>
          <w:color w:themeColor="dark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dark1" w:val="000000"/>
        </w:rPr>
        <w:t> </w:t>
      </w:r>
      <w:r>
        <w:rPr>
          <w:color w:themeColor="dark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6"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6"/>
    </w:p>
    <w:p>
      <w:pPr>
        <w:pStyle w:val="BodyTextIndent"/>
        <w:ind w:hanging="0"/>
        <w:jc w:val="center"/>
        <w:rPr>
          <w:b/>
          <w:lang w:val="ru-RU"/>
        </w:rPr>
      </w:pPr>
      <w:r>
        <w:rPr>
          <w:b/>
          <w:lang w:val="ru-RU"/>
        </w:rPr>
        <w:t>6. Гарантия качества</w:t>
      </w:r>
    </w:p>
    <w:p>
      <w:pPr>
        <w:pStyle w:val="Normal"/>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rPr/>
      </w:pPr>
      <w:r>
        <w:rPr/>
        <w:t xml:space="preserve">6.2. Товар должен быть новым, ранее не использованным. </w:t>
      </w:r>
    </w:p>
    <w:p>
      <w:pPr>
        <w:pStyle w:val="Normal"/>
        <w:rPr/>
      </w:pPr>
      <w:r>
        <w:rPr/>
        <w:t xml:space="preserve">6.3. </w:t>
      </w:r>
      <w:r>
        <w:rPr>
          <w:shd w:fill="auto" w:val="clear"/>
        </w:rPr>
        <w:t>Остаточный срок годности товара должен составлять не менее 12 мес. со дня поставки на склад Заказчика.</w:t>
      </w:r>
    </w:p>
    <w:p>
      <w:pPr>
        <w:pStyle w:val="Normal"/>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rPr/>
      </w:pPr>
      <w:r>
        <w:rPr/>
        <w:t>-наименование Товара;</w:t>
      </w:r>
    </w:p>
    <w:p>
      <w:pPr>
        <w:pStyle w:val="Normal"/>
        <w:rPr/>
      </w:pPr>
      <w:r>
        <w:rPr/>
        <w:t>- реквизиты Контракта;</w:t>
      </w:r>
    </w:p>
    <w:p>
      <w:pPr>
        <w:pStyle w:val="Normal"/>
        <w:rPr/>
      </w:pPr>
      <w:r>
        <w:rPr/>
        <w:t>-заказчик;</w:t>
      </w:r>
    </w:p>
    <w:p>
      <w:pPr>
        <w:pStyle w:val="Normal"/>
        <w:rPr/>
      </w:pPr>
      <w:r>
        <w:rPr/>
        <w:t>-поставщик;</w:t>
      </w:r>
    </w:p>
    <w:p>
      <w:pPr>
        <w:pStyle w:val="Normal"/>
        <w:rPr/>
      </w:pPr>
      <w:r>
        <w:rPr/>
        <w:t>-адрес доставки;</w:t>
      </w:r>
    </w:p>
    <w:p>
      <w:pPr>
        <w:pStyle w:val="Normal"/>
        <w:rPr/>
      </w:pPr>
      <w:r>
        <w:rPr/>
        <w:t>-ящик/контейнер №, всего ящиков/контейнеров</w:t>
      </w:r>
    </w:p>
    <w:p>
      <w:pPr>
        <w:pStyle w:val="Normal"/>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highlight w:val="yellow"/>
        </w:rPr>
        <w:t>_____________</w:t>
      </w:r>
      <w:r>
        <w:rPr/>
        <w:t xml:space="preserve"> 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Настоящий Контракт вступает в силу с момента заключения и дейс</w:t>
      </w:r>
      <w:r>
        <w:rPr>
          <w:rFonts w:ascii="Times New Roman" w:hAnsi="Times New Roman"/>
          <w:sz w:val="20"/>
          <w:szCs w:val="20"/>
          <w:shd w:fill="auto" w:val="clear"/>
        </w:rPr>
        <w:t>твует</w:t>
      </w:r>
      <w:r>
        <w:rPr>
          <w:rFonts w:ascii="Times New Roman" w:hAnsi="Times New Roman"/>
          <w:sz w:val="20"/>
          <w:szCs w:val="20"/>
          <w:shd w:fill="auto" w:val="clear"/>
        </w:rPr>
        <w:t xml:space="preserve"> до 1</w:t>
      </w:r>
      <w:r>
        <w:rPr>
          <w:rFonts w:ascii="Times New Roman" w:hAnsi="Times New Roman"/>
          <w:sz w:val="20"/>
          <w:szCs w:val="20"/>
          <w:shd w:fill="auto" w:val="clear"/>
        </w:rPr>
        <w:t>8</w:t>
      </w:r>
      <w:r>
        <w:rPr>
          <w:rFonts w:ascii="Times New Roman" w:hAnsi="Times New Roman"/>
          <w:sz w:val="20"/>
          <w:szCs w:val="20"/>
          <w:shd w:fill="auto" w:val="clear"/>
        </w:rPr>
        <w:t>.1</w:t>
      </w:r>
      <w:r>
        <w:rPr>
          <w:rFonts w:ascii="Times New Roman" w:hAnsi="Times New Roman"/>
          <w:sz w:val="20"/>
          <w:szCs w:val="20"/>
          <w:shd w:fill="auto" w:val="clear"/>
        </w:rPr>
        <w:t>2</w:t>
      </w:r>
      <w:r>
        <w:rPr>
          <w:rFonts w:ascii="Times New Roman" w:hAnsi="Times New Roman"/>
          <w:sz w:val="20"/>
          <w:szCs w:val="20"/>
          <w:shd w:fill="auto" w:val="clear"/>
        </w:rPr>
        <w:t>.2026 г., а в</w:t>
      </w:r>
      <w:r>
        <w:rPr>
          <w:rFonts w:ascii="Times New Roman" w:hAnsi="Times New Roman"/>
          <w:sz w:val="20"/>
          <w:szCs w:val="20"/>
          <w:shd w:fill="auto" w:val="clear"/>
        </w:rPr>
        <w:t xml:space="preserve"> части</w:t>
      </w:r>
      <w:r>
        <w:rPr>
          <w:rFonts w:ascii="Times New Roman" w:hAnsi="Times New Roman"/>
          <w:sz w:val="20"/>
          <w:szCs w:val="20"/>
        </w:rPr>
        <w:t xml:space="preserve"> оплаты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4"/>
        <w:gridCol w:w="4822"/>
      </w:tblGrid>
      <w:tr>
        <w:trPr>
          <w:trHeight w:val="7632" w:hRule="atLeast"/>
        </w:trPr>
        <w:tc>
          <w:tcPr>
            <w:tcW w:w="5634"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val="false"/>
                <w:bCs w:val="false"/>
              </w:rPr>
            </w:pPr>
            <w:r>
              <w:rPr>
                <w:b w:val="false"/>
                <w:bCs w:val="false"/>
                <w:iCs/>
              </w:rPr>
              <w:t>Заказчик:</w:t>
            </w:r>
          </w:p>
          <w:p>
            <w:pPr>
              <w:pStyle w:val="Normal"/>
              <w:rPr>
                <w:b/>
                <w:bCs/>
              </w:rPr>
            </w:pPr>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b/>
                <w:bCs/>
              </w:rPr>
            </w:pPr>
            <w:r>
              <w:rPr>
                <w:b/>
                <w:bCs/>
              </w:rPr>
            </w:r>
          </w:p>
          <w:p>
            <w:pPr>
              <w:pStyle w:val="Normal"/>
              <w:rPr>
                <w:b w:val="false"/>
                <w:bCs w:val="false"/>
              </w:rPr>
            </w:pPr>
            <w:r>
              <w:rPr>
                <w:b w:val="false"/>
                <w:bCs w:val="false"/>
              </w:rPr>
              <w:t>Юридический и фактический адрес:</w:t>
            </w:r>
          </w:p>
          <w:p>
            <w:pPr>
              <w:pStyle w:val="Normal"/>
              <w:rPr>
                <w:b w:val="false"/>
                <w:bCs w:val="false"/>
              </w:rPr>
            </w:pPr>
            <w:r>
              <w:rPr>
                <w:b w:val="false"/>
                <w:bCs w:val="false"/>
              </w:rPr>
              <w:t>650002, г. Кемерово, бульвар имени академика Л.С. Барбараша, стр. 6</w:t>
            </w:r>
          </w:p>
          <w:p>
            <w:pPr>
              <w:pStyle w:val="Normal"/>
              <w:rPr>
                <w:b w:val="false"/>
                <w:bCs w:val="false"/>
              </w:rPr>
            </w:pPr>
            <w:r>
              <w:rPr>
                <w:b w:val="false"/>
                <w:bCs w:val="false"/>
              </w:rPr>
              <w:t>Тел.: +7 (3842) 64-33-08</w:t>
            </w:r>
          </w:p>
          <w:p>
            <w:pPr>
              <w:pStyle w:val="Normal"/>
              <w:widowControl/>
              <w:overflowPunct w:val="false"/>
              <w:spacing w:before="0" w:after="0"/>
              <w:jc w:val="left"/>
              <w:textAlignment w:val="auto"/>
              <w:rPr>
                <w:b w:val="false"/>
                <w:bCs w:val="false"/>
                <w:szCs w:val="24"/>
              </w:rPr>
            </w:pPr>
            <w:r>
              <w:rPr>
                <w:b w:val="false"/>
                <w:bCs w:val="false"/>
                <w:szCs w:val="24"/>
              </w:rPr>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20396Х66880)</w:t>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22396Х66880)</w:t>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21396Х66880)</w:t>
            </w:r>
          </w:p>
          <w:p>
            <w:pPr>
              <w:pStyle w:val="Normal"/>
              <w:widowControl/>
              <w:overflowPunct w:val="false"/>
              <w:spacing w:before="0" w:after="0"/>
              <w:jc w:val="left"/>
              <w:textAlignment w:val="auto"/>
              <w:rPr>
                <w:b w:val="false"/>
                <w:bCs w:val="false"/>
              </w:rPr>
            </w:pPr>
            <w:r>
              <w:rPr>
                <w:b w:val="false"/>
                <w:bCs w:val="false"/>
                <w:szCs w:val="24"/>
              </w:rPr>
              <w:t>ИНН 4205012290  КПП 420501001</w:t>
            </w:r>
          </w:p>
          <w:p>
            <w:pPr>
              <w:pStyle w:val="Normal"/>
              <w:widowControl/>
              <w:overflowPunct w:val="false"/>
              <w:spacing w:before="0" w:after="0"/>
              <w:jc w:val="left"/>
              <w:textAlignment w:val="auto"/>
              <w:rPr>
                <w:b w:val="false"/>
                <w:bCs w:val="false"/>
              </w:rPr>
            </w:pPr>
            <w:r>
              <w:rPr>
                <w:b w:val="false"/>
                <w:bCs w:val="false"/>
                <w:szCs w:val="24"/>
              </w:rPr>
              <w:t>р/с 03214643000000015106</w:t>
            </w:r>
          </w:p>
          <w:p>
            <w:pPr>
              <w:pStyle w:val="Normal"/>
              <w:widowControl/>
              <w:overflowPunct w:val="false"/>
              <w:spacing w:before="0" w:after="0"/>
              <w:jc w:val="left"/>
              <w:textAlignment w:val="auto"/>
              <w:rPr>
                <w:b w:val="false"/>
                <w:bCs w:val="false"/>
              </w:rPr>
            </w:pPr>
            <w:r>
              <w:rPr>
                <w:rFonts w:eastAsia="Times New Roman" w:cs="Times New Roman"/>
                <w:b w:val="false"/>
                <w:bCs w:val="false"/>
                <w:color w:val="auto"/>
                <w:sz w:val="24"/>
                <w:szCs w:val="24"/>
                <w:lang w:val="ru-RU" w:eastAsia="zh-CN" w:bidi="ar-SA"/>
              </w:rPr>
              <w:t>ОКЦ № 1 СибГУ Банка России</w:t>
            </w:r>
            <w:r>
              <w:rPr>
                <w:b w:val="false"/>
                <w:bCs w:val="false"/>
                <w:szCs w:val="24"/>
              </w:rPr>
              <w:t>//УФК по Новосибирской области, г. Новосибирск</w:t>
            </w:r>
          </w:p>
          <w:p>
            <w:pPr>
              <w:pStyle w:val="Normal"/>
              <w:widowControl/>
              <w:overflowPunct w:val="false"/>
              <w:spacing w:before="0" w:after="0"/>
              <w:jc w:val="left"/>
              <w:textAlignment w:val="auto"/>
              <w:rPr>
                <w:b w:val="false"/>
                <w:bCs w:val="false"/>
              </w:rPr>
            </w:pPr>
            <w:r>
              <w:rPr>
                <w:b w:val="false"/>
                <w:bCs w:val="false"/>
                <w:szCs w:val="24"/>
              </w:rPr>
              <w:t>БИК 015004950</w:t>
            </w:r>
          </w:p>
          <w:p>
            <w:pPr>
              <w:pStyle w:val="Normal"/>
              <w:widowControl/>
              <w:overflowPunct w:val="false"/>
              <w:spacing w:before="0" w:after="0"/>
              <w:jc w:val="left"/>
              <w:textAlignment w:val="auto"/>
              <w:rPr>
                <w:b w:val="false"/>
                <w:bCs w:val="false"/>
              </w:rPr>
            </w:pPr>
            <w:r>
              <w:rPr>
                <w:b w:val="false"/>
                <w:bCs w:val="false"/>
                <w:szCs w:val="24"/>
              </w:rPr>
              <w:t>к/с 40102810445370000043</w:t>
            </w:r>
          </w:p>
          <w:p>
            <w:pPr>
              <w:pStyle w:val="Normal"/>
              <w:widowControl/>
              <w:overflowPunct w:val="false"/>
              <w:spacing w:before="0" w:after="0"/>
              <w:jc w:val="left"/>
              <w:textAlignment w:val="auto"/>
              <w:rPr>
                <w:b w:val="false"/>
                <w:bCs w:val="false"/>
              </w:rPr>
            </w:pPr>
            <w:r>
              <w:rPr>
                <w:b w:val="false"/>
                <w:bCs w:val="false"/>
                <w:szCs w:val="24"/>
                <w:u w:val="single"/>
              </w:rPr>
              <w:t>КБК 00000000000000000</w:t>
            </w:r>
            <w:r>
              <w:rPr>
                <w:b w:val="false"/>
                <w:bCs w:val="false"/>
                <w:szCs w:val="24"/>
                <w:u w:val="single"/>
                <w:lang w:val="en-US"/>
              </w:rPr>
              <w:t>130</w:t>
            </w:r>
          </w:p>
          <w:p>
            <w:pPr>
              <w:pStyle w:val="Normal"/>
              <w:widowControl/>
              <w:overflowPunct w:val="false"/>
              <w:spacing w:before="0" w:after="0"/>
              <w:jc w:val="left"/>
              <w:textAlignment w:val="auto"/>
              <w:rPr>
                <w:b w:val="false"/>
                <w:bCs w:val="false"/>
              </w:rPr>
            </w:pPr>
            <w:r>
              <w:rPr>
                <w:b w:val="false"/>
                <w:bCs w:val="false"/>
                <w:szCs w:val="24"/>
              </w:rPr>
              <w:t>ОГРН 1034205024479</w:t>
            </w:r>
          </w:p>
          <w:p>
            <w:pPr>
              <w:pStyle w:val="Normal"/>
              <w:widowControl/>
              <w:overflowPunct w:val="false"/>
              <w:spacing w:before="0" w:after="0"/>
              <w:jc w:val="left"/>
              <w:textAlignment w:val="auto"/>
              <w:rPr>
                <w:b w:val="false"/>
                <w:bCs w:val="false"/>
              </w:rPr>
            </w:pPr>
            <w:r>
              <w:rPr>
                <w:b w:val="false"/>
                <w:bCs w:val="false"/>
                <w:szCs w:val="24"/>
              </w:rPr>
              <w:t>ОКПО 55608705</w:t>
            </w:r>
          </w:p>
          <w:p>
            <w:pPr>
              <w:pStyle w:val="Normal"/>
              <w:widowControl/>
              <w:overflowPunct w:val="false"/>
              <w:spacing w:before="0" w:after="0"/>
              <w:jc w:val="left"/>
              <w:textAlignment w:val="auto"/>
              <w:rPr>
                <w:b w:val="false"/>
                <w:bCs w:val="false"/>
              </w:rPr>
            </w:pPr>
            <w:r>
              <w:rPr>
                <w:b w:val="false"/>
                <w:bCs w:val="false"/>
                <w:szCs w:val="24"/>
              </w:rPr>
              <w:t>ОКАТО 32401000000</w:t>
            </w:r>
          </w:p>
          <w:p>
            <w:pPr>
              <w:pStyle w:val="Normal"/>
              <w:widowControl/>
              <w:overflowPunct w:val="false"/>
              <w:spacing w:before="0" w:after="0"/>
              <w:jc w:val="left"/>
              <w:textAlignment w:val="auto"/>
              <w:rPr>
                <w:b w:val="false"/>
                <w:bCs w:val="false"/>
              </w:rPr>
            </w:pPr>
            <w:r>
              <w:rPr>
                <w:b w:val="false"/>
                <w:bCs w:val="false"/>
                <w:szCs w:val="24"/>
              </w:rPr>
              <w:t>ОКТМО 32701000</w:t>
            </w:r>
          </w:p>
          <w:p>
            <w:pPr>
              <w:pStyle w:val="Normal"/>
              <w:widowControl/>
              <w:overflowPunct w:val="false"/>
              <w:spacing w:before="0" w:after="0"/>
              <w:jc w:val="left"/>
              <w:textAlignment w:val="auto"/>
              <w:rPr>
                <w:b w:val="false"/>
                <w:bCs w:val="false"/>
              </w:rPr>
            </w:pPr>
            <w:r>
              <w:rPr>
                <w:b w:val="false"/>
                <w:bCs w:val="false"/>
                <w:szCs w:val="24"/>
              </w:rPr>
              <w:t>ОКОГУ 1330612</w:t>
            </w:r>
          </w:p>
          <w:p>
            <w:pPr>
              <w:pStyle w:val="Normal"/>
              <w:widowControl/>
              <w:overflowPunct w:val="false"/>
              <w:spacing w:before="0" w:after="0"/>
              <w:jc w:val="left"/>
              <w:textAlignment w:val="auto"/>
              <w:rPr>
                <w:b w:val="false"/>
                <w:bCs w:val="false"/>
              </w:rPr>
            </w:pPr>
            <w:r>
              <w:rPr>
                <w:b w:val="false"/>
                <w:bCs w:val="false"/>
                <w:szCs w:val="24"/>
              </w:rPr>
              <w:t>ОКФС 12</w:t>
            </w:r>
          </w:p>
          <w:p>
            <w:pPr>
              <w:pStyle w:val="Normal"/>
              <w:widowControl/>
              <w:overflowPunct w:val="false"/>
              <w:spacing w:before="0" w:after="0"/>
              <w:jc w:val="left"/>
              <w:textAlignment w:val="auto"/>
              <w:rPr>
                <w:b w:val="false"/>
                <w:bCs w:val="false"/>
              </w:rPr>
            </w:pPr>
            <w:r>
              <w:rPr>
                <w:b w:val="false"/>
                <w:bCs w:val="false"/>
                <w:szCs w:val="24"/>
              </w:rPr>
              <w:t>ОКОПФ 75103</w:t>
            </w:r>
          </w:p>
          <w:p>
            <w:pPr>
              <w:pStyle w:val="Normal"/>
              <w:widowControl/>
              <w:overflowPunct w:val="false"/>
              <w:spacing w:before="0" w:after="0"/>
              <w:jc w:val="left"/>
              <w:textAlignment w:val="auto"/>
              <w:rPr>
                <w:b w:val="false"/>
                <w:bCs w:val="false"/>
              </w:rPr>
            </w:pPr>
            <w:r>
              <w:rPr>
                <w:b w:val="false"/>
                <w:bCs w:val="false"/>
                <w:szCs w:val="24"/>
              </w:rPr>
              <w:t>ОКВЭД 72.19</w:t>
            </w:r>
          </w:p>
          <w:p>
            <w:pPr>
              <w:pStyle w:val="Normal"/>
              <w:jc w:val="both"/>
              <w:rPr>
                <w:b w:val="false"/>
                <w:bCs w:val="false"/>
              </w:rPr>
            </w:pPr>
            <w:r>
              <w:rPr>
                <w:b w:val="false"/>
                <w:bCs w:val="false"/>
              </w:rPr>
            </w:r>
          </w:p>
          <w:p>
            <w:pPr>
              <w:pStyle w:val="Normal"/>
              <w:jc w:val="both"/>
              <w:rPr>
                <w:b w:val="false"/>
                <w:bCs w:val="false"/>
              </w:rPr>
            </w:pPr>
            <w:r>
              <w:rPr>
                <w:b w:val="false"/>
                <w:bCs w:val="false"/>
              </w:rPr>
            </w:r>
          </w:p>
          <w:p>
            <w:pPr>
              <w:pStyle w:val="Normal"/>
              <w:tabs>
                <w:tab w:val="clear" w:pos="708"/>
                <w:tab w:val="left" w:pos="7680" w:leader="none"/>
              </w:tabs>
              <w:rPr>
                <w:b w:val="false"/>
                <w:bCs w:val="false"/>
              </w:rPr>
            </w:pPr>
            <w:r>
              <w:rPr>
                <w:b w:val="false"/>
                <w:bCs w:val="false"/>
                <w:color w:val="000000"/>
              </w:rPr>
              <w:t>Начальник отдела материально-</w:t>
            </w:r>
          </w:p>
          <w:p>
            <w:pPr>
              <w:pStyle w:val="Normal"/>
              <w:tabs>
                <w:tab w:val="clear" w:pos="708"/>
                <w:tab w:val="left" w:pos="7680" w:leader="none"/>
              </w:tabs>
              <w:rPr>
                <w:b w:val="false"/>
                <w:bCs w:val="false"/>
              </w:rPr>
            </w:pPr>
            <w:r>
              <w:rPr>
                <w:b w:val="false"/>
                <w:bCs w:val="false"/>
                <w:color w:val="000000"/>
              </w:rPr>
              <w:t>технического снабжения</w:t>
            </w:r>
          </w:p>
          <w:p>
            <w:pPr>
              <w:pStyle w:val="Normal"/>
              <w:rPr>
                <w:b w:val="false"/>
                <w:bCs w:val="false"/>
              </w:rPr>
            </w:pPr>
            <w:r>
              <w:rPr>
                <w:b w:val="false"/>
                <w:bCs w:val="false"/>
              </w:rPr>
            </w:r>
          </w:p>
          <w:p>
            <w:pPr>
              <w:pStyle w:val="Normal"/>
              <w:rPr>
                <w:b w:val="false"/>
                <w:bCs w:val="false"/>
              </w:rPr>
            </w:pPr>
            <w:r>
              <w:rPr>
                <w:b w:val="false"/>
                <w:bCs w:val="false"/>
              </w:rPr>
            </w:r>
          </w:p>
          <w:p>
            <w:pPr>
              <w:pStyle w:val="Normal"/>
              <w:rPr>
                <w:b w:val="false"/>
                <w:bCs w:val="false"/>
              </w:rPr>
            </w:pPr>
            <w:r>
              <w:rPr>
                <w:rFonts w:cs="Times New Roman"/>
                <w:b w:val="false"/>
                <w:bCs w:val="false"/>
                <w:sz w:val="20"/>
                <w:szCs w:val="20"/>
              </w:rPr>
              <w:t>___________________ А.Е. Кузнецова</w:t>
            </w:r>
          </w:p>
        </w:tc>
        <w:tc>
          <w:tcPr>
            <w:tcW w:w="4822" w:type="dxa"/>
            <w:tcBorders/>
          </w:tcPr>
          <w:p>
            <w:pPr>
              <w:pStyle w:val="Normal"/>
              <w:jc w:val="both"/>
              <w:rPr/>
            </w:pPr>
            <w:r>
              <w:rPr/>
            </w:r>
          </w:p>
          <w:p>
            <w:pPr>
              <w:pStyle w:val="Normal"/>
              <w:jc w:val="both"/>
              <w:rPr>
                <w:color w:val="auto"/>
                <w:highlight w:val="none"/>
                <w:shd w:fill="auto" w:val="clear"/>
              </w:rPr>
            </w:pPr>
            <w:r>
              <w:rPr>
                <w:b/>
                <w:bCs/>
                <w:color w:val="auto"/>
                <w:shd w:fill="auto" w:val="clear"/>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9" w:name="_Hlk180496427"/>
      <w:r>
        <w:rPr>
          <w:sz w:val="20"/>
          <w:szCs w:val="20"/>
        </w:rPr>
        <w:t xml:space="preserve">к Контракту </w:t>
      </w:r>
      <w:r>
        <w:rPr>
          <w:b/>
          <w:bCs/>
          <w:sz w:val="20"/>
          <w:szCs w:val="20"/>
        </w:rPr>
        <w:t>№_______</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2026г.</w:t>
      </w:r>
      <w:bookmarkEnd w:id="9"/>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25"/>
        <w:gridCol w:w="5550"/>
        <w:gridCol w:w="1495"/>
        <w:gridCol w:w="515"/>
        <w:gridCol w:w="888"/>
        <w:gridCol w:w="1865"/>
        <w:gridCol w:w="1136"/>
        <w:gridCol w:w="1207"/>
        <w:gridCol w:w="1161"/>
        <w:gridCol w:w="1272"/>
      </w:tblGrid>
      <w:tr>
        <w:trPr>
          <w:trHeight w:val="574" w:hRule="atLeast"/>
        </w:trPr>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5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49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ОКПД 2</w:t>
            </w:r>
          </w:p>
        </w:tc>
        <w:tc>
          <w:tcPr>
            <w:tcW w:w="1403" w:type="dxa"/>
            <w:gridSpan w:val="2"/>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Страна происхождения товара</w:t>
            </w:r>
          </w:p>
        </w:tc>
        <w:tc>
          <w:tcPr>
            <w:tcW w:w="186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Номер и дата регистрационного удостоверения</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shd w:fill="auto" w:val="clear"/>
              </w:rPr>
              <w:t>Кол-во</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1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2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5550" w:type="dxa"/>
            <w:tcBorders>
              <w:top w:val="single" w:sz="4" w:space="0" w:color="000001"/>
              <w:left w:val="single" w:sz="4" w:space="0" w:color="000001"/>
              <w:bottom w:val="single" w:sz="4" w:space="0" w:color="000000"/>
              <w:right w:val="single" w:sz="4" w:space="0" w:color="000000"/>
            </w:tcBorders>
          </w:tcPr>
          <w:p>
            <w:pPr>
              <w:pStyle w:val="Normal"/>
              <w:widowControl w:val="false"/>
              <w:jc w:val="left"/>
              <w:rPr>
                <w:b/>
                <w:bCs/>
                <w:shd w:fill="auto" w:val="clear"/>
              </w:rPr>
            </w:pPr>
            <w:r>
              <w:rPr>
                <w:b/>
                <w:bCs/>
                <w:shd w:fill="auto" w:val="clear"/>
              </w:rPr>
              <w:t xml:space="preserve">Кабель отведений пациента ЭКГ холт. 12 канала 10 leads к регистратору Astrocard® НЕ12N (с дисплеем) </w:t>
            </w:r>
          </w:p>
          <w:p>
            <w:pPr>
              <w:pStyle w:val="Normal"/>
              <w:widowControl w:val="false"/>
              <w:jc w:val="left"/>
              <w:rPr>
                <w:b/>
                <w:bCs/>
                <w:shd w:fill="auto" w:val="clear"/>
              </w:rPr>
            </w:pPr>
            <w:r>
              <w:rPr>
                <w:b/>
                <w:bCs/>
                <w:shd w:fill="auto" w:val="clear"/>
              </w:rPr>
            </w:r>
          </w:p>
          <w:p>
            <w:pPr>
              <w:pStyle w:val="Normal"/>
              <w:widowControl w:val="false"/>
              <w:jc w:val="left"/>
              <w:rPr>
                <w:shd w:fill="auto" w:val="clear"/>
              </w:rPr>
            </w:pPr>
            <w:r>
              <w:rPr>
                <w:shd w:fill="auto" w:val="clear"/>
              </w:rPr>
              <w:t>Назначение - Работа в составе регистратора НЕ12N комплекса аппаратно-программного суточного мониторирования ЭКГ и АД «Холтеровский анализ –Астрокард ®»</w:t>
            </w:r>
          </w:p>
          <w:p>
            <w:pPr>
              <w:pStyle w:val="Normal"/>
              <w:widowControl w:val="false"/>
              <w:jc w:val="left"/>
              <w:rPr>
                <w:shd w:fill="auto" w:val="clear"/>
              </w:rPr>
            </w:pPr>
            <w:r>
              <w:rPr>
                <w:shd w:fill="auto" w:val="clear"/>
              </w:rPr>
              <w:t>12 отведений (10 leads) - наличие</w:t>
            </w:r>
          </w:p>
          <w:p>
            <w:pPr>
              <w:pStyle w:val="Normal"/>
              <w:widowControl w:val="false"/>
              <w:jc w:val="left"/>
              <w:rPr>
                <w:shd w:fill="auto" w:val="clear"/>
              </w:rPr>
            </w:pPr>
            <w:r>
              <w:rPr>
                <w:shd w:fill="auto" w:val="clear"/>
              </w:rPr>
              <w:t>Крепление электродов типа «кнопка»- наличие</w:t>
            </w:r>
          </w:p>
          <w:p>
            <w:pPr>
              <w:pStyle w:val="Normal"/>
              <w:widowControl w:val="false"/>
              <w:jc w:val="left"/>
              <w:rPr/>
            </w:pPr>
            <w:r>
              <w:rPr>
                <w:shd w:fill="auto" w:val="clear"/>
              </w:rPr>
              <w:t>Поляризованный коннектор присоединения кабеля к корпусу регистратора - наличие</w:t>
            </w:r>
          </w:p>
        </w:tc>
        <w:tc>
          <w:tcPr>
            <w:tcW w:w="1495" w:type="dxa"/>
            <w:tcBorders>
              <w:top w:val="single" w:sz="4" w:space="0" w:color="000000"/>
              <w:left w:val="single" w:sz="4" w:space="0" w:color="000000"/>
              <w:bottom w:val="single" w:sz="4" w:space="0" w:color="000000"/>
            </w:tcBorders>
            <w:shd w:color="FFFFFF" w:fill="auto" w:val="clear"/>
            <w:vAlign w:val="center"/>
          </w:tcPr>
          <w:p>
            <w:pPr>
              <w:pStyle w:val="Normal"/>
              <w:spacing w:lineRule="auto" w:line="240" w:before="0" w:after="0"/>
              <w:jc w:val="center"/>
              <w:rPr>
                <w:rFonts w:ascii="Times New Roman" w:hAnsi="Times New Roman"/>
                <w:sz w:val="20"/>
                <w:szCs w:val="20"/>
              </w:rPr>
            </w:pPr>
            <w:r>
              <w:rPr/>
            </w:r>
          </w:p>
        </w:tc>
        <w:tc>
          <w:tcPr>
            <w:tcW w:w="1403" w:type="dxa"/>
            <w:gridSpan w:val="2"/>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865" w:type="dxa"/>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13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1207" w:type="dxa"/>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шт</w:t>
            </w:r>
          </w:p>
        </w:tc>
        <w:tc>
          <w:tcPr>
            <w:tcW w:w="1161"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1272"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574" w:hRule="atLeast"/>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3817" w:type="dxa"/>
            <w:gridSpan w:val="8"/>
            <w:tcBorders>
              <w:top w:val="single" w:sz="4" w:space="0" w:color="000000"/>
              <w:left w:val="single" w:sz="4" w:space="0" w:color="000000"/>
              <w:bottom w:val="single" w:sz="4" w:space="0" w:color="000000"/>
              <w:right w:val="single" w:sz="4" w:space="0" w:color="000000"/>
            </w:tcBorders>
          </w:tcPr>
          <w:p>
            <w:pPr>
              <w:pStyle w:val="Normal"/>
              <w:jc w:val="right"/>
              <w:rPr>
                <w:rFonts w:ascii="Times New Roman" w:hAnsi="Times New Roman"/>
                <w:sz w:val="20"/>
                <w:szCs w:val="20"/>
              </w:rPr>
            </w:pPr>
            <w:r>
              <w:rPr>
                <w:sz w:val="20"/>
                <w:szCs w:val="20"/>
              </w:rPr>
            </w:r>
          </w:p>
          <w:p>
            <w:pPr>
              <w:pStyle w:val="Normal"/>
              <w:jc w:val="center"/>
              <w:rPr>
                <w:rFonts w:ascii="Times New Roman" w:hAnsi="Times New Roman"/>
                <w:sz w:val="20"/>
                <w:szCs w:val="20"/>
              </w:rPr>
            </w:pPr>
            <w:r>
              <w:rPr>
                <w:b/>
                <w:bCs/>
                <w:sz w:val="20"/>
                <w:szCs w:val="20"/>
                <w:shd w:fill="auto" w:val="clear"/>
              </w:rPr>
              <w:t>ИТОГО:</w:t>
            </w:r>
          </w:p>
        </w:tc>
        <w:tc>
          <w:tcPr>
            <w:tcW w:w="127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185" w:type="dxa"/>
            <w:gridSpan w:val="4"/>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sz w:val="20"/>
                <w:szCs w:val="20"/>
              </w:rPr>
            </w:pPr>
            <w:r>
              <w:rPr>
                <w:rFonts w:ascii="Times New Roman" w:hAnsi="Times New Roman"/>
                <w:sz w:val="20"/>
                <w:szCs w:val="20"/>
              </w:rPr>
            </w:r>
          </w:p>
          <w:p>
            <w:pPr>
              <w:pStyle w:val="Normal"/>
              <w:tabs>
                <w:tab w:val="clear" w:pos="708"/>
                <w:tab w:val="left" w:pos="7680" w:leader="none"/>
              </w:tabs>
              <w:rPr>
                <w:b w:val="false"/>
                <w:bCs w:val="false"/>
                <w:color w:val="000000"/>
              </w:rPr>
            </w:pPr>
            <w:r>
              <w:rPr>
                <w:b w:val="false"/>
                <w:bCs w:val="false"/>
                <w:color w:val="000000"/>
              </w:rPr>
              <w:t>Начальник отдела материально-</w:t>
            </w:r>
          </w:p>
          <w:p>
            <w:pPr>
              <w:pStyle w:val="Normal"/>
              <w:tabs>
                <w:tab w:val="clear" w:pos="708"/>
                <w:tab w:val="left" w:pos="7680" w:leader="none"/>
              </w:tabs>
              <w:rPr>
                <w:b w:val="false"/>
                <w:bCs w:val="false"/>
                <w:color w:val="000000"/>
              </w:rPr>
            </w:pPr>
            <w:r>
              <w:rPr>
                <w:b w:val="false"/>
                <w:bCs w:val="false"/>
                <w:color w:val="000000"/>
              </w:rPr>
              <w:t>технического снабжения</w:t>
            </w:r>
          </w:p>
          <w:p>
            <w:pPr>
              <w:pStyle w:val="Normal"/>
              <w:rPr/>
            </w:pPr>
            <w:r>
              <w:rPr/>
            </w:r>
          </w:p>
          <w:p>
            <w:pPr>
              <w:pStyle w:val="Normal"/>
              <w:rPr/>
            </w:pPr>
            <w:r>
              <w:rPr/>
            </w:r>
          </w:p>
          <w:p>
            <w:pPr>
              <w:pStyle w:val="Normal"/>
              <w:rPr/>
            </w:pPr>
            <w:r>
              <w:rPr>
                <w:rFonts w:cs="Times New Roman"/>
                <w:sz w:val="20"/>
                <w:szCs w:val="20"/>
                <w:shd w:fill="auto" w:val="clear"/>
              </w:rPr>
              <w:t>___________________ А.Е. Кузнецова</w:t>
            </w:r>
          </w:p>
        </w:tc>
        <w:tc>
          <w:tcPr>
            <w:tcW w:w="7529" w:type="dxa"/>
            <w:gridSpan w:val="6"/>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1">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2">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Style25">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Style26">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254</TotalTime>
  <Application>LibreOffice/25.8.3.2$Linux_X86_64 LibreOffice_project/580$Build-2</Application>
  <AppVersion>15.0000</AppVersion>
  <Pages>7</Pages>
  <Words>3300</Words>
  <Characters>23663</Characters>
  <CharactersWithSpaces>27520</CharactersWithSpaces>
  <Paragraphs>179</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2026-10-26T09:02:42Z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file>