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left="5954"/>
        <w:jc w:val="center"/>
        <w:rPr>
          <w:rFonts w:ascii="PT Astra Serif" w:hAnsi="PT Astra Serif" w:eastAsia="Arial Unicode MS" w:cs="Times New Roman"/>
          <w:color w:val="000000"/>
          <w:sz w:val="28"/>
          <w:szCs w:val="28"/>
          <w:lang w:val="ru-RU" w:eastAsia="ru-RU"/>
        </w:rPr>
      </w:pPr>
      <w:r>
        <w:rPr>
          <w:rFonts w:eastAsia="Arial Unicode MS" w:cs="Times New Roman" w:ascii="PT Astra Serif" w:hAnsi="PT Astra Serif"/>
          <w:color w:val="000000"/>
          <w:sz w:val="24"/>
          <w:szCs w:val="24"/>
          <w:lang w:val="ru-RU" w:eastAsia="ru-RU"/>
        </w:rPr>
        <w:t>«</w:t>
      </w:r>
      <w:r>
        <w:rPr>
          <w:rFonts w:eastAsia="Arial Unicode MS" w:cs="Times New Roman" w:ascii="PT Astra Serif" w:hAnsi="PT Astra Serif"/>
          <w:color w:val="000000"/>
          <w:sz w:val="28"/>
          <w:szCs w:val="28"/>
          <w:lang w:val="ru-RU" w:eastAsia="ru-RU"/>
        </w:rPr>
        <w:t>У Т В Е Р Ж Д А Ю»</w:t>
      </w:r>
      <w:r>
        <w:rPr>
          <w:rFonts w:eastAsia="Arial Unicode MS" w:cs="Times New Roman" w:ascii="PT Astra Serif" w:hAnsi="PT Astra Serif"/>
          <w:b/>
          <w:color w:val="000000"/>
          <w:sz w:val="28"/>
          <w:szCs w:val="28"/>
          <w:lang w:val="ru-RU" w:eastAsia="ru-RU"/>
        </w:rPr>
        <w:br/>
      </w:r>
      <w:r>
        <w:rPr>
          <w:rFonts w:eastAsia="Arial Unicode MS" w:cs="Times New Roman" w:ascii="PT Astra Serif" w:hAnsi="PT Astra Serif"/>
          <w:color w:val="000000"/>
          <w:sz w:val="28"/>
          <w:szCs w:val="28"/>
          <w:lang w:val="ru-RU" w:eastAsia="ru-RU"/>
        </w:rPr>
        <w:t>Начальник Управления</w:t>
      </w:r>
    </w:p>
    <w:p>
      <w:pPr>
        <w:pStyle w:val="Normal"/>
        <w:widowControl w:val="false"/>
        <w:spacing w:lineRule="auto" w:line="240" w:before="0" w:after="0"/>
        <w:ind w:left="5954"/>
        <w:jc w:val="center"/>
        <w:rPr>
          <w:rFonts w:ascii="PT Astra Serif" w:hAnsi="PT Astra Serif" w:eastAsia="Arial Unicode MS" w:cs="Times New Roman"/>
          <w:color w:val="000000"/>
          <w:sz w:val="28"/>
          <w:szCs w:val="28"/>
          <w:lang w:val="ru-RU" w:eastAsia="ru-RU"/>
        </w:rPr>
      </w:pPr>
      <w:r>
        <w:rPr>
          <w:rFonts w:eastAsia="Arial Unicode MS" w:cs="Times New Roman" w:ascii="PT Astra Serif" w:hAnsi="PT Astra Serif"/>
          <w:color w:val="000000"/>
          <w:sz w:val="28"/>
          <w:szCs w:val="28"/>
          <w:lang w:val="ru-RU" w:eastAsia="ru-RU"/>
        </w:rPr>
        <w:t>эксплуатации зданий Минюста России</w:t>
      </w:r>
    </w:p>
    <w:p>
      <w:pPr>
        <w:pStyle w:val="Normal"/>
        <w:widowControl w:val="false"/>
        <w:spacing w:lineRule="auto" w:line="240" w:before="0" w:after="0"/>
        <w:ind w:left="5954"/>
        <w:jc w:val="center"/>
        <w:rPr>
          <w:rFonts w:ascii="PT Astra Serif" w:hAnsi="PT Astra Serif" w:eastAsia="Arial Unicode MS" w:cs="Times New Roman"/>
          <w:color w:val="000000"/>
          <w:sz w:val="28"/>
          <w:szCs w:val="28"/>
          <w:lang w:val="ru-RU" w:eastAsia="ru-RU"/>
        </w:rPr>
      </w:pPr>
      <w:r>
        <w:rPr>
          <w:rFonts w:eastAsia="Arial Unicode MS" w:cs="Times New Roman" w:ascii="PT Astra Serif" w:hAnsi="PT Astra Serif"/>
          <w:color w:val="000000"/>
          <w:sz w:val="28"/>
          <w:szCs w:val="28"/>
          <w:lang w:val="ru-RU" w:eastAsia="ru-RU"/>
        </w:rPr>
      </w:r>
    </w:p>
    <w:p>
      <w:pPr>
        <w:pStyle w:val="Normal"/>
        <w:widowControl w:val="false"/>
        <w:spacing w:lineRule="auto" w:line="240" w:before="0" w:after="0"/>
        <w:ind w:left="5954"/>
        <w:jc w:val="right"/>
        <w:rPr>
          <w:rFonts w:ascii="PT Astra Serif" w:hAnsi="PT Astra Serif" w:eastAsia="Arial Unicode MS" w:cs="Times New Roman"/>
          <w:color w:val="000000"/>
          <w:sz w:val="28"/>
          <w:szCs w:val="28"/>
          <w:lang w:val="ru-RU" w:eastAsia="ru-RU"/>
        </w:rPr>
      </w:pPr>
      <w:r>
        <w:rPr>
          <w:rFonts w:eastAsia="Arial Unicode MS" w:cs="Times New Roman" w:ascii="PT Astra Serif" w:hAnsi="PT Astra Serif"/>
          <w:color w:val="000000"/>
          <w:sz w:val="28"/>
          <w:szCs w:val="28"/>
          <w:lang w:val="ru-RU" w:eastAsia="ru-RU"/>
        </w:rPr>
        <w:t>Д.В. Мамакин</w:t>
      </w:r>
    </w:p>
    <w:p>
      <w:pPr>
        <w:pStyle w:val="Normal"/>
        <w:widowControl w:val="false"/>
        <w:spacing w:lineRule="auto" w:line="240" w:before="0" w:after="0"/>
        <w:ind w:left="5954"/>
        <w:rPr>
          <w:rFonts w:ascii="PT Astra Serif" w:hAnsi="PT Astra Serif" w:eastAsia="Arial Unicode MS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  <w:t xml:space="preserve">«___» __________ </w:t>
      </w:r>
      <w:r>
        <w:rPr>
          <w:rFonts w:eastAsia="Arial Unicode MS" w:cs="Times New Roman" w:ascii="PT Astra Serif" w:hAnsi="PT Astra Serif"/>
          <w:color w:val="000000"/>
          <w:sz w:val="28"/>
          <w:szCs w:val="28"/>
          <w:lang w:val="ru-RU" w:eastAsia="ru-RU"/>
        </w:rPr>
        <w:t>2026 г.</w:t>
      </w:r>
    </w:p>
    <w:p>
      <w:pPr>
        <w:pStyle w:val="Normal"/>
        <w:widowControl w:val="false"/>
        <w:spacing w:lineRule="auto" w:line="240" w:before="0" w:after="0"/>
        <w:ind w:left="5954"/>
        <w:jc w:val="center"/>
        <w:rPr>
          <w:rFonts w:ascii="PT Astra Serif" w:hAnsi="PT Astra Serif" w:eastAsia="Arial Unicode MS" w:cs="Times New Roman"/>
          <w:b/>
          <w:sz w:val="24"/>
          <w:szCs w:val="24"/>
          <w:lang w:val="ru-RU" w:eastAsia="ru-RU"/>
        </w:rPr>
      </w:pPr>
      <w:r>
        <w:rPr>
          <w:rFonts w:eastAsia="Arial Unicode MS" w:cs="Times New Roman" w:ascii="PT Astra Serif" w:hAnsi="PT Astra Serif"/>
          <w:b/>
          <w:sz w:val="24"/>
          <w:szCs w:val="24"/>
          <w:lang w:val="ru-RU"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erif" w:hAnsi="PT Astra Serif" w:eastAsia="Times New Roman" w:cs="Times New Roman"/>
          <w:b/>
          <w:kern w:val="2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b/>
          <w:kern w:val="2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erif" w:hAnsi="PT Astra Serif" w:eastAsia="Times New Roman" w:cs="Times New Roman"/>
          <w:b/>
          <w:kern w:val="2"/>
          <w:sz w:val="24"/>
          <w:szCs w:val="24"/>
          <w:lang w:eastAsia="ru-RU"/>
        </w:rPr>
      </w:pPr>
      <w:r>
        <w:rPr>
          <w:rFonts w:eastAsia="Times New Roman" w:cs="Times New Roman" w:ascii="PT Astra Serif" w:hAnsi="PT Astra Serif"/>
          <w:b/>
          <w:kern w:val="2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erif" w:hAnsi="PT Astra Serif" w:eastAsia="Times New Roman" w:cs="Times New Roman"/>
          <w:b/>
          <w:kern w:val="2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kern w:val="2"/>
          <w:sz w:val="26"/>
          <w:szCs w:val="26"/>
          <w:lang w:eastAsia="ru-RU"/>
        </w:rPr>
        <w:t>Описание объекта закупки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erif" w:hAnsi="PT Astra Serif" w:eastAsia="Times New Roman" w:cs="Times New Roman"/>
          <w:b/>
          <w:kern w:val="2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kern w:val="2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PT Astra Serif" w:hAnsi="PT Astra Serif"/>
          <w:b/>
          <w:kern w:val="2"/>
          <w:sz w:val="26"/>
          <w:szCs w:val="26"/>
          <w:lang w:eastAsia="ru-RU"/>
        </w:rPr>
        <w:t>(Техническое задание)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center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bCs/>
          <w:color w:val="00000A"/>
          <w:sz w:val="26"/>
          <w:szCs w:val="26"/>
          <w:lang w:eastAsia="ru-RU"/>
        </w:rPr>
        <w:t>Оказание услуг по испытаниям средств индивидуальной защиты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center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bCs/>
          <w:color w:val="00000A"/>
          <w:sz w:val="26"/>
          <w:szCs w:val="26"/>
          <w:lang w:eastAsia="ru-RU"/>
        </w:rPr>
        <w:t>для работы в электроустановках до 1000 В.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center"/>
        <w:rPr>
          <w:rFonts w:ascii="PT Astra Serif" w:hAnsi="PT Astra Serif" w:eastAsia="Times New Roman" w:cs="Times New Roman"/>
          <w:b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color w:val="00000A"/>
          <w:sz w:val="26"/>
          <w:szCs w:val="26"/>
          <w:lang w:eastAsia="ru-RU"/>
        </w:rPr>
        <w:t>ОКПД2: 71.20.19.190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  <w:tab w:val="left" w:pos="709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color w:val="00000A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eastAsia="ar-SA"/>
        </w:rPr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bCs/>
          <w:color w:val="00000A"/>
          <w:kern w:val="2"/>
          <w:sz w:val="26"/>
          <w:szCs w:val="26"/>
          <w:lang w:eastAsia="ar-SA"/>
        </w:rPr>
        <w:t>1. Заказчик:</w:t>
      </w: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 xml:space="preserve"> Министерство юстиции Российской Федерации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bCs/>
          <w:color w:val="00000A"/>
          <w:kern w:val="2"/>
          <w:sz w:val="26"/>
          <w:szCs w:val="26"/>
          <w:lang w:eastAsia="ar-SA"/>
        </w:rPr>
        <w:t>2.</w:t>
      </w: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> </w:t>
      </w:r>
      <w:r>
        <w:rPr>
          <w:rFonts w:eastAsia="Times New Roman" w:cs="Times New Roman" w:ascii="PT Astra Serif" w:hAnsi="PT Astra Serif"/>
          <w:b/>
          <w:bCs/>
          <w:color w:val="00000A"/>
          <w:kern w:val="2"/>
          <w:sz w:val="26"/>
          <w:szCs w:val="26"/>
          <w:lang w:eastAsia="ar-SA"/>
        </w:rPr>
        <w:t>Объект закупки:</w:t>
      </w: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 xml:space="preserve"> О</w:t>
      </w: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ru-RU"/>
        </w:rPr>
        <w:t>казание услуг по испытаниям средств индивидуальной защиты для работы в электроустановках до 1000 В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bCs/>
          <w:color w:val="00000A"/>
          <w:kern w:val="2"/>
          <w:sz w:val="26"/>
          <w:szCs w:val="26"/>
          <w:lang w:eastAsia="ru-RU"/>
        </w:rPr>
        <w:t>3. Место оказания услуг:</w:t>
      </w: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ru-RU"/>
        </w:rPr>
        <w:t xml:space="preserve"> Услуги оказываются на территории Исполнителя. Доставка средств индивидуальной защиты до территории Исполнителя и обратно на территорию Заказчика по адресу: г. Москва, улица Житная д. 14, стр. 1 осуществляется за счет средств и сил Исполнителя.</w:t>
      </w:r>
    </w:p>
    <w:p>
      <w:pPr>
        <w:pStyle w:val="Normal"/>
        <w:tabs>
          <w:tab w:val="clear" w:pos="708"/>
          <w:tab w:val="left" w:pos="426" w:leader="none"/>
          <w:tab w:val="left" w:pos="709" w:leader="none"/>
        </w:tabs>
        <w:suppressAutoHyphens w:val="true"/>
        <w:spacing w:lineRule="auto" w:line="240" w:before="0" w:after="0"/>
        <w:contextualSpacing/>
        <w:jc w:val="both"/>
        <w:rPr>
          <w:rFonts w:ascii="PT Astra Serif" w:hAnsi="PT Astra Serif" w:eastAsia="Times New Roman" w:cs="Times New Roman"/>
          <w:b/>
          <w:bCs/>
          <w:color w:val="00000A"/>
          <w:kern w:val="2"/>
          <w:sz w:val="26"/>
          <w:szCs w:val="26"/>
          <w:lang w:eastAsia="ar-SA"/>
        </w:rPr>
      </w:pPr>
      <w:r>
        <w:rPr>
          <w:rFonts w:eastAsia="Times New Roman" w:cs="Times New Roman" w:ascii="PT Astra Serif" w:hAnsi="PT Astra Serif"/>
          <w:b/>
          <w:bCs/>
          <w:color w:val="00000A"/>
          <w:kern w:val="2"/>
          <w:sz w:val="26"/>
          <w:szCs w:val="26"/>
          <w:lang w:eastAsia="ar-SA"/>
        </w:rPr>
        <w:t>4. Объём услуг:</w:t>
      </w:r>
    </w:p>
    <w:tbl>
      <w:tblPr>
        <w:tblStyle w:val="20"/>
        <w:tblW w:w="9924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7230"/>
        <w:gridCol w:w="1418"/>
        <w:gridCol w:w="708"/>
      </w:tblGrid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п/п</w:t>
            </w:r>
          </w:p>
        </w:tc>
        <w:tc>
          <w:tcPr>
            <w:tcW w:w="723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Наименование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Единица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измерения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Кол-во</w:t>
            </w:r>
          </w:p>
        </w:tc>
      </w:tr>
      <w:tr>
        <w:trPr>
          <w:trHeight w:val="611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1</w:t>
            </w:r>
          </w:p>
        </w:tc>
        <w:tc>
          <w:tcPr>
            <w:tcW w:w="723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 xml:space="preserve">Испытание указателя низкого напряжения 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шт.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18</w:t>
            </w:r>
          </w:p>
        </w:tc>
      </w:tr>
      <w:tr>
        <w:trPr>
          <w:trHeight w:val="611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2</w:t>
            </w:r>
          </w:p>
        </w:tc>
        <w:tc>
          <w:tcPr>
            <w:tcW w:w="723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 xml:space="preserve">Испытание перчаток диэлектрических 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пара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18</w:t>
            </w:r>
          </w:p>
        </w:tc>
      </w:tr>
      <w:tr>
        <w:trPr>
          <w:trHeight w:val="611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3</w:t>
            </w:r>
          </w:p>
        </w:tc>
        <w:tc>
          <w:tcPr>
            <w:tcW w:w="723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Испытание ручного диэлектрического инструмента: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b/>
                <w:color w:val="00000A"/>
                <w:kern w:val="2"/>
                <w:sz w:val="26"/>
                <w:szCs w:val="26"/>
                <w:lang w:val="ru-RU" w:eastAsia="ru-RU" w:bidi="ar-SA"/>
              </w:rPr>
              <w:t>Набор</w:t>
            </w: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 xml:space="preserve"> диэлектрического губцевого инструмента Зубр Профессионал </w:t>
            </w:r>
            <w:r>
              <w:rPr>
                <w:rFonts w:eastAsia="Times New Roman" w:cs="Times New Roman" w:ascii="PT Astra Serif" w:hAnsi="PT Astra Serif"/>
                <w:b/>
                <w:color w:val="00000A"/>
                <w:kern w:val="2"/>
                <w:sz w:val="26"/>
                <w:szCs w:val="26"/>
                <w:lang w:val="ru-RU" w:eastAsia="ru-RU" w:bidi="ar-SA"/>
              </w:rPr>
              <w:t>12 предметов</w:t>
            </w: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 xml:space="preserve"> 2214-H12_z01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шт.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8</w:t>
            </w:r>
          </w:p>
        </w:tc>
      </w:tr>
      <w:tr>
        <w:trPr>
          <w:trHeight w:val="611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4</w:t>
            </w:r>
          </w:p>
        </w:tc>
        <w:tc>
          <w:tcPr>
            <w:tcW w:w="723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Испытание ручного диэлектрического инструмента: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709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b/>
                <w:color w:val="00000A"/>
                <w:kern w:val="2"/>
                <w:sz w:val="26"/>
                <w:szCs w:val="26"/>
                <w:lang w:val="ru-RU" w:eastAsia="ru-RU" w:bidi="ar-SA"/>
              </w:rPr>
              <w:t>Набор</w:t>
            </w: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 xml:space="preserve"> диэлектрического инструмента 1/4 КВТ НИИ 15 71103 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шт.</w:t>
            </w:r>
          </w:p>
        </w:tc>
        <w:tc>
          <w:tcPr>
            <w:tcW w:w="70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</w:tabs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color w:val="00000A"/>
                <w:kern w:val="2"/>
                <w:sz w:val="26"/>
                <w:szCs w:val="26"/>
              </w:rPr>
            </w:pPr>
            <w:r>
              <w:rPr>
                <w:rFonts w:eastAsia="Times New Roman" w:cs="Times New Roman" w:ascii="PT Astra Serif" w:hAnsi="PT Astra Serif"/>
                <w:color w:val="00000A"/>
                <w:kern w:val="2"/>
                <w:sz w:val="26"/>
                <w:szCs w:val="26"/>
                <w:lang w:val="ru-RU" w:eastAsia="ru-RU" w:bidi="ar-SA"/>
              </w:rPr>
              <w:t>1</w:t>
            </w:r>
          </w:p>
        </w:tc>
      </w:tr>
    </w:tbl>
    <w:p>
      <w:pPr>
        <w:pStyle w:val="Normal"/>
        <w:tabs>
          <w:tab w:val="clear" w:pos="708"/>
          <w:tab w:val="left" w:pos="426" w:leader="none"/>
          <w:tab w:val="left" w:pos="709" w:leader="none"/>
        </w:tabs>
        <w:suppressAutoHyphens w:val="true"/>
        <w:spacing w:lineRule="auto" w:line="240" w:before="0" w:after="0"/>
        <w:contextualSpacing/>
        <w:jc w:val="both"/>
        <w:rPr>
          <w:rFonts w:ascii="PT Astra Serif" w:hAnsi="PT Astra Serif" w:eastAsia="Times New Roman" w:cs="Times New Roman"/>
          <w:color w:val="00000A"/>
          <w:kern w:val="2"/>
          <w:sz w:val="26"/>
          <w:szCs w:val="26"/>
          <w:lang w:eastAsia="ar-SA"/>
        </w:rPr>
      </w:pPr>
      <w:r>
        <w:rPr>
          <w:rFonts w:eastAsia="Times New Roman" w:cs="Times New Roman" w:ascii="PT Astra Serif" w:hAnsi="PT Astra Serif"/>
          <w:b/>
          <w:bCs/>
          <w:color w:val="00000A"/>
          <w:kern w:val="2"/>
          <w:sz w:val="26"/>
          <w:szCs w:val="26"/>
          <w:lang w:eastAsia="ar-SA"/>
        </w:rPr>
        <w:t>5. Срок оказания услуг:</w:t>
      </w:r>
    </w:p>
    <w:p>
      <w:pPr>
        <w:pStyle w:val="Normal"/>
        <w:tabs>
          <w:tab w:val="clear" w:pos="708"/>
          <w:tab w:val="left" w:pos="426" w:leader="none"/>
          <w:tab w:val="left" w:pos="709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>В течение 10 (десяти) рабочих дней с даты заключения Контракта.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  <w:tab w:val="left" w:pos="709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color w:val="00000A"/>
          <w:kern w:val="2"/>
          <w:sz w:val="26"/>
          <w:szCs w:val="26"/>
          <w:lang w:eastAsia="ar-SA"/>
        </w:rPr>
        <w:t>6. Основные требования к оказанию услуг: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 xml:space="preserve">Испытания </w:t>
      </w: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ru-RU"/>
        </w:rPr>
        <w:t>средств индивидуальной защиты для работы в электроустановках</w:t>
        <w:br/>
        <w:t>до 1000 В (далее - СИЗ)</w:t>
      </w: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 xml:space="preserve"> должны быть проведены организациями, имеющими свидетельство о регистрации электролаборатории.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>Все испытания СИЗ должны быть проведены специально обученными</w:t>
        <w:br/>
        <w:t>и аттестованными работниками.</w:t>
      </w:r>
    </w:p>
    <w:p>
      <w:pPr>
        <w:pStyle w:val="11"/>
        <w:spacing w:lineRule="auto" w:line="276" w:before="0" w:after="0"/>
        <w:rPr>
          <w:sz w:val="26"/>
          <w:szCs w:val="26"/>
        </w:rPr>
      </w:pPr>
      <w:r>
        <w:rPr>
          <w:rFonts w:ascii="PT Astra Serif" w:hAnsi="PT Astra Serif"/>
          <w:kern w:val="2"/>
          <w:sz w:val="26"/>
          <w:szCs w:val="26"/>
        </w:rPr>
        <w:t xml:space="preserve">Испытания должны быть проведены в соответствии с "ГОСТ 12.4.307-2016. </w:t>
      </w:r>
      <w:r>
        <w:rPr>
          <w:rFonts w:ascii="PT Astra Serif" w:hAnsi="PT Astra Serif"/>
          <w:color w:val="auto"/>
          <w:sz w:val="26"/>
          <w:szCs w:val="26"/>
        </w:rPr>
        <w:t xml:space="preserve">Межгосударственный стандарт. </w:t>
      </w:r>
      <w:r>
        <w:rPr>
          <w:rFonts w:ascii="PT Astra Serif" w:hAnsi="PT Astra Serif"/>
          <w:sz w:val="26"/>
          <w:szCs w:val="26"/>
        </w:rPr>
        <w:t>Система стандартов безопасности труда. Перчатки диэлектрические из полимерных материалов. Общие технические требования и методы испытаний".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>На СИЗ должны быть поставлены отметки (клеймо, штамп) о сроках последующего испытания.</w:t>
      </w:r>
      <w:bookmarkStart w:id="0" w:name="_GoBack"/>
      <w:bookmarkEnd w:id="0"/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>Штамп должен быть отчетливо виден. Он должен быть нанесен несмываемой краской или наклеен у края резиновых изделий. Если средство защиты состоит</w:t>
        <w:br/>
        <w:t>из нескольких частей, штамп ставить только на одной части. Способ нанесения штампа и его размеры не должны ухудшать изоляционных характеристик средств защиты.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>На СИЗ, не выдержавших испытания, штамп должен быть перечеркнут красной краской.</w:t>
      </w:r>
    </w:p>
    <w:p>
      <w:pPr>
        <w:pStyle w:val="Normal"/>
        <w:tabs>
          <w:tab w:val="clear" w:pos="708"/>
          <w:tab w:val="left" w:pos="296" w:leader="none"/>
          <w:tab w:val="left" w:pos="567" w:leader="none"/>
          <w:tab w:val="left" w:pos="156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themeColor="text1"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color w:val="00000A"/>
          <w:kern w:val="2"/>
          <w:sz w:val="26"/>
          <w:szCs w:val="26"/>
          <w:lang w:eastAsia="ar-SA"/>
        </w:rPr>
        <w:t>7. </w:t>
      </w:r>
      <w:r>
        <w:rPr>
          <w:rFonts w:eastAsia="Times New Roman" w:cs="Times New Roman" w:ascii="PT Astra Serif" w:hAnsi="PT Astra Serif"/>
          <w:b/>
          <w:color w:themeColor="text1" w:val="000000"/>
          <w:sz w:val="26"/>
          <w:szCs w:val="26"/>
          <w:lang w:eastAsia="ru-RU"/>
        </w:rPr>
        <w:t>Порядок приемки услуг и требования к отчётности:</w:t>
      </w:r>
    </w:p>
    <w:p>
      <w:pPr>
        <w:pStyle w:val="Normal"/>
        <w:tabs>
          <w:tab w:val="clear" w:pos="708"/>
          <w:tab w:val="left" w:pos="296" w:leader="none"/>
          <w:tab w:val="left" w:pos="567" w:leader="none"/>
          <w:tab w:val="left" w:pos="156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>По результатам оказания услуг Исполнитель представляет Заказчику следующие документы: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96" w:leader="none"/>
          <w:tab w:val="left" w:pos="567" w:leader="none"/>
          <w:tab w:val="left" w:pos="1560" w:leader="none"/>
        </w:tabs>
        <w:suppressAutoHyphens w:val="true"/>
        <w:spacing w:lineRule="auto" w:line="240" w:before="0" w:after="0"/>
        <w:ind w:hanging="0" w:left="0"/>
        <w:contextualSpacing/>
        <w:jc w:val="both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>Акт сдачи-приёмки оказанных услуг в 2 (двух) экземплярах;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96" w:leader="none"/>
          <w:tab w:val="left" w:pos="567" w:leader="none"/>
          <w:tab w:val="left" w:pos="1560" w:leader="none"/>
        </w:tabs>
        <w:suppressAutoHyphens w:val="true"/>
        <w:spacing w:lineRule="auto" w:line="240" w:before="0" w:after="0"/>
        <w:contextualSpacing/>
        <w:jc w:val="both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>Счет в 1 (одном) экземпляре;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6" w:leader="none"/>
          <w:tab w:val="left" w:pos="567" w:leader="none"/>
          <w:tab w:val="left" w:pos="1560" w:leader="none"/>
        </w:tabs>
        <w:suppressAutoHyphens w:val="true"/>
        <w:spacing w:lineRule="auto" w:line="240" w:before="0" w:after="0"/>
        <w:ind w:hanging="0" w:left="0"/>
        <w:contextualSpacing/>
        <w:jc w:val="both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>Счет фактура (при наличии) в 1 (одном) экземпляре;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6" w:leader="none"/>
          <w:tab w:val="left" w:pos="567" w:leader="none"/>
          <w:tab w:val="left" w:pos="1560" w:leader="none"/>
        </w:tabs>
        <w:suppressAutoHyphens w:val="true"/>
        <w:spacing w:lineRule="auto" w:line="240" w:before="0" w:after="0"/>
        <w:ind w:hanging="0" w:left="0"/>
        <w:contextualSpacing/>
        <w:jc w:val="both"/>
        <w:rPr>
          <w:rFonts w:ascii="PT Astra Serif" w:hAnsi="PT Astra Serif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kern w:val="2"/>
          <w:sz w:val="26"/>
          <w:szCs w:val="26"/>
          <w:lang w:eastAsia="ar-SA"/>
        </w:rPr>
        <w:t>Протоколы испытаний СИЗ в 2 (двух) экземплярах.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tabs>
          <w:tab w:val="clear" w:pos="708"/>
          <w:tab w:val="left" w:pos="289" w:leader="none"/>
          <w:tab w:val="left" w:pos="360" w:leader="none"/>
          <w:tab w:val="left" w:pos="426" w:leader="none"/>
        </w:tabs>
        <w:suppressAutoHyphens w:val="true"/>
        <w:spacing w:lineRule="auto" w:line="240" w:before="0" w:after="0"/>
        <w:contextualSpacing/>
        <w:jc w:val="both"/>
        <w:outlineLvl w:val="0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color w:val="00000A"/>
          <w:kern w:val="2"/>
          <w:sz w:val="26"/>
          <w:szCs w:val="26"/>
          <w:lang w:eastAsia="ar-SA"/>
        </w:rPr>
        <w:t>8</w:t>
      </w:r>
      <w:bookmarkStart w:id="1" w:name="bookmark5"/>
      <w:r>
        <w:rPr>
          <w:rFonts w:eastAsia="Times New Roman" w:cs="Times New Roman" w:ascii="PT Astra Serif" w:hAnsi="PT Astra Serif"/>
          <w:b/>
          <w:color w:val="00000A"/>
          <w:kern w:val="2"/>
          <w:sz w:val="26"/>
          <w:szCs w:val="26"/>
          <w:lang w:eastAsia="ar-SA"/>
        </w:rPr>
        <w:t>.</w:t>
      </w:r>
      <w:bookmarkEnd w:id="1"/>
      <w:r>
        <w:rPr>
          <w:rFonts w:eastAsia="Times New Roman" w:cs="Times New Roman" w:ascii="PT Astra Serif" w:hAnsi="PT Astra Serif"/>
          <w:b/>
          <w:color w:val="00000A"/>
          <w:kern w:val="2"/>
          <w:sz w:val="26"/>
          <w:szCs w:val="26"/>
          <w:lang w:eastAsia="ar-SA"/>
        </w:rPr>
        <w:t> Гарантийные обязательства:</w:t>
      </w:r>
    </w:p>
    <w:p>
      <w:pPr>
        <w:pStyle w:val="Normal"/>
        <w:widowControl w:val="false"/>
        <w:tabs>
          <w:tab w:val="left" w:pos="708" w:leader="none"/>
        </w:tabs>
        <w:suppressAutoHyphens w:val="true"/>
        <w:spacing w:lineRule="auto" w:line="240" w:before="0" w:after="0"/>
        <w:contextualSpacing/>
        <w:jc w:val="both"/>
        <w:rPr>
          <w:rFonts w:ascii="PT Astra Serif" w:hAnsi="PT Astra Serif" w:eastAsia="Tahoma" w:cs="Times New Roman"/>
          <w:color w:val="000000"/>
          <w:sz w:val="26"/>
          <w:szCs w:val="26"/>
          <w:lang w:eastAsia="zh-CN" w:bidi="hi-IN"/>
        </w:rPr>
      </w:pPr>
      <w:r>
        <w:rPr>
          <w:rFonts w:eastAsia="Tahoma" w:cs="Times New Roman" w:ascii="PT Astra Serif" w:hAnsi="PT Astra Serif"/>
          <w:color w:val="000000"/>
          <w:sz w:val="26"/>
          <w:szCs w:val="26"/>
          <w:lang w:eastAsia="zh-CN" w:bidi="hi-IN"/>
        </w:rPr>
        <w:t>Исполнитель гарантирует качественное оказание услуг с обязательным использованием сертифицированного оборудования, имеющего свидетельство</w:t>
        <w:br/>
        <w:t>о поверке, выданного лицензированной организацией, дающее право</w:t>
        <w:br/>
        <w:t>на осуществление такой деятельности.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color w:val="00000A"/>
          <w:sz w:val="26"/>
          <w:szCs w:val="26"/>
          <w:lang w:eastAsia="ru-RU"/>
        </w:rPr>
        <w:t>Гарантия качества выполнения поверочных работ предоставляется на весь межповерочный период.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567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b/>
          <w:color w:val="00000A"/>
          <w:kern w:val="2"/>
          <w:sz w:val="26"/>
          <w:szCs w:val="26"/>
          <w:lang w:eastAsia="ar-SA"/>
        </w:rPr>
        <w:t>9. Перечень нормативных правовых и нормативных технических актов: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Федеральный закон от 28.12.2013 № 412-ФЗ "Об аккредитации в национальной системе аккредитации";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Федеральный закон от 26.06.2008 № 102-ФЗ "Об обеспечении единства измерений";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Приказ Минэнерго России от 12.08.2022 № 811 "Об утверждении Правил технической эксплуатации электроустановок потребителей электрической энергии";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Приказ Минтруда России от 15.12.2020 N 903н "Об утверждении Правил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br/>
      </w: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по охране труда при эксплуатации электроустановок";</w:t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0" w:leader="none"/>
          <w:tab w:val="left" w:pos="426" w:leader="none"/>
          <w:tab w:val="left" w:pos="561" w:leader="none"/>
          <w:tab w:val="left" w:pos="708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"ГОСТ 12.4.307-2016. Межгосударственный стандарт. Система стандартов безопасности труда. Перчатки диэлектрические из полимерных материалов. Общие технические требования и методы испытаний";</w:t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0" w:leader="none"/>
          <w:tab w:val="left" w:pos="426" w:leader="none"/>
          <w:tab w:val="left" w:pos="561" w:leader="none"/>
          <w:tab w:val="left" w:pos="708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eastAsia="ru-RU"/>
        </w:rPr>
        <w:t>ГОСТ 20493-2001. Указатели напряжения. Общие технические условия;</w:t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0" w:leader="none"/>
          <w:tab w:val="left" w:pos="426" w:leader="none"/>
          <w:tab w:val="left" w:pos="561" w:leader="none"/>
          <w:tab w:val="left" w:pos="708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eastAsia="ru-RU"/>
        </w:rPr>
        <w:t>ГОСТ IEC 60900-2019. Межгосударственный стандарт. Работа под напряжением. Ручные инструменты для работ под напряжением до 1000 В переменного и 1500 В постоянного тока. Общие требования и методы испытаний;</w:t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0" w:leader="none"/>
          <w:tab w:val="left" w:pos="426" w:leader="none"/>
          <w:tab w:val="left" w:pos="561" w:leader="none"/>
          <w:tab w:val="left" w:pos="708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  <w:lang w:eastAsia="ru-RU"/>
        </w:rPr>
        <w:t>ГОСТ 22261-94. Средства измерений электрических и магнитных величин. Общие технические условия.</w:t>
      </w:r>
    </w:p>
    <w:p>
      <w:pPr>
        <w:pStyle w:val="Normal"/>
        <w:widowControl w:val="false"/>
        <w:tabs>
          <w:tab w:val="left" w:pos="0" w:leader="none"/>
          <w:tab w:val="left" w:pos="426" w:leader="none"/>
          <w:tab w:val="left" w:pos="561" w:leader="none"/>
          <w:tab w:val="left" w:pos="708" w:leader="none"/>
        </w:tabs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A"/>
          <w:sz w:val="26"/>
          <w:szCs w:val="26"/>
          <w:lang w:eastAsia="ru-RU"/>
        </w:rPr>
      </w:pPr>
      <w:r>
        <w:rPr>
          <w:rFonts w:eastAsia="Calibri" w:cs="Times New Roman" w:ascii="PT Astra Serif" w:hAnsi="PT Astra Serif"/>
          <w:b/>
          <w:color w:val="00000A"/>
          <w:sz w:val="26"/>
          <w:szCs w:val="26"/>
          <w:lang w:eastAsia="ru-RU"/>
        </w:rPr>
        <w:t>10. Иные требования к оказанию услуг:</w:t>
      </w:r>
    </w:p>
    <w:p>
      <w:pPr>
        <w:pStyle w:val="Normal"/>
        <w:tabs>
          <w:tab w:val="left" w:pos="708" w:leader="none"/>
        </w:tabs>
        <w:suppressAutoHyphens w:val="true"/>
        <w:spacing w:lineRule="auto" w:line="240" w:before="0" w:after="0"/>
        <w:jc w:val="both"/>
        <w:rPr>
          <w:rFonts w:ascii="PT Astra Serif" w:hAnsi="PT Astra Serif" w:eastAsia="Calibri" w:cs="Times New Roman"/>
          <w:color w:val="00000A"/>
          <w:sz w:val="26"/>
          <w:szCs w:val="26"/>
          <w:lang w:eastAsia="ru-RU"/>
        </w:rPr>
      </w:pPr>
      <w:r>
        <w:rPr>
          <w:rFonts w:eastAsia="Calibri" w:cs="Times New Roman" w:ascii="PT Astra Serif" w:hAnsi="PT Astra Serif"/>
          <w:color w:val="00000A"/>
          <w:sz w:val="26"/>
          <w:szCs w:val="26"/>
          <w:lang w:eastAsia="ru-RU"/>
        </w:rPr>
        <w:t>При оказании услуг Исполнитель обязан: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 xml:space="preserve">Для оформления допуска на объект Заказчика, Исполнитель в течении 1 (одного) рабочего дня со дня заключения государственного контракта направляет заверенные печатью и подписью списки людей и машин (при необходимости) на электронную почту: </w:t>
      </w:r>
      <w:hyperlink r:id="rId2">
        <w:r>
          <w:rPr>
            <w:rStyle w:val="Hyperlink"/>
            <w:rFonts w:eastAsia="Times New Roman" w:cs="Times New Roman" w:ascii="PT Astra Serif" w:hAnsi="PT Astra Serif"/>
            <w:kern w:val="2"/>
            <w:sz w:val="26"/>
            <w:szCs w:val="26"/>
            <w:lang w:eastAsia="ar-SA"/>
          </w:rPr>
          <w:t>aleksandr.yaskin@minjust.gov.ru</w:t>
        </w:r>
      </w:hyperlink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Соблюдать правила действующего внутреннего распорядка, контрольно-пропускного режима, санитарных норм и правил, внутренних положений</w:t>
        <w:br/>
        <w:t>и инструкций, требований Заказчика;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  <w:t>Обеспечить собственными силами и средствами въезд автотранспорта</w:t>
        <w:br/>
        <w:t>на территорию Министерства юстиции РФ (если необходимо).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PT Astra Serif" w:hAnsi="PT Astra Serif" w:eastAsia="Times New Roman" w:cs="Times New Roman"/>
          <w:kern w:val="2"/>
          <w:sz w:val="26"/>
          <w:szCs w:val="26"/>
          <w:lang w:eastAsia="ar-SA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PT Astra Serif" w:hAnsi="PT Astra Serif" w:eastAsia="Times New Roman" w:cs="Times New Roman"/>
          <w:kern w:val="2"/>
          <w:sz w:val="26"/>
          <w:szCs w:val="26"/>
          <w:lang w:eastAsia="ar-SA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jc w:val="both"/>
        <w:rPr>
          <w:rFonts w:ascii="PT Astra Serif" w:hAnsi="PT Astra Serif" w:eastAsia="Times New Roman" w:cs="Times New Roman"/>
          <w:kern w:val="2"/>
          <w:sz w:val="26"/>
          <w:szCs w:val="26"/>
          <w:lang w:eastAsia="ar-SA"/>
        </w:rPr>
      </w:pPr>
      <w:r>
        <w:rPr>
          <w:rFonts w:eastAsia="Times New Roman" w:cs="Times New Roman" w:ascii="PT Astra Serif" w:hAnsi="PT Astra Serif"/>
          <w:kern w:val="2"/>
          <w:sz w:val="26"/>
          <w:szCs w:val="26"/>
          <w:lang w:eastAsia="ar-SA"/>
        </w:rPr>
      </w:r>
    </w:p>
    <w:p>
      <w:pPr>
        <w:pStyle w:val="Normal"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  <w:t>Главный инженер УЭЗ                                                                                А.А. Яскин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  <w:tab w:val="left" w:pos="561" w:leader="none"/>
        </w:tabs>
        <w:suppressAutoHyphens w:val="true"/>
        <w:spacing w:lineRule="auto" w:line="240" w:before="0" w:after="0"/>
        <w:ind w:hanging="284" w:left="284"/>
        <w:contextualSpacing/>
        <w:rPr>
          <w:rFonts w:ascii="PT Astra Serif" w:hAnsi="PT Astra Serif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PT Astra Serif" w:hAnsi="PT Astra Serif"/>
          <w:sz w:val="26"/>
          <w:szCs w:val="26"/>
          <w:lang w:eastAsia="ru-RU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1418" w:gutter="0" w:header="709" w:top="766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459387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d557ee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733e60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33e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33e60"/>
    <w:rPr>
      <w:color w:themeColor="hyperlink" w:val="0563C1"/>
      <w:u w:val="single"/>
    </w:rPr>
  </w:style>
  <w:style w:type="character" w:styleId="Style15" w:customStyle="1">
    <w:name w:val="Нижний колонтитул Знак"/>
    <w:basedOn w:val="DefaultParagraphFont"/>
    <w:uiPriority w:val="99"/>
    <w:qFormat/>
    <w:rsid w:val="00a131d1"/>
    <w:rPr/>
  </w:style>
  <w:style w:type="character" w:styleId="1" w:customStyle="1">
    <w:name w:val="Заголовок 1 Знак"/>
    <w:basedOn w:val="DefaultParagraphFont"/>
    <w:uiPriority w:val="9"/>
    <w:qFormat/>
    <w:rsid w:val="00d557ee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t12nw7s2pdp" w:customStyle="1">
    <w:name w:val="t12nw7s2_pdp"/>
    <w:basedOn w:val="DefaultParagraphFont"/>
    <w:qFormat/>
    <w:rsid w:val="00d557ee"/>
    <w:rPr/>
  </w:style>
  <w:style w:type="character" w:styleId="price-value" w:customStyle="1">
    <w:name w:val="price-value"/>
    <w:basedOn w:val="DefaultParagraphFont"/>
    <w:qFormat/>
    <w:rsid w:val="00d557ee"/>
    <w:rPr/>
  </w:style>
  <w:style w:type="character" w:styleId="s1v4o1q3pdp" w:customStyle="1">
    <w:name w:val="s1v4o1q3_pdp"/>
    <w:basedOn w:val="DefaultParagraphFont"/>
    <w:qFormat/>
    <w:rsid w:val="00d557ee"/>
    <w:rPr/>
  </w:style>
  <w:style w:type="character" w:styleId="2" w:customStyle="1">
    <w:name w:val="Основной текст (2)"/>
    <w:basedOn w:val="DefaultParagraphFont"/>
    <w:qFormat/>
    <w:rsid w:val="00d13b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styleId="Style16" w:customStyle="1">
    <w:name w:val="Абзац списка Знак"/>
    <w:link w:val="ListParagraph"/>
    <w:uiPriority w:val="34"/>
    <w:qFormat/>
    <w:rsid w:val="00eb776a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733e6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33e6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yle15"/>
    <w:uiPriority w:val="99"/>
    <w:unhideWhenUsed/>
    <w:rsid w:val="00a131d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8345c6"/>
    <w:pPr>
      <w:suppressAutoHyphens w:val="tru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link w:val="Style16"/>
    <w:uiPriority w:val="34"/>
    <w:qFormat/>
    <w:rsid w:val="004b1fdd"/>
    <w:pPr>
      <w:spacing w:before="0" w:after="160"/>
      <w:ind w:left="720"/>
      <w:contextualSpacing/>
    </w:pPr>
    <w:rPr/>
  </w:style>
  <w:style w:type="paragraph" w:styleId="11" w:customStyle="1">
    <w:name w:val="Обычный1"/>
    <w:uiPriority w:val="99"/>
    <w:qFormat/>
    <w:rsid w:val="00eb776a"/>
    <w:pPr>
      <w:widowControl/>
      <w:tabs>
        <w:tab w:val="left" w:pos="708" w:leader="none"/>
      </w:tabs>
      <w:suppressAutoHyphens w:val="true"/>
      <w:bidi w:val="0"/>
      <w:spacing w:lineRule="atLeast" w:line="100" w:before="0" w:after="60"/>
      <w:jc w:val="both"/>
    </w:pPr>
    <w:rPr>
      <w:rFonts w:ascii="Times New Roman" w:hAnsi="Times New Roman" w:eastAsia="Times New Roman" w:cs="Times New Roman"/>
      <w:color w:val="00000A"/>
      <w:kern w:val="0"/>
      <w:sz w:val="24"/>
      <w:szCs w:val="24"/>
      <w:lang w:eastAsia="ru-RU" w:val="ru-RU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33e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8345c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uiPriority w:val="39"/>
    <w:rsid w:val="009d1d76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leksandr.yaskin@minjust.gov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A3D8F-402B-4652-B9F4-EC85C257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LibreOffice/25.2.6.2$Linux_X86_64 LibreOffice_project/520$Build-2</Application>
  <AppVersion>15.0000</AppVersion>
  <Pages>2</Pages>
  <Words>606</Words>
  <Characters>4100</Characters>
  <CharactersWithSpaces>4703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2026-09-17T10:40:00Z</dcterms:created>
  <dc:creator>Молчанов Михаил Сергеевич</dc:creator>
  <dc:description/>
  <dc:language>ru-RU</dc:language>
  <cp:lastModifiedBy>Черкасов Александр Валентинович</cp:lastModifiedBy>
  <cp:lastPrinted>2026-09-17T11:31:00Z</cp:lastPrinted>
  <dcterms:modified xsi:type="dcterms:W3CDTF">2026-09-17T11:32:00Z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