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74C" w:rsidRDefault="00E4174C" w:rsidP="00E4174C">
      <w:pPr>
        <w:pStyle w:val="Textbody"/>
        <w:spacing w:line="228" w:lineRule="auto"/>
        <w:jc w:val="center"/>
        <w:rPr>
          <w:rFonts w:ascii="Tinos" w:hAnsi="Tinos"/>
          <w:b/>
        </w:rPr>
      </w:pPr>
      <w:r>
        <w:rPr>
          <w:rFonts w:ascii="Tinos" w:hAnsi="Tinos"/>
          <w:b/>
        </w:rPr>
        <w:t>Техническое задание</w:t>
      </w:r>
    </w:p>
    <w:p w:rsidR="00E4174C" w:rsidRDefault="00E4174C" w:rsidP="00E4174C">
      <w:pPr>
        <w:pStyle w:val="Textbody"/>
        <w:spacing w:line="228" w:lineRule="auto"/>
        <w:jc w:val="center"/>
        <w:rPr>
          <w:rFonts w:ascii="Tinos" w:hAnsi="Tinos"/>
        </w:rPr>
      </w:pPr>
      <w:r>
        <w:rPr>
          <w:rFonts w:ascii="Tinos" w:hAnsi="Tinos"/>
        </w:rPr>
        <w:t> </w:t>
      </w:r>
      <w:r>
        <w:rPr>
          <w:rFonts w:ascii="Tinos" w:hAnsi="Tinos"/>
          <w:b/>
          <w:sz w:val="2"/>
          <w:szCs w:val="2"/>
        </w:rPr>
        <w:t>на п</w:t>
      </w:r>
      <w:r>
        <w:rPr>
          <w:rFonts w:ascii="Tinos" w:hAnsi="Tinos"/>
          <w:b/>
          <w:color w:val="000000"/>
          <w:sz w:val="2"/>
          <w:szCs w:val="2"/>
        </w:rPr>
        <w:t xml:space="preserve">риобретение </w:t>
      </w:r>
      <w:proofErr w:type="gramStart"/>
      <w:r>
        <w:rPr>
          <w:rFonts w:ascii="Tinos" w:hAnsi="Tinos"/>
          <w:b/>
          <w:color w:val="000000"/>
          <w:sz w:val="2"/>
          <w:szCs w:val="2"/>
        </w:rPr>
        <w:t>аптечек</w:t>
      </w:r>
      <w:proofErr w:type="gramEnd"/>
      <w:r>
        <w:rPr>
          <w:rFonts w:ascii="Tinos" w:hAnsi="Tinos"/>
          <w:b/>
          <w:color w:val="000000"/>
          <w:sz w:val="2"/>
          <w:szCs w:val="2"/>
        </w:rPr>
        <w:t xml:space="preserve"> специализированных АИ-4 исполнение 2</w:t>
      </w:r>
    </w:p>
    <w:p w:rsidR="00E4174C" w:rsidRDefault="00E4174C" w:rsidP="00E4174C">
      <w:pPr>
        <w:pStyle w:val="Textbody"/>
        <w:spacing w:line="228" w:lineRule="auto"/>
        <w:jc w:val="center"/>
        <w:rPr>
          <w:rFonts w:ascii="Tinos" w:hAnsi="Tinos"/>
          <w:b/>
          <w:color w:val="000000"/>
          <w:sz w:val="2"/>
          <w:szCs w:val="2"/>
        </w:rPr>
      </w:pPr>
      <w:r>
        <w:rPr>
          <w:rFonts w:ascii="Tinos" w:hAnsi="Tinos"/>
          <w:b/>
          <w:color w:val="000000"/>
          <w:sz w:val="2"/>
          <w:szCs w:val="2"/>
        </w:rPr>
        <w:t>для обеспечения нужд УЭРБ</w:t>
      </w:r>
    </w:p>
    <w:p w:rsidR="00E4174C" w:rsidRDefault="00E4174C" w:rsidP="00E4174C">
      <w:pPr>
        <w:pStyle w:val="Textbody"/>
        <w:spacing w:line="228" w:lineRule="auto"/>
        <w:jc w:val="center"/>
        <w:rPr>
          <w:rFonts w:ascii="Tinos" w:hAnsi="Tinos"/>
          <w:b/>
        </w:rPr>
      </w:pPr>
    </w:p>
    <w:p w:rsidR="00E4174C" w:rsidRDefault="00E4174C" w:rsidP="00E4174C">
      <w:pPr>
        <w:pStyle w:val="Textbody"/>
        <w:spacing w:line="228" w:lineRule="auto"/>
        <w:jc w:val="center"/>
        <w:rPr>
          <w:rFonts w:ascii="Tinos" w:hAnsi="Tinos"/>
        </w:rPr>
      </w:pPr>
      <w:r>
        <w:rPr>
          <w:rFonts w:ascii="Tinos" w:hAnsi="Tinos"/>
        </w:rPr>
        <w:t> </w:t>
      </w:r>
    </w:p>
    <w:p w:rsidR="00E4174C" w:rsidRDefault="00E4174C" w:rsidP="00E4174C">
      <w:pPr>
        <w:pStyle w:val="Textbody"/>
        <w:spacing w:after="160" w:line="276" w:lineRule="auto"/>
        <w:ind w:firstLine="131"/>
        <w:rPr>
          <w:rFonts w:ascii="Tinos" w:hAnsi="Tinos"/>
        </w:rPr>
      </w:pPr>
      <w:r>
        <w:rPr>
          <w:rFonts w:ascii="Tinos" w:hAnsi="Tinos"/>
          <w:b/>
        </w:rPr>
        <w:t>1.           Цель закупки:</w:t>
      </w:r>
      <w:bookmarkStart w:id="0" w:name="_GoBack"/>
      <w:bookmarkEnd w:id="0"/>
    </w:p>
    <w:p w:rsidR="00E4174C" w:rsidRDefault="00E4174C" w:rsidP="00E4174C">
      <w:pPr>
        <w:pStyle w:val="Textbody"/>
        <w:spacing w:after="160" w:line="276" w:lineRule="auto"/>
        <w:ind w:firstLine="113"/>
        <w:rPr>
          <w:rFonts w:ascii="Tinos" w:hAnsi="Tinos"/>
        </w:rPr>
      </w:pPr>
      <w:r>
        <w:rPr>
          <w:rFonts w:ascii="Tinos" w:hAnsi="Tinos"/>
          <w:b/>
        </w:rPr>
        <w:t>1.1.   </w:t>
      </w:r>
      <w:r>
        <w:rPr>
          <w:rFonts w:ascii="Tinos" w:hAnsi="Tinos"/>
          <w:sz w:val="2"/>
          <w:szCs w:val="2"/>
        </w:rPr>
        <w:t xml:space="preserve"> </w:t>
      </w:r>
      <w:r>
        <w:rPr>
          <w:rFonts w:ascii="Tinos" w:hAnsi="Tinos"/>
          <w:color w:val="000000"/>
          <w:sz w:val="2"/>
          <w:szCs w:val="2"/>
        </w:rPr>
        <w:t>П</w:t>
      </w:r>
      <w:r>
        <w:rPr>
          <w:rFonts w:ascii="Tinos" w:hAnsi="Tinos"/>
          <w:color w:val="000000"/>
          <w:szCs w:val="28"/>
        </w:rPr>
        <w:t xml:space="preserve">риобретение </w:t>
      </w:r>
      <w:proofErr w:type="gramStart"/>
      <w:r>
        <w:rPr>
          <w:rFonts w:ascii="Tinos" w:hAnsi="Tinos"/>
          <w:color w:val="000000"/>
          <w:szCs w:val="28"/>
        </w:rPr>
        <w:t>аптечек</w:t>
      </w:r>
      <w:proofErr w:type="gramEnd"/>
      <w:r>
        <w:rPr>
          <w:rFonts w:ascii="Tinos" w:hAnsi="Tinos"/>
          <w:color w:val="000000"/>
          <w:szCs w:val="28"/>
        </w:rPr>
        <w:t xml:space="preserve"> специализированных АИ-4 исполнение 2 </w:t>
      </w:r>
      <w:r>
        <w:rPr>
          <w:rFonts w:ascii="Tinos" w:hAnsi="Tinos"/>
          <w:szCs w:val="28"/>
        </w:rPr>
        <w:t>необходимо для обеспечения безопасности персонала Управления по экологической и радиационной безопасности НИЦ «Курчатовский институт» при выполнении работ в условиях возможных радиационных загрязнений на объектах использования атомной энергии.</w:t>
      </w:r>
    </w:p>
    <w:p w:rsidR="00E4174C" w:rsidRDefault="00E4174C" w:rsidP="00E4174C">
      <w:pPr>
        <w:pStyle w:val="Textbody"/>
        <w:spacing w:line="228" w:lineRule="auto"/>
        <w:rPr>
          <w:rFonts w:ascii="Tinos" w:hAnsi="Tinos"/>
        </w:rPr>
      </w:pPr>
      <w:r>
        <w:rPr>
          <w:rFonts w:ascii="Tinos" w:hAnsi="Tinos"/>
          <w:b/>
          <w:sz w:val="2"/>
          <w:szCs w:val="2"/>
        </w:rPr>
        <w:t>2.           Требования к количе</w:t>
      </w:r>
      <w:r>
        <w:rPr>
          <w:rFonts w:ascii="Tinos" w:hAnsi="Tinos"/>
          <w:b/>
        </w:rPr>
        <w:t>ству и техническим характеристикам:</w:t>
      </w:r>
    </w:p>
    <w:p w:rsidR="00E4174C" w:rsidRDefault="00E4174C" w:rsidP="00E4174C">
      <w:pPr>
        <w:pStyle w:val="Textbody"/>
        <w:spacing w:line="228" w:lineRule="auto"/>
        <w:rPr>
          <w:rFonts w:ascii="Tinos" w:hAnsi="Tinos"/>
          <w:b/>
        </w:rPr>
      </w:pPr>
    </w:p>
    <w:p w:rsidR="00E4174C" w:rsidRDefault="00E4174C" w:rsidP="00E4174C">
      <w:pPr>
        <w:pStyle w:val="Textbody"/>
        <w:spacing w:line="228" w:lineRule="auto"/>
        <w:rPr>
          <w:rFonts w:ascii="Tinos" w:hAnsi="Tinos"/>
        </w:rPr>
      </w:pPr>
      <w:r>
        <w:rPr>
          <w:rFonts w:ascii="Tinos" w:hAnsi="Tinos"/>
          <w:b/>
        </w:rPr>
        <w:t xml:space="preserve">2.1.    </w:t>
      </w:r>
      <w:r>
        <w:rPr>
          <w:rFonts w:ascii="Tinos" w:hAnsi="Tinos"/>
        </w:rPr>
        <w:t xml:space="preserve">Требования к количеству и комплектности аптечек специализированных АИ исполнение </w:t>
      </w:r>
      <w:proofErr w:type="gramStart"/>
      <w:r>
        <w:rPr>
          <w:rFonts w:ascii="Tinos" w:hAnsi="Tinos"/>
        </w:rPr>
        <w:t>2  отражены</w:t>
      </w:r>
      <w:proofErr w:type="gramEnd"/>
      <w:r>
        <w:rPr>
          <w:rFonts w:ascii="Tinos" w:hAnsi="Tinos"/>
        </w:rPr>
        <w:t xml:space="preserve"> в таблице 1:</w:t>
      </w:r>
    </w:p>
    <w:p w:rsidR="00E4174C" w:rsidRDefault="00E4174C" w:rsidP="00E4174C">
      <w:pPr>
        <w:pStyle w:val="Textbody"/>
        <w:spacing w:line="228" w:lineRule="auto"/>
        <w:jc w:val="right"/>
        <w:rPr>
          <w:rFonts w:ascii="Tinos" w:hAnsi="Tinos"/>
        </w:rPr>
      </w:pPr>
      <w:r>
        <w:rPr>
          <w:rFonts w:ascii="Tinos" w:hAnsi="Tinos"/>
        </w:rPr>
        <w:t> </w:t>
      </w:r>
      <w:r>
        <w:rPr>
          <w:rFonts w:ascii="Tinos" w:hAnsi="Tinos"/>
          <w:b/>
        </w:rPr>
        <w:t>Таблица 1</w:t>
      </w:r>
    </w:p>
    <w:p w:rsidR="00E4174C" w:rsidRDefault="00E4174C" w:rsidP="00E4174C">
      <w:pPr>
        <w:pStyle w:val="Textbody"/>
        <w:spacing w:line="228" w:lineRule="auto"/>
        <w:jc w:val="right"/>
        <w:rPr>
          <w:rFonts w:ascii="Tinos" w:hAnsi="Tinos"/>
          <w:b/>
        </w:rPr>
      </w:pPr>
    </w:p>
    <w:p w:rsidR="00E4174C" w:rsidRDefault="00E4174C" w:rsidP="00E4174C">
      <w:pPr>
        <w:pStyle w:val="Textbody"/>
        <w:spacing w:line="228" w:lineRule="auto"/>
        <w:jc w:val="left"/>
        <w:rPr>
          <w:rFonts w:ascii="Tinos" w:hAnsi="Tinos"/>
          <w:b/>
        </w:rPr>
      </w:pPr>
    </w:p>
    <w:tbl>
      <w:tblPr>
        <w:tblW w:w="9672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"/>
        <w:gridCol w:w="2910"/>
        <w:gridCol w:w="4983"/>
        <w:gridCol w:w="1284"/>
      </w:tblGrid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  <w:color w:val="000000"/>
              </w:rPr>
              <w:t xml:space="preserve">№ </w:t>
            </w:r>
            <w:proofErr w:type="spellStart"/>
            <w:r>
              <w:rPr>
                <w:rFonts w:ascii="Arial" w:hAnsi="Arial"/>
                <w:b/>
                <w:color w:val="000000"/>
                <w:sz w:val="16"/>
              </w:rPr>
              <w:t>п.п</w:t>
            </w:r>
            <w:proofErr w:type="spellEnd"/>
            <w:r>
              <w:rPr>
                <w:rFonts w:ascii="Arial" w:hAnsi="Arial"/>
                <w:b/>
                <w:color w:val="000000"/>
                <w:sz w:val="16"/>
              </w:rPr>
              <w:t>.</w:t>
            </w:r>
          </w:p>
        </w:tc>
        <w:tc>
          <w:tcPr>
            <w:tcW w:w="2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28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> </w:t>
            </w:r>
          </w:p>
          <w:p w:rsidR="00E4174C" w:rsidRDefault="00E4174C" w:rsidP="00442186">
            <w:pPr>
              <w:pStyle w:val="TableContents"/>
              <w:spacing w:line="228" w:lineRule="auto"/>
              <w:rPr>
                <w:rFonts w:ascii="Microsoft Sans Serif" w:hAnsi="Microsoft Sans Serif"/>
                <w:b/>
                <w:color w:val="000000"/>
                <w:sz w:val="16"/>
              </w:rPr>
            </w:pPr>
            <w:r>
              <w:rPr>
                <w:rFonts w:ascii="Microsoft Sans Serif" w:hAnsi="Microsoft Sans Serif"/>
                <w:b/>
                <w:color w:val="000000"/>
                <w:sz w:val="16"/>
              </w:rPr>
              <w:t>Наименование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> </w:t>
            </w:r>
          </w:p>
          <w:p w:rsidR="00E4174C" w:rsidRDefault="00E4174C" w:rsidP="00442186">
            <w:pPr>
              <w:pStyle w:val="TableContents"/>
              <w:spacing w:line="228" w:lineRule="auto"/>
              <w:rPr>
                <w:rFonts w:ascii="Microsoft Sans Serif" w:hAnsi="Microsoft Sans Serif"/>
                <w:b/>
                <w:color w:val="000000"/>
                <w:sz w:val="16"/>
              </w:rPr>
            </w:pPr>
            <w:r>
              <w:rPr>
                <w:rFonts w:ascii="Microsoft Sans Serif" w:hAnsi="Microsoft Sans Serif"/>
                <w:b/>
                <w:color w:val="000000"/>
                <w:sz w:val="16"/>
              </w:rPr>
              <w:t>Значения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Количество</w:t>
            </w:r>
          </w:p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1</w:t>
            </w:r>
          </w:p>
        </w:tc>
        <w:tc>
          <w:tcPr>
            <w:tcW w:w="2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proofErr w:type="gramStart"/>
            <w:r>
              <w:rPr>
                <w:rFonts w:ascii="Arial" w:hAnsi="Arial"/>
                <w:b/>
                <w:color w:val="000000"/>
                <w:sz w:val="16"/>
              </w:rPr>
              <w:t>Аптечка</w:t>
            </w:r>
            <w:proofErr w:type="gramEnd"/>
            <w:r>
              <w:rPr>
                <w:rFonts w:ascii="Arial" w:hAnsi="Arial"/>
                <w:b/>
                <w:color w:val="000000"/>
                <w:sz w:val="16"/>
              </w:rPr>
              <w:t xml:space="preserve"> специализированная АИ-4 исполнение 2</w:t>
            </w:r>
          </w:p>
        </w:tc>
        <w:tc>
          <w:tcPr>
            <w:tcW w:w="4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Tinos" w:hAnsi="Tinos"/>
                <w:b/>
                <w:color w:val="000000"/>
              </w:rPr>
            </w:pPr>
            <w:r>
              <w:rPr>
                <w:rFonts w:ascii="Tinos" w:hAnsi="Tinos"/>
                <w:b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0" w:type="dxa"/>
              <w:bottom w:w="0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11 шт.</w:t>
            </w:r>
          </w:p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  <w:color w:val="000000"/>
              </w:rPr>
            </w:pPr>
            <w:r>
              <w:rPr>
                <w:rFonts w:ascii="Tinos" w:hAnsi="Tinos"/>
                <w:b/>
                <w:color w:val="000000"/>
              </w:rPr>
              <w:t> </w:t>
            </w:r>
          </w:p>
        </w:tc>
        <w:tc>
          <w:tcPr>
            <w:tcW w:w="2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Комплектация</w:t>
            </w:r>
          </w:p>
        </w:tc>
        <w:tc>
          <w:tcPr>
            <w:tcW w:w="4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Средство при отравлении АХОВ, противоболевое средство, радиозащитное средство № 1, радиозащитное средство №</w:t>
            </w:r>
            <w:proofErr w:type="gramStart"/>
            <w:r>
              <w:rPr>
                <w:rFonts w:ascii="Arial" w:hAnsi="Arial"/>
                <w:b/>
                <w:color w:val="000000"/>
                <w:sz w:val="16"/>
              </w:rPr>
              <w:t>2 ,</w:t>
            </w:r>
            <w:proofErr w:type="gramEnd"/>
            <w:r>
              <w:rPr>
                <w:rFonts w:ascii="Arial" w:hAnsi="Arial"/>
                <w:b/>
                <w:color w:val="000000"/>
                <w:sz w:val="16"/>
              </w:rPr>
              <w:t xml:space="preserve"> противобактериальное средство №1, противобактериальное средство №2, противорвотное средство,  резервный антидот ФОВ (антиоксидантное средство)</w:t>
            </w:r>
          </w:p>
        </w:tc>
        <w:tc>
          <w:tcPr>
            <w:tcW w:w="1284" w:type="dxa"/>
            <w:vMerge w:val="restart"/>
            <w:tcBorders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> </w:t>
            </w:r>
          </w:p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  <w:color w:val="000000"/>
              </w:rPr>
            </w:pPr>
            <w:r>
              <w:rPr>
                <w:rFonts w:ascii="Tinos" w:hAnsi="Tinos"/>
                <w:b/>
                <w:color w:val="000000"/>
              </w:rPr>
              <w:t> </w:t>
            </w:r>
          </w:p>
        </w:tc>
        <w:tc>
          <w:tcPr>
            <w:tcW w:w="2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Средство при отравлении АХОВ</w:t>
            </w:r>
          </w:p>
        </w:tc>
        <w:tc>
          <w:tcPr>
            <w:tcW w:w="4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1 шт.</w:t>
            </w:r>
          </w:p>
        </w:tc>
        <w:tc>
          <w:tcPr>
            <w:tcW w:w="1284" w:type="dxa"/>
            <w:vMerge/>
            <w:tcBorders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E4174C" w:rsidRDefault="00E4174C" w:rsidP="00442186"/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  <w:color w:val="000000"/>
              </w:rPr>
            </w:pPr>
            <w:r>
              <w:rPr>
                <w:rFonts w:ascii="Tinos" w:hAnsi="Tinos"/>
                <w:b/>
                <w:color w:val="000000"/>
              </w:rPr>
              <w:t> </w:t>
            </w:r>
          </w:p>
        </w:tc>
        <w:tc>
          <w:tcPr>
            <w:tcW w:w="2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Противоболевое средство</w:t>
            </w:r>
          </w:p>
        </w:tc>
        <w:tc>
          <w:tcPr>
            <w:tcW w:w="4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Tinos" w:hAnsi="Tinos"/>
                <w:b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 xml:space="preserve">1 </w:t>
            </w:r>
            <w:proofErr w:type="spellStart"/>
            <w:r>
              <w:rPr>
                <w:rFonts w:ascii="Arial" w:hAnsi="Arial"/>
                <w:b/>
                <w:color w:val="000000"/>
                <w:sz w:val="16"/>
              </w:rPr>
              <w:t>шт</w:t>
            </w:r>
            <w:proofErr w:type="spellEnd"/>
          </w:p>
        </w:tc>
        <w:tc>
          <w:tcPr>
            <w:tcW w:w="1284" w:type="dxa"/>
            <w:vMerge/>
            <w:tcBorders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E4174C" w:rsidRDefault="00E4174C" w:rsidP="00442186"/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  <w:color w:val="000000"/>
              </w:rPr>
            </w:pPr>
            <w:r>
              <w:rPr>
                <w:rFonts w:ascii="Tinos" w:hAnsi="Tinos"/>
                <w:b/>
                <w:color w:val="000000"/>
              </w:rPr>
              <w:t> </w:t>
            </w:r>
          </w:p>
        </w:tc>
        <w:tc>
          <w:tcPr>
            <w:tcW w:w="2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Радиозащитное средство №1</w:t>
            </w:r>
          </w:p>
        </w:tc>
        <w:tc>
          <w:tcPr>
            <w:tcW w:w="4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1 шт.</w:t>
            </w:r>
          </w:p>
        </w:tc>
        <w:tc>
          <w:tcPr>
            <w:tcW w:w="1284" w:type="dxa"/>
            <w:vMerge/>
            <w:tcBorders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E4174C" w:rsidRDefault="00E4174C" w:rsidP="00442186"/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  <w:color w:val="000000"/>
              </w:rPr>
            </w:pPr>
            <w:r>
              <w:rPr>
                <w:rFonts w:ascii="Tinos" w:hAnsi="Tinos"/>
                <w:b/>
                <w:color w:val="000000"/>
              </w:rPr>
              <w:t> </w:t>
            </w:r>
          </w:p>
        </w:tc>
        <w:tc>
          <w:tcPr>
            <w:tcW w:w="2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Радиозащитное средство №2</w:t>
            </w:r>
          </w:p>
        </w:tc>
        <w:tc>
          <w:tcPr>
            <w:tcW w:w="4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1 шт.</w:t>
            </w:r>
          </w:p>
        </w:tc>
        <w:tc>
          <w:tcPr>
            <w:tcW w:w="1284" w:type="dxa"/>
            <w:vMerge/>
            <w:tcBorders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E4174C" w:rsidRDefault="00E4174C" w:rsidP="00442186"/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  <w:color w:val="000000"/>
              </w:rPr>
            </w:pPr>
            <w:r>
              <w:rPr>
                <w:rFonts w:ascii="Tinos" w:hAnsi="Tinos"/>
                <w:b/>
                <w:color w:val="000000"/>
              </w:rPr>
              <w:t> </w:t>
            </w:r>
          </w:p>
        </w:tc>
        <w:tc>
          <w:tcPr>
            <w:tcW w:w="2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Противобактериальное средство №1</w:t>
            </w:r>
          </w:p>
        </w:tc>
        <w:tc>
          <w:tcPr>
            <w:tcW w:w="4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1 шт.</w:t>
            </w:r>
          </w:p>
        </w:tc>
        <w:tc>
          <w:tcPr>
            <w:tcW w:w="1284" w:type="dxa"/>
            <w:vMerge/>
            <w:tcBorders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E4174C" w:rsidRDefault="00E4174C" w:rsidP="00442186"/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  <w:color w:val="000000"/>
              </w:rPr>
            </w:pPr>
            <w:r>
              <w:rPr>
                <w:rFonts w:ascii="Tinos" w:hAnsi="Tinos"/>
                <w:b/>
                <w:color w:val="000000"/>
              </w:rPr>
              <w:t> </w:t>
            </w:r>
          </w:p>
        </w:tc>
        <w:tc>
          <w:tcPr>
            <w:tcW w:w="2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Противобактериальное средство №2</w:t>
            </w:r>
          </w:p>
        </w:tc>
        <w:tc>
          <w:tcPr>
            <w:tcW w:w="4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1 шт.</w:t>
            </w:r>
          </w:p>
        </w:tc>
        <w:tc>
          <w:tcPr>
            <w:tcW w:w="1284" w:type="dxa"/>
            <w:vMerge/>
            <w:tcBorders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E4174C" w:rsidRDefault="00E4174C" w:rsidP="00442186"/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  <w:color w:val="000000"/>
              </w:rPr>
            </w:pPr>
            <w:r>
              <w:rPr>
                <w:rFonts w:ascii="Tinos" w:hAnsi="Tinos"/>
                <w:b/>
                <w:color w:val="000000"/>
              </w:rPr>
              <w:t> </w:t>
            </w:r>
          </w:p>
        </w:tc>
        <w:tc>
          <w:tcPr>
            <w:tcW w:w="2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Противорвотное средство</w:t>
            </w:r>
          </w:p>
        </w:tc>
        <w:tc>
          <w:tcPr>
            <w:tcW w:w="4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1 шт.</w:t>
            </w:r>
          </w:p>
        </w:tc>
        <w:tc>
          <w:tcPr>
            <w:tcW w:w="1284" w:type="dxa"/>
            <w:vMerge/>
            <w:tcBorders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E4174C" w:rsidRDefault="00E4174C" w:rsidP="00442186"/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  <w:color w:val="000000"/>
              </w:rPr>
            </w:pPr>
            <w:r>
              <w:rPr>
                <w:rFonts w:ascii="Tinos" w:hAnsi="Tinos"/>
                <w:b/>
                <w:color w:val="000000"/>
              </w:rPr>
              <w:t> </w:t>
            </w:r>
          </w:p>
        </w:tc>
        <w:tc>
          <w:tcPr>
            <w:tcW w:w="29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Резервный антидот ФОВ (антиоксидантное средство)</w:t>
            </w:r>
          </w:p>
        </w:tc>
        <w:tc>
          <w:tcPr>
            <w:tcW w:w="4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1 шт.</w:t>
            </w:r>
          </w:p>
        </w:tc>
        <w:tc>
          <w:tcPr>
            <w:tcW w:w="1284" w:type="dxa"/>
            <w:vMerge/>
            <w:tcBorders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E4174C" w:rsidRDefault="00E4174C" w:rsidP="00442186"/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  <w:color w:val="000000"/>
              </w:rPr>
            </w:pPr>
            <w:r>
              <w:rPr>
                <w:rFonts w:ascii="Tinos" w:hAnsi="Tinos"/>
                <w:b/>
                <w:color w:val="000000"/>
              </w:rPr>
              <w:t> </w:t>
            </w:r>
          </w:p>
        </w:tc>
        <w:tc>
          <w:tcPr>
            <w:tcW w:w="2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Назначение:</w:t>
            </w:r>
          </w:p>
        </w:tc>
        <w:tc>
          <w:tcPr>
            <w:tcW w:w="4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Tinos" w:hAnsi="Tinos"/>
                <w:b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 xml:space="preserve">для первой само, взаимопомощи, предупреждения или ослабления поражающего действия </w:t>
            </w:r>
            <w:proofErr w:type="spellStart"/>
            <w:r>
              <w:rPr>
                <w:rFonts w:ascii="Arial" w:hAnsi="Arial"/>
                <w:b/>
                <w:color w:val="000000"/>
                <w:sz w:val="16"/>
              </w:rPr>
              <w:t>радиоционных</w:t>
            </w:r>
            <w:proofErr w:type="spellEnd"/>
            <w:r>
              <w:rPr>
                <w:rFonts w:ascii="Tinos" w:hAnsi="Tinos"/>
                <w:b/>
                <w:color w:val="00000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веществ (РВ), бактериальных средств (БС), фосфорорганических отравляющих (ФОВ) и токсичных веществ (АХОВ).</w:t>
            </w:r>
          </w:p>
        </w:tc>
        <w:tc>
          <w:tcPr>
            <w:tcW w:w="1284" w:type="dxa"/>
            <w:vMerge/>
            <w:tcBorders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:rsidR="00E4174C" w:rsidRDefault="00E4174C" w:rsidP="00442186"/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> </w:t>
            </w:r>
          </w:p>
        </w:tc>
        <w:tc>
          <w:tcPr>
            <w:tcW w:w="2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Год изготовления</w:t>
            </w:r>
          </w:p>
        </w:tc>
        <w:tc>
          <w:tcPr>
            <w:tcW w:w="4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2026</w:t>
            </w:r>
          </w:p>
        </w:tc>
        <w:tc>
          <w:tcPr>
            <w:tcW w:w="1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108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> </w:t>
            </w:r>
          </w:p>
        </w:tc>
      </w:tr>
      <w:tr w:rsidR="00E4174C" w:rsidTr="00442186">
        <w:tblPrEx>
          <w:tblCellMar>
            <w:top w:w="0" w:type="dxa"/>
            <w:bottom w:w="0" w:type="dxa"/>
          </w:tblCellMar>
        </w:tblPrEx>
        <w:tc>
          <w:tcPr>
            <w:tcW w:w="4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> </w:t>
            </w:r>
          </w:p>
        </w:tc>
        <w:tc>
          <w:tcPr>
            <w:tcW w:w="29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> </w:t>
            </w:r>
          </w:p>
        </w:tc>
        <w:tc>
          <w:tcPr>
            <w:tcW w:w="4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> </w:t>
            </w:r>
          </w:p>
        </w:tc>
        <w:tc>
          <w:tcPr>
            <w:tcW w:w="12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74C" w:rsidRDefault="00E4174C" w:rsidP="00442186">
            <w:pPr>
              <w:pStyle w:val="TableContents"/>
              <w:spacing w:line="228" w:lineRule="auto"/>
              <w:jc w:val="left"/>
              <w:rPr>
                <w:rFonts w:ascii="Tinos" w:hAnsi="Tinos"/>
                <w:b/>
              </w:rPr>
            </w:pPr>
            <w:r>
              <w:rPr>
                <w:rFonts w:ascii="Tinos" w:hAnsi="Tinos"/>
                <w:b/>
              </w:rPr>
              <w:t> </w:t>
            </w:r>
          </w:p>
        </w:tc>
      </w:tr>
    </w:tbl>
    <w:p w:rsidR="00E4174C" w:rsidRDefault="00E4174C" w:rsidP="00E4174C">
      <w:pPr>
        <w:pStyle w:val="Textbody"/>
        <w:spacing w:line="228" w:lineRule="auto"/>
        <w:jc w:val="left"/>
        <w:rPr>
          <w:rFonts w:ascii="Tinos" w:hAnsi="Tinos"/>
          <w:b/>
        </w:rPr>
      </w:pPr>
    </w:p>
    <w:p w:rsidR="00E4174C" w:rsidRDefault="00E4174C" w:rsidP="00E4174C">
      <w:pPr>
        <w:pStyle w:val="Textbody"/>
        <w:spacing w:line="228" w:lineRule="auto"/>
        <w:jc w:val="left"/>
        <w:rPr>
          <w:rFonts w:ascii="Tinos" w:hAnsi="Tinos"/>
          <w:b/>
        </w:rPr>
      </w:pPr>
    </w:p>
    <w:p w:rsidR="00E4174C" w:rsidRDefault="00E4174C" w:rsidP="00E4174C">
      <w:pPr>
        <w:pStyle w:val="Textbody"/>
        <w:spacing w:line="228" w:lineRule="auto"/>
        <w:rPr>
          <w:rFonts w:ascii="Tinos" w:hAnsi="Tinos"/>
        </w:rPr>
      </w:pPr>
      <w:r>
        <w:rPr>
          <w:rFonts w:ascii="Tinos" w:hAnsi="Tinos"/>
        </w:rPr>
        <w:t> </w:t>
      </w:r>
    </w:p>
    <w:p w:rsidR="00E4174C" w:rsidRDefault="00E4174C" w:rsidP="00E4174C">
      <w:pPr>
        <w:pStyle w:val="Textbody"/>
        <w:spacing w:line="228" w:lineRule="auto"/>
        <w:rPr>
          <w:rFonts w:ascii="Tinos" w:hAnsi="Tinos"/>
        </w:rPr>
      </w:pPr>
      <w:r>
        <w:rPr>
          <w:rFonts w:ascii="Tinos" w:hAnsi="Tinos"/>
          <w:b/>
        </w:rPr>
        <w:t>3.     Требования к сроку поставки:</w:t>
      </w:r>
    </w:p>
    <w:p w:rsidR="00E4174C" w:rsidRDefault="00E4174C" w:rsidP="00E4174C">
      <w:pPr>
        <w:pStyle w:val="Textbody"/>
        <w:spacing w:line="228" w:lineRule="auto"/>
        <w:rPr>
          <w:rFonts w:ascii="Tinos" w:hAnsi="Tinos"/>
        </w:rPr>
      </w:pPr>
      <w:r>
        <w:rPr>
          <w:rFonts w:ascii="Tinos" w:hAnsi="Tinos"/>
          <w:b/>
        </w:rPr>
        <w:t xml:space="preserve">3.1.         </w:t>
      </w:r>
      <w:r>
        <w:rPr>
          <w:rFonts w:ascii="Tinos" w:hAnsi="Tinos"/>
        </w:rPr>
        <w:t>Сроки поставки товара: не позднее 01.12.2026 с возможностью досрочного исполнения.</w:t>
      </w:r>
    </w:p>
    <w:p w:rsidR="00E4174C" w:rsidRDefault="00E4174C" w:rsidP="00E4174C">
      <w:pPr>
        <w:pStyle w:val="Textbody"/>
        <w:spacing w:line="228" w:lineRule="auto"/>
        <w:rPr>
          <w:rFonts w:ascii="Tinos" w:hAnsi="Tinos"/>
        </w:rPr>
      </w:pPr>
      <w:r>
        <w:rPr>
          <w:rFonts w:ascii="Tinos" w:hAnsi="Tinos"/>
        </w:rPr>
        <w:lastRenderedPageBreak/>
        <w:t> </w:t>
      </w:r>
    </w:p>
    <w:p w:rsidR="00E4174C" w:rsidRDefault="00E4174C" w:rsidP="00E4174C">
      <w:pPr>
        <w:pStyle w:val="Textbody"/>
        <w:spacing w:line="228" w:lineRule="auto"/>
        <w:rPr>
          <w:rFonts w:ascii="Tinos" w:hAnsi="Tinos"/>
        </w:rPr>
      </w:pPr>
      <w:r>
        <w:rPr>
          <w:rFonts w:ascii="Tinos" w:hAnsi="Tinos"/>
          <w:b/>
        </w:rPr>
        <w:t>4.     Требование к месту, условиям поставки и приемке товара: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  <w:b/>
        </w:rPr>
        <w:t xml:space="preserve">4.1.    </w:t>
      </w:r>
      <w:r>
        <w:rPr>
          <w:rFonts w:ascii="Tinos" w:hAnsi="Tinos"/>
        </w:rPr>
        <w:t>Поставщик доставляет Товар по адресу: 123182, г. Москва, пл. Академика Курчатова, д.1 (въезд на территорию через пропускной пункт со стороны ул. Максимова, д. 28).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  <w:b/>
        </w:rPr>
        <w:t xml:space="preserve">4.2.    </w:t>
      </w:r>
      <w:r>
        <w:rPr>
          <w:rFonts w:ascii="Tinos" w:hAnsi="Tinos"/>
        </w:rPr>
        <w:t> Весь Товар, указанный в Таблице 1, передаётся Заказчику единовременно.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  <w:b/>
        </w:rPr>
        <w:t xml:space="preserve">4.3.    </w:t>
      </w:r>
      <w:r>
        <w:rPr>
          <w:rFonts w:ascii="Tinos" w:hAnsi="Tinos"/>
        </w:rPr>
        <w:t> Поставщик за два рабочих дня до срока доставки уведомляет Заказчика о готовности Товара к отгрузке и, после получения подтверждения о готовности принять Товар в указанную Заказчиком дату и время, доставляет его в адрес Заказчика. Без наличия подтверждения Заказчика доставка Товара не производится.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</w:rPr>
        <w:t>Одновременно с уведомлением о готовности Товара к отгрузке Поставщик, при изъявлении желания присутствовать при приемке Товара, направляет Заказчику соответствующую информацию (уведомление).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</w:rPr>
        <w:t xml:space="preserve">Уведомление направляется Заказчику по адресу электронной почты </w:t>
      </w:r>
      <w:proofErr w:type="spellStart"/>
      <w:r>
        <w:rPr>
          <w:rFonts w:ascii="Tinos" w:hAnsi="Tinos"/>
          <w:lang w:val="en-US"/>
        </w:rPr>
        <w:t>Ostapovich</w:t>
      </w:r>
      <w:proofErr w:type="spellEnd"/>
      <w:r>
        <w:rPr>
          <w:rFonts w:ascii="Tinos" w:hAnsi="Tinos"/>
        </w:rPr>
        <w:t>_</w:t>
      </w:r>
      <w:r>
        <w:rPr>
          <w:rFonts w:ascii="Tinos" w:hAnsi="Tinos"/>
          <w:lang w:val="en-US"/>
        </w:rPr>
        <w:t>AN</w:t>
      </w:r>
      <w:r>
        <w:rPr>
          <w:rFonts w:ascii="Tinos" w:hAnsi="Tinos"/>
        </w:rPr>
        <w:t>@</w:t>
      </w:r>
      <w:proofErr w:type="spellStart"/>
      <w:r>
        <w:rPr>
          <w:rFonts w:ascii="Tinos" w:hAnsi="Tinos"/>
          <w:lang w:val="en-US"/>
        </w:rPr>
        <w:t>nrcki</w:t>
      </w:r>
      <w:proofErr w:type="spellEnd"/>
      <w:r>
        <w:rPr>
          <w:rFonts w:ascii="Tinos" w:hAnsi="Tinos"/>
        </w:rPr>
        <w:t>.</w:t>
      </w:r>
      <w:proofErr w:type="spellStart"/>
      <w:r>
        <w:rPr>
          <w:rFonts w:ascii="Tinos" w:hAnsi="Tinos"/>
          <w:lang w:val="en-US"/>
        </w:rPr>
        <w:t>ru</w:t>
      </w:r>
      <w:proofErr w:type="spellEnd"/>
      <w:r>
        <w:rPr>
          <w:rFonts w:ascii="Tinos" w:hAnsi="Tinos"/>
        </w:rPr>
        <w:t>. В уведомлении Поставщика должно быть указано: реквизиты контракта, государственный номер транспортного средства, фамилия, имя, отчество водителя и сопровождающего лица, количество упаковочных мест Товара с указанием их веса и размера.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  <w:b/>
        </w:rPr>
        <w:t xml:space="preserve">4.4.    </w:t>
      </w:r>
      <w:r>
        <w:rPr>
          <w:rFonts w:ascii="Tinos" w:hAnsi="Tinos"/>
        </w:rPr>
        <w:t> Доставка Товара осуществляется Поставщиком путем отгрузки Товара автомобильным транспортом по адресу доставки. Погрузо-разгрузочные работы осуществляются силами и средствами Поставщика.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</w:rPr>
        <w:t xml:space="preserve">Доставка Товара осуществляется в рабочие дни с 9 часов 30 минут </w:t>
      </w:r>
      <w:r>
        <w:rPr>
          <w:rFonts w:ascii="Tinos" w:hAnsi="Tinos"/>
        </w:rPr>
        <w:br/>
        <w:t>до 16 часов 00 минут. Перерыв на обед с 13.00 до 14.00.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  <w:b/>
        </w:rPr>
        <w:t xml:space="preserve">4.5. </w:t>
      </w:r>
      <w:r>
        <w:rPr>
          <w:rFonts w:ascii="Tinos" w:hAnsi="Tinos"/>
        </w:rPr>
        <w:t> Поставщик в день доставки Товара Заказчику одновременно с Товаром предоставляет Заказчику следующие сопроводительные документы на бумажном носителе на Товар: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</w:rPr>
        <w:t>а) товарную накладную по форме ТОРГ-12 или универсальный передаточный документ – в 2-х экземплярах;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</w:rPr>
        <w:t>б) счёт;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</w:rPr>
        <w:t>в) сертификаты качества;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</w:rPr>
        <w:t>г) акт приемки комиссией по форме ОКУД 0510452.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  <w:b/>
        </w:rPr>
        <w:t>4.6</w:t>
      </w:r>
      <w:r>
        <w:rPr>
          <w:rFonts w:ascii="Tinos" w:hAnsi="Tinos"/>
        </w:rPr>
        <w:t xml:space="preserve"> Приемка товара осуществляется на основании подписанной товарной накладной по форме ТОРГ-12 или подписанного универсального передаточного документа.</w:t>
      </w:r>
    </w:p>
    <w:p w:rsidR="00E4174C" w:rsidRDefault="00E4174C" w:rsidP="00E4174C">
      <w:pPr>
        <w:pStyle w:val="Textbody"/>
        <w:rPr>
          <w:rFonts w:ascii="Tinos" w:hAnsi="Tinos"/>
        </w:rPr>
      </w:pPr>
      <w:r>
        <w:rPr>
          <w:rFonts w:ascii="Tinos" w:hAnsi="Tinos"/>
        </w:rPr>
        <w:t>Приемка товара осуществляется в течение 10 (десяти) рабочих дней.</w:t>
      </w:r>
    </w:p>
    <w:p w:rsidR="004578D4" w:rsidRDefault="004578D4"/>
    <w:sectPr w:rsidR="004578D4">
      <w:headerReference w:type="default" r:id="rId4"/>
      <w:footerReference w:type="default" r:id="rId5"/>
      <w:pgSz w:w="11906" w:h="16838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PT Astra Serif">
    <w:altName w:val="Times New Roman"/>
    <w:charset w:val="00"/>
    <w:family w:val="roman"/>
    <w:pitch w:val="variable"/>
  </w:font>
  <w:font w:name="Tinos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83B" w:rsidRDefault="00E4174C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83B" w:rsidRDefault="00E417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74C"/>
    <w:rsid w:val="004578D4"/>
    <w:rsid w:val="00E4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488188-02B1-4E3C-AFF2-A10B3704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74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ource Han Sans CN Regular" w:hAnsi="Liberation Serif" w:cs="Lohit Devanagari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E4174C"/>
    <w:pPr>
      <w:jc w:val="both"/>
    </w:pPr>
    <w:rPr>
      <w:rFonts w:ascii="PT Astra Serif" w:eastAsia="PT Astra Serif" w:hAnsi="PT Astra Serif" w:cs="PT Astra Serif"/>
      <w:sz w:val="28"/>
    </w:rPr>
  </w:style>
  <w:style w:type="paragraph" w:styleId="a3">
    <w:name w:val="header"/>
    <w:basedOn w:val="a"/>
    <w:link w:val="a4"/>
    <w:rsid w:val="00E4174C"/>
    <w:pPr>
      <w:tabs>
        <w:tab w:val="center" w:pos="4819"/>
        <w:tab w:val="right" w:pos="9638"/>
      </w:tabs>
      <w:jc w:val="center"/>
    </w:pPr>
    <w:rPr>
      <w:rFonts w:ascii="PT Astra Serif" w:eastAsia="PT Astra Serif" w:hAnsi="PT Astra Serif" w:cs="PT Astra Serif"/>
      <w:sz w:val="21"/>
    </w:rPr>
  </w:style>
  <w:style w:type="character" w:customStyle="1" w:styleId="a4">
    <w:name w:val="Верхний колонтитул Знак"/>
    <w:basedOn w:val="a0"/>
    <w:link w:val="a3"/>
    <w:rsid w:val="00E4174C"/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styleId="a5">
    <w:name w:val="footer"/>
    <w:basedOn w:val="a"/>
    <w:link w:val="a6"/>
    <w:rsid w:val="00E4174C"/>
    <w:pPr>
      <w:tabs>
        <w:tab w:val="center" w:pos="4819"/>
        <w:tab w:val="right" w:pos="9638"/>
      </w:tabs>
      <w:jc w:val="center"/>
    </w:pPr>
    <w:rPr>
      <w:rFonts w:ascii="PT Astra Serif" w:eastAsia="PT Astra Serif" w:hAnsi="PT Astra Serif" w:cs="PT Astra Serif"/>
      <w:sz w:val="28"/>
    </w:rPr>
  </w:style>
  <w:style w:type="character" w:customStyle="1" w:styleId="a6">
    <w:name w:val="Нижний колонтитул Знак"/>
    <w:basedOn w:val="a0"/>
    <w:link w:val="a5"/>
    <w:rsid w:val="00E4174C"/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paragraph" w:customStyle="1" w:styleId="TableContents">
    <w:name w:val="Table Contents"/>
    <w:basedOn w:val="a"/>
    <w:rsid w:val="00E4174C"/>
    <w:pPr>
      <w:jc w:val="center"/>
    </w:pPr>
    <w:rPr>
      <w:rFonts w:ascii="PT Astra Serif" w:eastAsia="PT Astra Serif" w:hAnsi="PT Astra Serif" w:cs="PT Astra Seri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Леванова Мария Валерьевна</dc:creator>
  <cp:keywords/>
  <dc:description/>
  <cp:lastModifiedBy>Леванова Мария Валерьевна</cp:lastModifiedBy>
  <cp:revision>1</cp:revision>
  <dcterms:created xsi:type="dcterms:W3CDTF">2026-10-21T07:55:00Z</dcterms:created>
  <dcterms:modified xsi:type="dcterms:W3CDTF">2026-10-21T07:56:00Z</dcterms:modified>
</cp:coreProperties>
</file>