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5162" w:hanging="0"/>
        <w:rPr/>
      </w:pPr>
      <w:r>
        <w:rPr>
          <w:bCs/>
          <w:sz w:val="24"/>
          <w:szCs w:val="24"/>
        </w:rPr>
        <w:t xml:space="preserve">          </w:t>
      </w:r>
    </w:p>
    <w:p>
      <w:pPr>
        <w:pStyle w:val="NormalWeb"/>
        <w:shd w:val="clear" w:color="auto" w:fill="FFFFFF"/>
        <w:spacing w:lineRule="atLeast" w:line="180" w:beforeAutospacing="0" w:before="0" w:afterAutospacing="0" w:after="170"/>
        <w:jc w:val="center"/>
        <w:rPr>
          <w:b/>
          <w:b/>
          <w:color w:val="333333"/>
        </w:rPr>
      </w:pPr>
      <w:r>
        <w:rPr>
          <w:b/>
          <w:color w:val="333333"/>
        </w:rPr>
        <w:t>Техническое задание</w:t>
      </w:r>
    </w:p>
    <w:p>
      <w:pPr>
        <w:pStyle w:val="NormalWeb"/>
        <w:shd w:val="clear" w:color="auto" w:fill="FFFFFF"/>
        <w:spacing w:lineRule="atLeast" w:line="180" w:beforeAutospacing="0" w:before="0" w:afterAutospacing="0" w:after="170"/>
        <w:jc w:val="center"/>
        <w:rPr>
          <w:b/>
          <w:b/>
          <w:color w:val="333333"/>
        </w:rPr>
      </w:pPr>
      <w:r>
        <w:rPr>
          <w:b/>
          <w:color w:val="333333"/>
        </w:rPr>
        <w:t xml:space="preserve">на </w:t>
      </w:r>
      <w:bookmarkStart w:id="0" w:name="OLE_LINK16"/>
      <w:bookmarkStart w:id="1" w:name="OLE_LINK15"/>
      <w:r>
        <w:rPr>
          <w:b/>
          <w:color w:val="333333"/>
        </w:rPr>
        <w:t>оказание услуг по проведению экспертизы технического состояния транспортных средств и оценке рыночной стоимости автотранспорта</w:t>
      </w:r>
      <w:bookmarkEnd w:id="0"/>
      <w:bookmarkEnd w:id="1"/>
    </w:p>
    <w:p>
      <w:pPr>
        <w:pStyle w:val="ListParagraph"/>
        <w:numPr>
          <w:ilvl w:val="0"/>
          <w:numId w:val="1"/>
        </w:numPr>
        <w:ind w:left="0" w:firstLine="709"/>
        <w:jc w:val="both"/>
        <w:rPr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>Объект закупки:</w:t>
      </w:r>
      <w:r>
        <w:rPr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Оказание услуг по проведению экспертизы технического состояния транспортных средств и оценке движимого имущества.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ind w:left="0" w:firstLine="709"/>
        <w:jc w:val="both"/>
        <w:rPr>
          <w:color w:val="333333"/>
          <w:lang w:bidi="ru-RU"/>
        </w:rPr>
      </w:pPr>
      <w:r>
        <w:rPr>
          <w:b/>
          <w:color w:val="333333"/>
          <w:lang w:bidi="ru-RU"/>
        </w:rPr>
        <w:t>Сроки оказания услуг и требования к отчетным документам:</w:t>
      </w:r>
      <w:r>
        <w:rPr>
          <w:color w:val="333333"/>
          <w:lang w:bidi="ru-RU"/>
        </w:rPr>
        <w:t xml:space="preserve"> Исполнитель обязуется оказать услуги по экспертизе технического состояния транспортных средств и оценке рыночной стоимости автотранспорта в течение 30 (тридцати) рабочих дней с момента подписания </w:t>
      </w:r>
      <w:r>
        <w:rPr>
          <w:color w:val="333333"/>
          <w:lang w:bidi="ru-RU"/>
        </w:rPr>
        <w:t>контракт</w:t>
      </w:r>
      <w:r>
        <w:rPr>
          <w:color w:val="333333"/>
          <w:lang w:bidi="ru-RU"/>
        </w:rPr>
        <w:t xml:space="preserve">а. Техническое заключение должно быть представлено на каждое транспортное средство указанное в приложение 1 настоящего Технического задания. </w:t>
      </w:r>
    </w:p>
    <w:p>
      <w:pPr>
        <w:pStyle w:val="NormalWeb"/>
        <w:numPr>
          <w:ilvl w:val="0"/>
          <w:numId w:val="1"/>
        </w:numPr>
        <w:shd w:val="clear" w:color="auto" w:fill="FFFFFF"/>
        <w:tabs>
          <w:tab w:val="clear" w:pos="708"/>
          <w:tab w:val="left" w:pos="709" w:leader="none"/>
        </w:tabs>
        <w:spacing w:beforeAutospacing="0" w:before="0" w:afterAutospacing="0" w:after="0"/>
        <w:ind w:left="0" w:firstLine="709"/>
        <w:jc w:val="both"/>
        <w:rPr>
          <w:rFonts w:ascii="Liberation Serif" w:hAnsi="Liberation Serif"/>
        </w:rPr>
      </w:pPr>
      <w:r>
        <w:rPr>
          <w:b/>
          <w:color w:val="333333"/>
          <w:lang w:bidi="ru-RU"/>
        </w:rPr>
        <w:t>Место оказания услуг:</w:t>
      </w:r>
    </w:p>
    <w:p>
      <w:pPr>
        <w:pStyle w:val="NormalWeb"/>
        <w:shd w:val="clear" w:color="auto" w:fill="FFFFFF"/>
        <w:spacing w:beforeAutospacing="0" w:before="0" w:afterAutospacing="0" w:after="0"/>
        <w:ind w:left="-142" w:firstLine="284"/>
        <w:jc w:val="both"/>
        <w:rPr>
          <w:bCs/>
          <w:color w:val="333333"/>
          <w:lang w:bidi="ru-RU"/>
        </w:rPr>
      </w:pPr>
      <w:r>
        <w:rPr>
          <w:b/>
          <w:color w:val="333333"/>
        </w:rPr>
        <w:t xml:space="preserve">- </w:t>
      </w:r>
      <w:r>
        <w:rPr>
          <w:b/>
          <w:color w:val="333333"/>
          <w:sz w:val="24"/>
          <w:szCs w:val="24"/>
        </w:rPr>
        <w:t>Республика Карелия, м. о Медвеж</w:t>
      </w:r>
      <w:r>
        <w:rPr>
          <w:b/>
          <w:color w:val="333333"/>
          <w:sz w:val="24"/>
          <w:szCs w:val="24"/>
        </w:rPr>
        <w:t>ь</w:t>
      </w:r>
      <w:r>
        <w:rPr>
          <w:b/>
          <w:color w:val="333333"/>
          <w:sz w:val="24"/>
          <w:szCs w:val="24"/>
        </w:rPr>
        <w:t>егорский,  пгт.Повенец, Гараж, район шлюза №3</w:t>
      </w:r>
    </w:p>
    <w:p>
      <w:pPr>
        <w:pStyle w:val="NormalWeb"/>
        <w:shd w:val="clear" w:color="auto" w:fill="FFFFFF"/>
        <w:spacing w:beforeAutospacing="0" w:before="0" w:afterAutospacing="0" w:after="0"/>
        <w:ind w:left="-142" w:firstLine="284"/>
        <w:jc w:val="both"/>
        <w:rPr>
          <w:bCs/>
          <w:color w:val="333333"/>
          <w:lang w:bidi="ru-RU"/>
        </w:rPr>
      </w:pPr>
      <w:r>
        <w:rPr>
          <w:bCs/>
          <w:color w:val="333333"/>
          <w:lang w:bidi="ru-RU"/>
        </w:rPr>
      </w:r>
    </w:p>
    <w:p>
      <w:pPr>
        <w:pStyle w:val="NormalWeb"/>
        <w:shd w:val="clear" w:color="auto" w:fill="FFFFFF"/>
        <w:spacing w:beforeAutospacing="0" w:before="0" w:afterAutospacing="0" w:after="0"/>
        <w:ind w:left="142" w:firstLine="567"/>
        <w:jc w:val="both"/>
        <w:rPr>
          <w:rFonts w:ascii="Liberation Serif" w:hAnsi="Liberation Serif"/>
        </w:rPr>
      </w:pPr>
      <w:r>
        <w:rPr>
          <w:b/>
          <w:color w:val="333333"/>
        </w:rPr>
        <w:t>4. Требования к оказываемым услугам:</w:t>
      </w:r>
      <w:r>
        <w:rPr>
          <w:rFonts w:ascii="Liberation Serif" w:hAnsi="Liberation Serif"/>
          <w:color w:val="000000"/>
        </w:rPr>
        <w:t xml:space="preserve"> Оказываемые услуги должны осуществляться в строгом соответствии с действующей нормативно-технической документацией, в соответствии с требованиями Федерального закона </w:t>
      </w:r>
      <w:r>
        <w:rPr>
          <w:rFonts w:cs="Times New Roman"/>
          <w:color w:val="000000"/>
          <w:sz w:val="24"/>
          <w:szCs w:val="24"/>
        </w:rPr>
        <w:t>ФЗ «Об оценочной деятельности в Российской Федерации от 29.07.1998 г. с изменениями.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Общие стандарты оценки ФСО №1 - ФСО №6 Утвержденные Министерством экономического развития, Приказ № 200 от 14 апреля 2022г. ФСО №10 Утвержденный Министерством экономического развития, Приказ № 328 от 01.06.2015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Технический регламент Таможенного союза «О безопасности колесных транспортных средств» (ТР ТС 018/2011).</w:t>
      </w:r>
    </w:p>
    <w:p>
      <w:pPr>
        <w:pStyle w:val="NormalWeb"/>
        <w:shd w:val="clear" w:color="auto" w:fill="FFFFFF"/>
        <w:spacing w:beforeAutospacing="0" w:before="0" w:afterAutospacing="0" w:after="0"/>
        <w:ind w:left="142" w:hanging="0"/>
        <w:jc w:val="both"/>
        <w:rPr>
          <w:rFonts w:ascii="Liberation Serif" w:hAnsi="Liberation Serif"/>
        </w:rPr>
      </w:pPr>
      <w:r>
        <w:rPr>
          <w:rFonts w:cs="Times New Roman" w:ascii="Liberation Serif" w:hAnsi="Liberation Serif"/>
          <w:color w:val="000000"/>
          <w:sz w:val="24"/>
          <w:szCs w:val="24"/>
        </w:rPr>
        <w:t xml:space="preserve"> </w:t>
      </w:r>
      <w:r>
        <w:rPr>
          <w:rFonts w:cs="Times New Roman" w:ascii="Liberation Serif" w:hAnsi="Liberation Serif"/>
          <w:color w:val="000000"/>
          <w:sz w:val="24"/>
          <w:szCs w:val="24"/>
        </w:rPr>
        <w:t>Руководства по эксплуатации объектов экспертизы.</w:t>
      </w:r>
    </w:p>
    <w:p>
      <w:pPr>
        <w:pStyle w:val="Normal"/>
        <w:widowControl/>
        <w:shd w:val="clear" w:color="auto" w:fill="FFFFFF"/>
        <w:tabs>
          <w:tab w:val="left" w:pos="708" w:leader="none"/>
          <w:tab w:val="left" w:pos="1002" w:leader="none"/>
        </w:tabs>
        <w:spacing w:before="0" w:after="200"/>
        <w:ind w:firstLine="709"/>
        <w:contextualSpacing/>
        <w:jc w:val="both"/>
        <w:rPr>
          <w:rFonts w:ascii="Liberation Serif" w:hAnsi="Liberation Serif" w:eastAsia="Lucida Sans Unicode"/>
          <w:color w:val="00000A"/>
          <w:sz w:val="24"/>
          <w:szCs w:val="24"/>
          <w:lang w:eastAsia="zh-CN" w:bidi="ar-SA"/>
        </w:rPr>
      </w:pPr>
      <w:r>
        <w:rPr>
          <w:rFonts w:eastAsia="Lucida Sans Unicode" w:ascii="Liberation Serif" w:hAnsi="Liberation Serif"/>
          <w:color w:val="000000"/>
          <w:sz w:val="24"/>
          <w:szCs w:val="24"/>
          <w:lang w:bidi="ar-SA"/>
        </w:rPr>
        <w:t>Оказываемые услуги не должны наносить вред основным средствам Заказчика.</w:t>
      </w:r>
    </w:p>
    <w:p>
      <w:pPr>
        <w:pStyle w:val="Normal"/>
        <w:widowControl/>
        <w:shd w:val="clear" w:color="auto" w:fill="FFFFFF"/>
        <w:tabs>
          <w:tab w:val="left" w:pos="708" w:leader="none"/>
          <w:tab w:val="left" w:pos="998" w:leader="none"/>
        </w:tabs>
        <w:spacing w:before="0" w:after="29"/>
        <w:ind w:firstLine="709"/>
        <w:contextualSpacing/>
        <w:jc w:val="both"/>
        <w:rPr>
          <w:rFonts w:ascii="Calibri" w:hAnsi="Calibri" w:eastAsia="Lucida Sans Unicode"/>
          <w:color w:val="00000A"/>
          <w:lang w:eastAsia="zh-CN" w:bidi="ar-SA"/>
        </w:rPr>
      </w:pPr>
      <w:r>
        <w:rPr>
          <w:rFonts w:eastAsia="Lucida Sans Unicode" w:ascii="Liberation Serif" w:hAnsi="Liberation Serif"/>
          <w:color w:val="000000"/>
          <w:sz w:val="24"/>
          <w:szCs w:val="24"/>
          <w:lang w:bidi="ar-SA"/>
        </w:rPr>
        <w:t>Объектами основных средств для обследования технического состояния являются: транспортные средства Заказчика.</w:t>
      </w:r>
    </w:p>
    <w:p>
      <w:pPr>
        <w:pStyle w:val="Normal"/>
        <w:widowControl/>
        <w:tabs>
          <w:tab w:val="left" w:pos="708" w:leader="none"/>
        </w:tabs>
        <w:spacing w:lineRule="auto" w:line="276" w:before="0" w:after="200"/>
        <w:ind w:firstLine="709"/>
        <w:contextualSpacing/>
        <w:jc w:val="both"/>
        <w:rPr>
          <w:rFonts w:ascii="Liberation Serif" w:hAnsi="Liberation Serif" w:eastAsia="Lucida Sans Unicode"/>
          <w:color w:val="00000A"/>
          <w:sz w:val="24"/>
          <w:szCs w:val="24"/>
          <w:lang w:eastAsia="en-US" w:bidi="ar-SA"/>
        </w:rPr>
      </w:pPr>
      <w:r>
        <w:rPr>
          <w:rFonts w:eastAsia="Lucida Sans Unicode" w:ascii="Liberation Serif" w:hAnsi="Liberation Serif"/>
          <w:color w:val="000000"/>
          <w:sz w:val="24"/>
          <w:szCs w:val="24"/>
          <w:lang w:eastAsia="en-US" w:bidi="ar-SA"/>
        </w:rPr>
        <w:t>Исполнителем изучаются технические характеристики транспортных средств, учетные документы на данное транспортное средство; проводится визуальный осмотр узлов, систем и деталей, выявляются дефекты и неисправности; определяется возможный объем работ по замене вышедших из строя узлов, систем и деталей на новые для восстановления транспортного средства  и допуска его к эксплуатации; проводится анализ целесообразности проведения ремонта транспортного средства для его восстановления и допуска к эксплуатации, либо списания с баланса в установленном порядке.</w:t>
      </w:r>
    </w:p>
    <w:p>
      <w:pPr>
        <w:pStyle w:val="Normal"/>
        <w:widowControl/>
        <w:tabs>
          <w:tab w:val="left" w:pos="708" w:leader="none"/>
        </w:tabs>
        <w:ind w:firstLine="709"/>
        <w:rPr>
          <w:rFonts w:ascii="Liberation Serif" w:hAnsi="Liberation Serif" w:eastAsia="Lucida Sans Unicode"/>
          <w:color w:val="00000A"/>
          <w:sz w:val="24"/>
          <w:szCs w:val="24"/>
          <w:lang w:eastAsia="en-US" w:bidi="ar-SA"/>
        </w:rPr>
      </w:pPr>
      <w:r>
        <w:rPr>
          <w:rFonts w:eastAsia="Lucida Sans Unicode" w:ascii="Liberation Serif" w:hAnsi="Liberation Serif"/>
          <w:color w:val="00000A"/>
          <w:sz w:val="24"/>
          <w:szCs w:val="24"/>
          <w:lang w:eastAsia="en-US" w:bidi="ar-SA"/>
        </w:rPr>
      </w:r>
    </w:p>
    <w:p>
      <w:pPr>
        <w:pStyle w:val="Normal"/>
        <w:widowControl/>
        <w:shd w:val="clear" w:color="auto" w:fill="FFFFFF"/>
        <w:tabs>
          <w:tab w:val="left" w:pos="708" w:leader="none"/>
          <w:tab w:val="left" w:pos="1157" w:leader="none"/>
        </w:tabs>
        <w:ind w:firstLine="709"/>
        <w:jc w:val="both"/>
        <w:rPr>
          <w:rFonts w:ascii="Calibri" w:hAnsi="Calibri" w:eastAsia="Lucida Sans Unicode"/>
          <w:color w:val="00000A"/>
          <w:lang w:eastAsia="zh-CN" w:bidi="ar-SA"/>
        </w:rPr>
      </w:pPr>
      <w:r>
        <w:rPr>
          <w:rFonts w:eastAsia="Lucida Sans Unicode" w:ascii="Liberation Serif" w:hAnsi="Liberation Serif"/>
          <w:color w:val="000000"/>
          <w:sz w:val="24"/>
          <w:szCs w:val="24"/>
          <w:lang w:bidi="ar-SA"/>
        </w:rPr>
        <w:t xml:space="preserve">Заключение о техническом состоянии на проверенные транспортные средства   должно соответствовать требованиям законодательства Российской Федерации. Заключение о техническом состоянии на проверенные транспортные средства и оборудование оформляются </w:t>
      </w:r>
      <w:r>
        <w:rPr>
          <w:rFonts w:eastAsia="Calibri" w:ascii="Liberation Serif" w:hAnsi="Liberation Serif"/>
          <w:color w:val="000000"/>
          <w:sz w:val="24"/>
          <w:szCs w:val="24"/>
          <w:lang w:eastAsia="en-US" w:bidi="ar-SA"/>
        </w:rPr>
        <w:t>на бумажном носителе и в форме электронного документа в соответствии с требованиями федеральных стандартов оценки, нормативных правовых актов уполномоченного федерального органа, осуществляющего функции по нормативно-правовому регулированию оценочной деятельности</w:t>
      </w:r>
      <w:r>
        <w:rPr>
          <w:rFonts w:eastAsia="Lucida Sans Unicode" w:ascii="Liberation Serif" w:hAnsi="Liberation Serif"/>
          <w:color w:val="000000"/>
          <w:sz w:val="24"/>
          <w:szCs w:val="24"/>
          <w:lang w:bidi="ar-SA"/>
        </w:rPr>
        <w:t>.</w:t>
      </w:r>
    </w:p>
    <w:p>
      <w:pPr>
        <w:pStyle w:val="ListParagraph"/>
        <w:numPr>
          <w:ilvl w:val="0"/>
          <w:numId w:val="2"/>
        </w:numPr>
        <w:shd w:val="clear" w:color="auto" w:fill="FFFFFF"/>
        <w:jc w:val="both"/>
        <w:rPr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>Порядок оказания услуг:</w:t>
      </w:r>
      <w:r>
        <w:rPr>
          <w:sz w:val="24"/>
          <w:szCs w:val="24"/>
        </w:rPr>
        <w:t xml:space="preserve"> </w:t>
      </w:r>
    </w:p>
    <w:p>
      <w:pPr>
        <w:pStyle w:val="ListParagraph"/>
        <w:shd w:val="clear" w:color="auto" w:fill="FFFFFF"/>
        <w:ind w:left="1069" w:hanging="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В ходе оказания услуг</w:t>
      </w:r>
      <w:r>
        <w:rPr>
          <w:color w:val="333333"/>
        </w:rPr>
        <w:t>: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color w:val="333333"/>
          <w:lang w:bidi="ru-RU"/>
        </w:rPr>
      </w:pPr>
      <w:r>
        <w:rPr>
          <w:color w:val="333333"/>
          <w:lang w:bidi="ru-RU"/>
        </w:rPr>
        <w:t xml:space="preserve">- Заказчик обеспечивает Исполнителя всей необходимой документацией для экспертизы, гарантирует, что копии предоставленных документов соответствуют оригиналам, предоставляет документы и данные об Объекте экспертизы (копии ПТС, справки о балансовой стоимости), необходимые для проведения экспертизы, в день осмотра транспортного средства, а также обеспечивает предоставление таких документов и данных, находящихся на хранении у третьих лиц, обеспечивает для проведения экспертизы Объекта экспертизы доступ специалистов Исполнителя к Объекту экспертизы, определение фактического состояния которого необходимо для экспертизы.  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color w:val="333333"/>
          <w:lang w:bidi="ru-RU"/>
        </w:rPr>
      </w:pPr>
      <w:r>
        <w:rPr>
          <w:color w:val="333333"/>
          <w:lang w:bidi="ru-RU"/>
        </w:rPr>
        <w:t>- Исполнитель к месту осмотра транспортных средств Заказчика прибывает самостоятельно.</w:t>
      </w:r>
      <w:r>
        <w:rPr>
          <w:bCs/>
          <w:color w:val="333333"/>
          <w:lang w:bidi="ru-RU"/>
        </w:rPr>
        <w:t xml:space="preserve"> </w:t>
      </w:r>
      <w:r>
        <w:rPr>
          <w:color w:val="333333"/>
          <w:lang w:bidi="ru-RU"/>
        </w:rPr>
        <w:t xml:space="preserve">Заказчик предоставляет Исполнителю возможность беспрепятственного осмотра транспортных средств, дающего возможность зафиксировать маркировочные признаки автомобиля, имеющиеся повреждения, а также произвести фотосъемку транспортных средств, </w:t>
      </w:r>
      <w:r>
        <w:rPr/>
        <w:t>обеспечивает</w:t>
      </w:r>
      <w:r>
        <w:rPr>
          <w:color w:val="333333"/>
          <w:lang w:bidi="ru-RU"/>
        </w:rPr>
        <w:t xml:space="preserve"> сохранность документов, получаемых от Заказчика и третьих лиц в ходе проведения экспертизе Объекта, знакомит Заказчика с действующими нормативными документами, регламентирующими экспертную деятельность. 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color w:val="333333"/>
          <w:lang w:bidi="ru-RU"/>
        </w:rPr>
      </w:pPr>
      <w:r>
        <w:rPr>
          <w:color w:val="333333"/>
          <w:lang w:bidi="ru-RU"/>
        </w:rPr>
        <w:t xml:space="preserve">Отчет об экспертизе будет использован Заказчиком в качестве Технического заключения о нецелесообразности дальнейшего использования осмотренного транспортного средства, списания его с баланса учреждения. 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333333"/>
          <w:lang w:bidi="ru-RU"/>
        </w:rPr>
        <w:t>При экспертизе Объекта Исполнитель имеет право использовать все общепринятые методы экспертизы, апробированные в мире и в России, а также их производные (в том числе авторские разработки), не противоречащие теоретическим и практическим основам анализа и экспертизы.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0" w:firstLine="709"/>
        <w:jc w:val="both"/>
        <w:rPr>
          <w:rFonts w:eastAsia="Calibri" w:eastAsiaTheme="minorHAnsi"/>
          <w:lang w:eastAsia="en-US" w:bidi="ru-RU"/>
        </w:rPr>
      </w:pPr>
      <w:r>
        <w:rPr>
          <w:b/>
          <w:color w:val="333333"/>
          <w:lang w:bidi="ru-RU"/>
        </w:rPr>
        <w:t xml:space="preserve">Требования к Исполнителю: 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rFonts w:eastAsia="Calibri" w:eastAsiaTheme="minorHAnsi"/>
          <w:lang w:eastAsia="en-US" w:bidi="ru-RU"/>
        </w:rPr>
      </w:pPr>
      <w:r>
        <w:rPr>
          <w:color w:val="333333"/>
          <w:lang w:bidi="ru-RU"/>
        </w:rPr>
        <w:t>Специалист подписывающий документ, должен помимо специального оценочного образование иметь высшее техническое в области автотранспорта со стажем не менее 15 лет, специальное образование эксперта-техника со стажем работы не менее 5 лет и специальное образование по исследованию дефектов транспортных средств.</w:t>
      </w:r>
      <w:r>
        <w:rPr>
          <w:b/>
          <w:color w:val="333333"/>
          <w:lang w:bidi="ru-RU"/>
        </w:rPr>
        <w:t xml:space="preserve"> </w:t>
      </w:r>
      <w:r>
        <w:rPr>
          <w:color w:val="333333"/>
          <w:lang w:bidi="ru-RU"/>
        </w:rPr>
        <w:t xml:space="preserve">В случае если законодательством Российской Федерации предусмотрено лицензирование вида деятельности, являющегося предметом настоящего Технического задания, а также в случае если законодательством Российской Федерации к лицам, осуществляющим оказание услуг, являющихся предметом настоящего Технического задания, установлено требование об их обязательном членстве в саморегулируемых организациях, Исполнитель обязан обеспечить наличие документов, подтверждающих его соответствие требованиям, установленным законодательством Российской Федерации, в течение всего срока исполнения заключаемого контракта. Копии таких документов должны быть переданы Исполнителем Заказчику по его требованию до заключения контракта по итогам </w:t>
      </w:r>
      <w:r>
        <w:rPr>
          <w:color w:val="333333"/>
          <w:lang w:bidi="ru-RU"/>
        </w:rPr>
        <w:t>закупочной</w:t>
      </w:r>
      <w:r>
        <w:rPr>
          <w:color w:val="333333"/>
          <w:lang w:bidi="ru-RU"/>
        </w:rPr>
        <w:t xml:space="preserve"> сессии (выписку из реестра членов саморегулируемой организации оценщиков заверенную саморегулируемой организацией оценщиков, документы, подтверждающие наличие у оценщика соответствующего профессионального образования или специальной подготовки в области оценочного дела согласно требованиям Федерального закона от 29.07.1998 года № 135-ФЗ «Об оценочной деятельности в Российской Федерации»,</w:t>
      </w:r>
      <w:r>
        <w:rPr>
          <w:rFonts w:eastAsia="Calibri" w:eastAsiaTheme="minorHAnsi"/>
          <w:sz w:val="26"/>
          <w:szCs w:val="26"/>
          <w:lang w:eastAsia="en-US"/>
        </w:rPr>
        <w:t xml:space="preserve"> </w:t>
      </w:r>
      <w:r>
        <w:rPr>
          <w:rFonts w:eastAsia="Calibri" w:eastAsiaTheme="minorHAnsi"/>
          <w:lang w:eastAsia="en-US"/>
        </w:rPr>
        <w:t>предоставляет по требованию Заказчика копии страховых полисов и документов об образовании, подтверждающих получение профессиональных знаний в области оценочной деятельности оценщиков.).</w:t>
      </w:r>
    </w:p>
    <w:p>
      <w:pPr>
        <w:pStyle w:val="NormalWeb"/>
        <w:spacing w:beforeAutospacing="0" w:before="0" w:afterAutospacing="0" w:after="0"/>
        <w:ind w:firstLine="709"/>
        <w:jc w:val="both"/>
        <w:rPr/>
      </w:pPr>
      <w:r>
        <w:rPr/>
        <w:t>.</w:t>
      </w:r>
    </w:p>
    <w:p>
      <w:pPr>
        <w:pStyle w:val="Normal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ind w:left="5162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Перечень объектов  подлежащих экспертизе:</w:t>
      </w:r>
    </w:p>
    <w:p>
      <w:pPr>
        <w:pStyle w:val="Normal"/>
        <w:ind w:left="5162" w:hanging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tbl>
      <w:tblPr>
        <w:tblStyle w:val="ae"/>
        <w:tblW w:w="11170" w:type="dxa"/>
        <w:jc w:val="left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4"/>
        <w:gridCol w:w="1843"/>
        <w:gridCol w:w="1277"/>
        <w:gridCol w:w="709"/>
        <w:gridCol w:w="3176"/>
        <w:gridCol w:w="3740"/>
      </w:tblGrid>
      <w:tr>
        <w:trPr/>
        <w:tc>
          <w:tcPr>
            <w:tcW w:w="4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№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Перечень объектов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Марка а/м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Год</w:t>
            </w:r>
          </w:p>
        </w:tc>
        <w:tc>
          <w:tcPr>
            <w:tcW w:w="31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Регистрационный знак</w:t>
            </w:r>
          </w:p>
        </w:tc>
        <w:tc>
          <w:tcPr>
            <w:tcW w:w="37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</w:t>
            </w:r>
          </w:p>
        </w:tc>
      </w:tr>
      <w:tr>
        <w:trPr/>
        <w:tc>
          <w:tcPr>
            <w:tcW w:w="4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Трактор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/>
              </w:rPr>
            </w:pPr>
            <w:r>
              <w:rPr>
                <w:kern w:val="0"/>
                <w:lang w:val="ru-RU"/>
              </w:rPr>
              <w:t>К-701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1988</w:t>
            </w:r>
          </w:p>
        </w:tc>
        <w:tc>
          <w:tcPr>
            <w:tcW w:w="31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10КВ7767</w:t>
            </w:r>
          </w:p>
        </w:tc>
        <w:tc>
          <w:tcPr>
            <w:tcW w:w="3740" w:type="dxa"/>
            <w:tcBorders/>
          </w:tcPr>
          <w:p>
            <w:pPr>
              <w:pStyle w:val="NormalWeb"/>
              <w:widowControl w:val="false"/>
              <w:shd w:val="clear" w:color="auto" w:fill="FFFFFF"/>
              <w:suppressAutoHyphens w:val="true"/>
              <w:spacing w:beforeAutospacing="0" w:before="0" w:afterAutospacing="0" w:after="0"/>
              <w:ind w:left="-142" w:firstLine="284"/>
              <w:jc w:val="both"/>
              <w:rPr>
                <w:kern w:val="0"/>
                <w:sz w:val="16"/>
                <w:szCs w:val="16"/>
                <w:lang w:val="ru-RU"/>
              </w:rPr>
            </w:pPr>
            <w:r>
              <w:rPr>
                <w:b/>
                <w:color w:val="333333"/>
                <w:kern w:val="0"/>
                <w:sz w:val="16"/>
                <w:szCs w:val="16"/>
                <w:lang w:val="ru-RU" w:bidi="ar-SA"/>
              </w:rPr>
              <w:t xml:space="preserve"> </w:t>
            </w:r>
            <w:r>
              <w:rPr>
                <w:b/>
                <w:color w:val="333333"/>
                <w:kern w:val="0"/>
                <w:sz w:val="16"/>
                <w:szCs w:val="16"/>
                <w:lang w:val="ru-RU" w:bidi="ar-SA"/>
              </w:rPr>
              <w:t>Республика Карелия, м. о Медвежъегорский,  пгт.Повенец, Гараж, район шлюза №3</w:t>
            </w:r>
          </w:p>
        </w:tc>
      </w:tr>
      <w:tr>
        <w:trPr/>
        <w:tc>
          <w:tcPr>
            <w:tcW w:w="4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Трактор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Т-40АМ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1992</w:t>
            </w:r>
          </w:p>
        </w:tc>
        <w:tc>
          <w:tcPr>
            <w:tcW w:w="31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10КВ7772</w:t>
            </w:r>
          </w:p>
        </w:tc>
        <w:tc>
          <w:tcPr>
            <w:tcW w:w="3740" w:type="dxa"/>
            <w:tcBorders/>
          </w:tcPr>
          <w:p>
            <w:pPr>
              <w:pStyle w:val="NormalWeb"/>
              <w:widowControl w:val="false"/>
              <w:shd w:val="clear" w:color="auto" w:fill="FFFFFF"/>
              <w:suppressAutoHyphens w:val="true"/>
              <w:spacing w:beforeAutospacing="0" w:before="0" w:afterAutospacing="0" w:after="0"/>
              <w:ind w:left="-142" w:firstLine="284"/>
              <w:jc w:val="both"/>
              <w:rPr>
                <w:kern w:val="0"/>
                <w:sz w:val="16"/>
                <w:szCs w:val="16"/>
                <w:lang w:val="ru-RU"/>
              </w:rPr>
            </w:pPr>
            <w:r>
              <w:rPr>
                <w:b/>
                <w:color w:val="333333"/>
                <w:kern w:val="0"/>
                <w:sz w:val="16"/>
                <w:szCs w:val="16"/>
                <w:lang w:val="ru-RU" w:bidi="ar-SA"/>
              </w:rPr>
              <w:t xml:space="preserve"> </w:t>
            </w:r>
            <w:r>
              <w:rPr>
                <w:b/>
                <w:color w:val="333333"/>
                <w:kern w:val="0"/>
                <w:sz w:val="16"/>
                <w:szCs w:val="16"/>
                <w:lang w:val="ru-RU" w:bidi="ar-SA"/>
              </w:rPr>
              <w:t>Республика Карелия, м. о Медвежъегорский,  пгт.Повенец, Гараж, район шлюза №3</w:t>
            </w:r>
          </w:p>
        </w:tc>
      </w:tr>
      <w:tr>
        <w:trPr/>
        <w:tc>
          <w:tcPr>
            <w:tcW w:w="4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</w:r>
          </w:p>
        </w:tc>
        <w:tc>
          <w:tcPr>
            <w:tcW w:w="31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</w:r>
          </w:p>
        </w:tc>
        <w:tc>
          <w:tcPr>
            <w:tcW w:w="3740" w:type="dxa"/>
            <w:tcBorders/>
          </w:tcPr>
          <w:p>
            <w:pPr>
              <w:pStyle w:val="NormalWeb"/>
              <w:widowControl w:val="false"/>
              <w:shd w:val="clear" w:color="auto" w:fill="FFFFFF"/>
              <w:suppressAutoHyphens w:val="true"/>
              <w:spacing w:beforeAutospacing="0" w:before="0" w:afterAutospacing="0" w:after="0"/>
              <w:ind w:left="-142" w:firstLine="284"/>
              <w:jc w:val="both"/>
              <w:rPr>
                <w:kern w:val="0"/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</w:r>
          </w:p>
        </w:tc>
      </w:tr>
    </w:tbl>
    <w:p>
      <w:pPr>
        <w:pStyle w:val="Normal"/>
        <w:ind w:left="5162" w:hanging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ind w:left="5162" w:hanging="0"/>
        <w:jc w:val="right"/>
        <w:rPr>
          <w:b/>
          <w:b/>
          <w:sz w:val="24"/>
          <w:szCs w:val="24"/>
        </w:rPr>
      </w:pPr>
      <w:r>
        <w:rPr/>
      </w:r>
      <w:bookmarkStart w:id="2" w:name="OLE_LINK41"/>
      <w:bookmarkStart w:id="3" w:name="OLE_LINK41"/>
      <w:bookmarkEnd w:id="3"/>
    </w:p>
    <w:sectPr>
      <w:type w:val="nextPage"/>
      <w:pgSz w:w="11906" w:h="16838"/>
      <w:pgMar w:left="1134" w:right="851" w:gutter="0" w:header="0" w:top="142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nsultant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5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ru-RU"/>
    </w:rPr>
  </w:style>
  <w:style w:type="paragraph" w:styleId="1">
    <w:name w:val="Heading 1"/>
    <w:basedOn w:val="Normal"/>
    <w:next w:val="Normal"/>
    <w:link w:val="1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next w:val="Normal"/>
    <w:link w:val="21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link w:val="31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link w:val="41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link w:val="51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next w:val="Normal"/>
    <w:link w:val="71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next w:val="Normal"/>
    <w:link w:val="81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next w:val="Normal"/>
    <w:link w:val="91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1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4" w:customStyle="1">
    <w:name w:val="Без интервала Знак"/>
    <w:link w:val="NoSpacing"/>
    <w:uiPriority w:val="1"/>
    <w:qFormat/>
    <w:rPr>
      <w:rFonts w:ascii="Calibri" w:hAnsi="Calibri" w:eastAsia="Calibri" w:cs="Arial"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eastAsia="Times New Roman" w:cs="Segoe UI"/>
      <w:sz w:val="18"/>
      <w:szCs w:val="18"/>
      <w:lang w:eastAsia="ru-RU" w:bidi="ru-RU"/>
    </w:rPr>
  </w:style>
  <w:style w:type="character" w:styleId="Style16">
    <w:name w:val="Интернет-ссылка"/>
    <w:basedOn w:val="DefaultParagraphFont"/>
    <w:uiPriority w:val="99"/>
    <w:semiHidden/>
    <w:unhideWhenUsed/>
    <w:rPr>
      <w:color w:val="0000FF"/>
      <w:u w:val="single"/>
    </w:rPr>
  </w:style>
  <w:style w:type="character" w:styleId="32" w:customStyle="1">
    <w:name w:val="Основной текст с отступом 3 Знак"/>
    <w:basedOn w:val="DefaultParagraphFont"/>
    <w:link w:val="BodyTextIndent3"/>
    <w:uiPriority w:val="99"/>
    <w:semiHidden/>
    <w:qFormat/>
    <w:rPr>
      <w:rFonts w:ascii="Times New Roman" w:hAnsi="Times New Roman" w:eastAsia="Times New Roman" w:cs="Times New Roman"/>
      <w:sz w:val="16"/>
      <w:szCs w:val="16"/>
      <w:lang w:eastAsia="ru-RU" w:bidi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2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23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2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link w:val="Style8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6">
    <w:name w:val="Footer"/>
    <w:basedOn w:val="Normal"/>
    <w:link w:val="Style9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4472C4" w:themeColor="accent1"/>
      <w:sz w:val="18"/>
      <w:szCs w:val="18"/>
    </w:rPr>
  </w:style>
  <w:style w:type="paragraph" w:styleId="Style27">
    <w:name w:val="Footnote Text"/>
    <w:basedOn w:val="Normal"/>
    <w:link w:val="Style10"/>
    <w:uiPriority w:val="99"/>
    <w:semiHidden/>
    <w:unhideWhenUsed/>
    <w:pPr>
      <w:spacing w:before="0" w:after="40"/>
    </w:pPr>
    <w:rPr>
      <w:sz w:val="18"/>
    </w:rPr>
  </w:style>
  <w:style w:type="paragraph" w:styleId="Style28">
    <w:name w:val="Endnote Text"/>
    <w:basedOn w:val="Normal"/>
    <w:link w:val="Style12"/>
    <w:uiPriority w:val="99"/>
    <w:semiHidden/>
    <w:unhideWhenUsed/>
    <w:pPr/>
    <w:rPr>
      <w:sz w:val="20"/>
    </w:rPr>
  </w:style>
  <w:style w:type="paragraph" w:styleId="12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next w:val="Normal"/>
    <w:uiPriority w:val="39"/>
    <w:unhideWhenUsed/>
    <w:pPr>
      <w:spacing w:before="0" w:after="57"/>
      <w:ind w:left="283" w:hanging="0"/>
    </w:pPr>
    <w:rPr/>
  </w:style>
  <w:style w:type="paragraph" w:styleId="33">
    <w:name w:val="TOC 3"/>
    <w:basedOn w:val="Normal"/>
    <w:next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next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next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hanging="0"/>
    </w:pPr>
    <w:rPr/>
  </w:style>
  <w:style w:type="paragraph" w:styleId="Style29">
    <w:name w:val="Index Heading"/>
    <w:basedOn w:val="Style17"/>
    <w:pPr/>
    <w:rPr/>
  </w:style>
  <w:style w:type="paragraph" w:styleId="Style30">
    <w:name w:val="TOC Heading"/>
    <w:uiPriority w:val="39"/>
    <w:unhideWhenUsed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111" w:customStyle="1">
    <w:name w:val="Заголовок 11"/>
    <w:basedOn w:val="Normal"/>
    <w:uiPriority w:val="1"/>
    <w:qFormat/>
    <w:pPr>
      <w:ind w:left="140" w:hanging="0"/>
      <w:outlineLvl w:val="1"/>
    </w:pPr>
    <w:rPr>
      <w:b/>
      <w:bCs/>
      <w:sz w:val="28"/>
      <w:szCs w:val="28"/>
    </w:rPr>
  </w:style>
  <w:style w:type="paragraph" w:styleId="NoSpacing">
    <w:name w:val="No Spacing"/>
    <w:link w:val="Style14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Autospacing="1" w:afterAutospacing="1"/>
    </w:pPr>
    <w:rPr>
      <w:sz w:val="24"/>
      <w:szCs w:val="24"/>
      <w:lang w:bidi="ar-SA"/>
    </w:rPr>
  </w:style>
  <w:style w:type="paragraph" w:styleId="13" w:customStyle="1">
    <w:name w:val="Обычный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qFormat/>
    <w:pPr>
      <w:widowControl/>
      <w:suppressAutoHyphens w:val="true"/>
      <w:bidi w:val="0"/>
      <w:spacing w:lineRule="auto" w:line="240" w:before="0" w:after="0"/>
      <w:ind w:firstLine="720"/>
      <w:jc w:val="left"/>
    </w:pPr>
    <w:rPr>
      <w:rFonts w:ascii="Consultant" w:hAnsi="Consultant" w:eastAsia="Times New Roman" w:cs="Times New Roman"/>
      <w:color w:val="auto"/>
      <w:kern w:val="0"/>
      <w:sz w:val="18"/>
      <w:szCs w:val="20"/>
      <w:lang w:val="ru-RU" w:eastAsia="ru-RU" w:bidi="ar-SA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BodyTextIndent3">
    <w:name w:val="Body Text Indent 3"/>
    <w:basedOn w:val="Normal"/>
    <w:link w:val="32"/>
    <w:uiPriority w:val="99"/>
    <w:semiHidden/>
    <w:unhideWhenUsed/>
    <w:qFormat/>
    <w:pPr>
      <w:spacing w:before="0" w:after="120"/>
      <w:ind w:left="283" w:hanging="0"/>
    </w:pPr>
    <w:rPr>
      <w:sz w:val="16"/>
      <w:szCs w:val="16"/>
    </w:rPr>
  </w:style>
  <w:style w:type="paragraph" w:styleId="Default" w:customStyle="1">
    <w:name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112" w:customStyle="1">
    <w:name w:val="Обычный11"/>
    <w:qFormat/>
    <w:pPr>
      <w:widowControl/>
      <w:suppressAutoHyphens w:val="true"/>
      <w:bidi w:val="0"/>
      <w:spacing w:lineRule="auto" w:line="240" w:before="100" w:after="10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0"/>
      <w:lang w:val="ru-RU" w:eastAsia="ru-RU" w:bidi="ar-SA"/>
    </w:rPr>
  </w:style>
  <w:style w:type="paragraph" w:styleId="Style31">
    <w:name w:val="Содержимое врезки"/>
    <w:basedOn w:val="Normal"/>
    <w:qFormat/>
    <w:pPr/>
    <w:rPr/>
  </w:style>
  <w:style w:type="paragraph" w:styleId="Style32">
    <w:name w:val="Содержимое таблицы"/>
    <w:basedOn w:val="Normal"/>
    <w:qFormat/>
    <w:pPr>
      <w:widowControl w:val="false"/>
      <w:suppressLineNumbers/>
    </w:pPr>
    <w:rPr/>
  </w:style>
  <w:style w:type="paragraph" w:styleId="Style33">
    <w:name w:val="Заголовок таблицы"/>
    <w:basedOn w:val="Style3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EC4E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Row">
      <w:rPr>
        <w:b/>
        <w:color w:val="A0B7E1" w:themeColor="accent1" w:themeTint="80" w:themeShade="95"/>
      </w:rPr>
      <w:tblPr/>
    </w:tblStylePr>
    <w:tblStylePr w:type="firstCol">
      <w:rPr>
        <w:b/>
        <w:color w:val="A0B7E1" w:themeColor="accent1" w:themeTint="80" w:themeShade="95"/>
      </w:rPr>
      <w:tblPr/>
    </w:tblStylePr>
    <w:tblStylePr w:type="lastCol">
      <w:rPr>
        <w:b/>
        <w:color w:val="A0B7E1"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val="F4B184" w:themeColor="accent2" w:themeTint="97" w:themeShade="95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A5A5A5" w:themeColor="accent3" w:themeTint="fe" w:themeShade="95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lastCol">
      <w:rPr>
        <w:b/>
        <w:color w:val="A5A5A5"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val="FFD865" w:themeColor="accent4" w:themeTint="9a" w:themeShade="95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0B7E1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sz="4" w:space="0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single" w:color="A0B7E1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2C6E7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A2C6E7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sz="4" w:space="0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000000" w:sz="0" w:space="0"/>
          <w:left w:val="single" w:color="A2C6E7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DD394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0" w:space="0"/>
          <w:left w:val="single" w:color="ADD394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5" w:themeColor="accent1" w:themeShade="95"/>
      </w:rPr>
      <w:tblPr/>
    </w:tblStylePr>
    <w:tblStylePr w:type="lastCol">
      <w:rPr>
        <w:b/>
        <w:color w:val="254175"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val="C9C9C9" w:themeColor="accent3" w:themeTint="98" w:themeShade="95"/>
      </w:rPr>
      <w:tblPr/>
    </w:tblStylePr>
    <w:tblStylePr w:type="lastCol">
      <w:rPr>
        <w:b/>
        <w:color w:val="C9C9C9"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  <w:tblStylePr w:type="firstCol">
      <w:rPr>
        <w:b/>
        <w:color w:val="9BC2E5" w:themeColor="accent5" w:themeTint="9a" w:themeShade="95"/>
      </w:rPr>
      <w:tblPr/>
    </w:tblStylePr>
    <w:tblStylePr w:type="lastCol">
      <w:rPr>
        <w:b/>
        <w:color w:val="9BC2E5"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val="A9D08E" w:themeColor="accent6" w:themeTint="98" w:themeShade="95"/>
      </w:rPr>
      <w:tblPr/>
    </w:tblStylePr>
    <w:tblStylePr w:type="lastCol">
      <w:rPr>
        <w:b/>
        <w:color w:val="A9D08E"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C9C9C9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single" w:color="C9C9C9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BC2E5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sz="4" w:space="0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single" w:color="9BC2E5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9D08E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single" w:color="A9D08E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C2E5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Application>AlterOffice/3.2.9.1$Windows_X86_64 LibreOffice_project/f6fcdc9ef8f5642eaaec34925899f1250a32c141</Application>
  <AppVersion>15.0000</AppVersion>
  <Pages>2</Pages>
  <Words>740</Words>
  <Characters>5616</Characters>
  <CharactersWithSpaces>6338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2023-10-04T07:03:00Z</dcterms:created>
  <dc:creator>DIRECTOR</dc:creator>
  <dc:description/>
  <dc:language>ru-RU</dc:language>
  <cp:lastModifiedBy>IvanovaGS</cp:lastModifiedBy>
  <dcterms:modified xsi:type="dcterms:W3CDTF">2026-10-20T10:35:58Z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