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2.wmf" ContentType="image/x-wmf"/>
  <Override PartName="/word/media/image4.wmf" ContentType="image/x-wmf"/>
  <Override PartName="/word/media/image1.wmf" ContentType="image/x-wmf"/>
  <Override PartName="/word/media/image3.wmf" ContentType="image/x-wmf"/>
  <Override PartName="/word/media/image5.wmf" ContentType="image/x-wmf"/>
  <Override PartName="/word/media/image6.png" ContentType="image/png"/>
  <Override PartName="/word/media/image7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13452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cs="Times New Roman" w:ascii="Times New Roman" w:hAnsi="Times New Roman"/>
          <w:b/>
          <w:bCs/>
          <w:sz w:val="18"/>
          <w:szCs w:val="18"/>
        </w:rPr>
        <w:t>Ф 3.2 – 12/1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cs="Times New Roman" w:ascii="Times New Roman" w:hAnsi="Times New Roman"/>
          <w:b/>
          <w:bCs/>
          <w:sz w:val="18"/>
          <w:szCs w:val="18"/>
        </w:rPr>
        <w:t xml:space="preserve">Обоснование цен. </w:t>
      </w: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bCs/>
          <w:sz w:val="18"/>
          <w:szCs w:val="18"/>
        </w:rPr>
        <w:t>Расчет НМЦК методом сопоставимых рыночных цен.</w:t>
      </w:r>
      <w:r>
        <w:rPr>
          <w:rFonts w:cs="Arial" w:ascii="Arial" w:hAnsi="Arial"/>
          <w:color w:val="000000"/>
          <w:sz w:val="20"/>
          <w:szCs w:val="20"/>
        </w:rPr>
        <w:t xml:space="preserve">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cs="Times New Roman" w:ascii="Times New Roman" w:hAnsi="Times New Roman"/>
          <w:b/>
          <w:bCs/>
          <w:sz w:val="18"/>
          <w:szCs w:val="18"/>
        </w:rPr>
      </w:r>
    </w:p>
    <w:tbl>
      <w:tblPr>
        <w:tblW w:w="1631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2146"/>
        <w:gridCol w:w="1090"/>
        <w:gridCol w:w="1114"/>
        <w:gridCol w:w="1493"/>
        <w:gridCol w:w="1492"/>
        <w:gridCol w:w="1370"/>
        <w:gridCol w:w="1475"/>
        <w:gridCol w:w="1276"/>
        <w:gridCol w:w="1247"/>
        <w:gridCol w:w="1506"/>
        <w:gridCol w:w="1345"/>
      </w:tblGrid>
      <w:tr>
        <w:trPr>
          <w:trHeight w:val="1078" w:hRule="atLeast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товаров, работ, услуг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Количество (объем) продукции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Ед измер.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Цена единицы продукции, указанная в источнике №1 вх. 1/26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Цена единицы продукции, указанная в источнике №2 вх. 2/26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Цена единицы продукции, указанная в источнике №3 вх. 3/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Средняя арифметическая величина цены единицы продукции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Среднее квадратичное отклонение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Коэффициент вариации (%)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НМЦК (руб.)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Совокупность значений</w:t>
            </w:r>
          </w:p>
        </w:tc>
      </w:tr>
      <w:tr>
        <w:trPr>
          <w:trHeight w:val="122" w:hRule="atLeast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Замок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52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16"/>
                <w:szCs w:val="16"/>
                <w:shd w:fill="auto" w:val="clear"/>
              </w:rPr>
              <w:t>штука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350,00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480,00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404,30</w:t>
            </w:r>
          </w:p>
        </w:tc>
        <w:tc>
          <w:tcPr>
            <w:tcW w:w="14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411,43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65,29</w:t>
            </w:r>
          </w:p>
        </w:tc>
        <w:tc>
          <w:tcPr>
            <w:tcW w:w="12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15,86</w:t>
            </w:r>
          </w:p>
        </w:tc>
        <w:tc>
          <w:tcPr>
            <w:tcW w:w="1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widowControl/>
              <w:suppressAutoHyphens w:val="true"/>
              <w:overflowPunct w:val="false"/>
              <w:bidi w:val="0"/>
              <w:spacing w:lineRule="auto" w:line="259" w:before="0" w:after="160"/>
              <w:ind w:hanging="0" w:left="0" w:right="0"/>
              <w:jc w:val="center"/>
              <w:rPr>
                <w:rFonts w:ascii="Times New Roman" w:hAnsi="Times New Roman" w:eastAsia="Calibri" w:cs="Calibri"/>
                <w:color w:val="000000"/>
                <w:kern w:val="0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Calibri" w:ascii="Times New Roman" w:hAnsi="Times New Roman"/>
                <w:color w:val="000000"/>
                <w:kern w:val="0"/>
                <w:sz w:val="16"/>
                <w:szCs w:val="16"/>
                <w:lang w:val="ru-RU" w:eastAsia="en-US" w:bidi="ar-SA"/>
              </w:rPr>
              <w:t>21394,36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однородные</w:t>
            </w:r>
          </w:p>
        </w:tc>
      </w:tr>
      <w:tr>
        <w:trPr>
          <w:trHeight w:val="122" w:hRule="atLeast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Механизм цилиндра</w:t>
            </w:r>
          </w:p>
        </w:tc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штука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900,00</w:t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1285,00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1379,08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1188,03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253,84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21,36</w:t>
            </w:r>
          </w:p>
        </w:tc>
        <w:tc>
          <w:tcPr>
            <w:tcW w:w="150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widowControl/>
              <w:suppressAutoHyphens w:val="true"/>
              <w:overflowPunct w:val="false"/>
              <w:bidi w:val="0"/>
              <w:spacing w:lineRule="auto" w:line="259" w:before="0" w:after="160"/>
              <w:ind w:hanging="0" w:left="0" w:right="0"/>
              <w:jc w:val="center"/>
              <w:rPr>
                <w:rFonts w:ascii="Times New Roman" w:hAnsi="Times New Roman" w:eastAsia="Calibri" w:cs="Calibri"/>
                <w:color w:val="000000"/>
                <w:kern w:val="0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Calibri" w:ascii="Times New Roman" w:hAnsi="Times New Roman"/>
                <w:color w:val="000000"/>
                <w:kern w:val="0"/>
                <w:sz w:val="16"/>
                <w:szCs w:val="16"/>
                <w:lang w:val="ru-RU" w:eastAsia="en-US" w:bidi="ar-SA"/>
              </w:rPr>
              <w:t>29700,75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однородные</w:t>
            </w:r>
          </w:p>
        </w:tc>
      </w:tr>
      <w:tr>
        <w:trPr>
          <w:trHeight w:val="122" w:hRule="atLeast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Механизм цилиндра</w:t>
            </w:r>
          </w:p>
        </w:tc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штука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950,00</w:t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1275,00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1577,52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1267,51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313,83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24,75</w:t>
            </w:r>
          </w:p>
        </w:tc>
        <w:tc>
          <w:tcPr>
            <w:tcW w:w="150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widowControl/>
              <w:suppressAutoHyphens w:val="true"/>
              <w:overflowPunct w:val="false"/>
              <w:bidi w:val="0"/>
              <w:spacing w:lineRule="auto" w:line="259" w:before="0" w:after="160"/>
              <w:ind w:hanging="0" w:left="0" w:right="0"/>
              <w:jc w:val="center"/>
              <w:rPr>
                <w:rFonts w:ascii="Times New Roman" w:hAnsi="Times New Roman" w:eastAsia="Calibri" w:cs="Calibri"/>
                <w:color w:val="000000"/>
                <w:kern w:val="0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Calibri" w:ascii="Times New Roman" w:hAnsi="Times New Roman"/>
                <w:color w:val="000000"/>
                <w:kern w:val="0"/>
                <w:sz w:val="16"/>
                <w:szCs w:val="16"/>
                <w:lang w:val="ru-RU" w:eastAsia="en-US" w:bidi="ar-SA"/>
              </w:rPr>
              <w:t>12675,1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однородные</w:t>
            </w:r>
          </w:p>
        </w:tc>
      </w:tr>
      <w:tr>
        <w:trPr>
          <w:trHeight w:val="122" w:hRule="atLeast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Механизм цилиндра</w:t>
            </w:r>
          </w:p>
        </w:tc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штука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1100,00</w:t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835,00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1599,99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1178,33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388,46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32,96</w:t>
            </w:r>
          </w:p>
        </w:tc>
        <w:tc>
          <w:tcPr>
            <w:tcW w:w="150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widowControl/>
              <w:suppressAutoHyphens w:val="true"/>
              <w:overflowPunct w:val="false"/>
              <w:bidi w:val="0"/>
              <w:spacing w:lineRule="auto" w:line="259" w:before="0" w:after="160"/>
              <w:ind w:hanging="0" w:left="0" w:right="0"/>
              <w:jc w:val="center"/>
              <w:rPr>
                <w:rFonts w:ascii="Times New Roman" w:hAnsi="Times New Roman" w:eastAsia="Calibri" w:cs="Calibri"/>
                <w:color w:val="000000"/>
                <w:kern w:val="0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Calibri" w:ascii="Times New Roman" w:hAnsi="Times New Roman"/>
                <w:color w:val="000000"/>
                <w:kern w:val="0"/>
                <w:sz w:val="16"/>
                <w:szCs w:val="16"/>
                <w:lang w:val="ru-RU" w:eastAsia="en-US" w:bidi="ar-SA"/>
              </w:rPr>
              <w:t>11783,3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однородные</w:t>
            </w:r>
          </w:p>
        </w:tc>
      </w:tr>
      <w:tr>
        <w:trPr>
          <w:trHeight w:val="122" w:hRule="atLeast"/>
        </w:trPr>
        <w:tc>
          <w:tcPr>
            <w:tcW w:w="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left"/>
              <w:rPr>
                <w:rFonts w:ascii="Times New Roman" w:hAnsi="Times New Roman"/>
                <w:b w:val="false"/>
                <w:bCs w:val="false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Механизм цилиндра</w:t>
            </w:r>
          </w:p>
        </w:tc>
        <w:tc>
          <w:tcPr>
            <w:tcW w:w="1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штука</w:t>
            </w:r>
          </w:p>
        </w:tc>
        <w:tc>
          <w:tcPr>
            <w:tcW w:w="1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1150,00</w:t>
            </w:r>
          </w:p>
        </w:tc>
        <w:tc>
          <w:tcPr>
            <w:tcW w:w="14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1400,00</w:t>
            </w:r>
          </w:p>
        </w:tc>
        <w:tc>
          <w:tcPr>
            <w:tcW w:w="1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1708,62</w:t>
            </w:r>
          </w:p>
        </w:tc>
        <w:tc>
          <w:tcPr>
            <w:tcW w:w="1475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1419,54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279,82</w:t>
            </w:r>
          </w:p>
        </w:tc>
        <w:tc>
          <w:tcPr>
            <w:tcW w:w="124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spacing w:before="0" w:after="160"/>
              <w:ind w:hanging="0" w:left="0" w:right="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19,71</w:t>
            </w:r>
          </w:p>
        </w:tc>
        <w:tc>
          <w:tcPr>
            <w:tcW w:w="150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widowControl/>
              <w:suppressAutoHyphens w:val="true"/>
              <w:overflowPunct w:val="false"/>
              <w:bidi w:val="0"/>
              <w:spacing w:lineRule="auto" w:line="259" w:before="0" w:after="160"/>
              <w:ind w:hanging="0" w:left="0" w:right="0"/>
              <w:jc w:val="center"/>
              <w:rPr>
                <w:rFonts w:ascii="Times New Roman" w:hAnsi="Times New Roman" w:eastAsia="Calibri" w:cs="Calibri"/>
                <w:color w:val="000000"/>
                <w:kern w:val="0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Calibri" w:ascii="Times New Roman" w:hAnsi="Times New Roman"/>
                <w:color w:val="000000"/>
                <w:kern w:val="0"/>
                <w:sz w:val="16"/>
                <w:szCs w:val="16"/>
                <w:lang w:val="ru-RU" w:eastAsia="en-US" w:bidi="ar-SA"/>
              </w:rPr>
              <w:t>14195,4</w:t>
            </w: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однородные</w:t>
            </w:r>
          </w:p>
        </w:tc>
      </w:tr>
      <w:tr>
        <w:trPr>
          <w:trHeight w:val="300" w:hRule="atLeast"/>
        </w:trPr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408"/>
                <w:tab w:val="center" w:pos="600" w:leader="none"/>
              </w:tabs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150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Style15"/>
              <w:widowControl/>
              <w:suppressAutoHyphens w:val="true"/>
              <w:overflowPunct w:val="false"/>
              <w:bidi w:val="0"/>
              <w:spacing w:lineRule="auto" w:line="259" w:before="0" w:after="160"/>
              <w:ind w:hanging="0" w:left="0" w:right="0"/>
              <w:jc w:val="center"/>
              <w:rPr>
                <w:rFonts w:ascii="Times New Roman" w:hAnsi="Times New Roman" w:eastAsia="Calibri" w:cs="Calibri"/>
                <w:color w:val="000000"/>
                <w:kern w:val="0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Calibri" w:ascii="Times New Roman" w:hAnsi="Times New Roman"/>
                <w:color w:val="000000"/>
                <w:kern w:val="0"/>
                <w:sz w:val="16"/>
                <w:szCs w:val="16"/>
                <w:lang w:val="ru-RU" w:eastAsia="en-US" w:bidi="ar-SA"/>
              </w:rPr>
              <w:t>89748,91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rHeight w:val="300" w:hRule="atLeast"/>
        </w:trPr>
        <w:tc>
          <w:tcPr>
            <w:tcW w:w="163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bCs/>
                <w:sz w:val="16"/>
                <w:szCs w:val="16"/>
              </w:rPr>
              <w:t>НМЦК методом сопоставимых рыночных цен определен по формуле: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ab/>
              <w:t xml:space="preserve">где:                                                                                                                       </w:t>
            </w:r>
            <w:r>
              <w:rPr>
                <w:rFonts w:cs="Times New Roman"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/>
              <w:drawing>
                <wp:inline distT="0" distB="0" distL="0" distR="0">
                  <wp:extent cx="1706245" cy="3346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245" cy="334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/>
              <w:drawing>
                <wp:inline distT="0" distB="0" distL="0" distR="0">
                  <wp:extent cx="655320" cy="21844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218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- НМЦК, определяемая методом сопоставимых рыночных цен (анализа рынка);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v - количество (объем) закупаемого товара (работы, услуги);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n - количество значений, используемых в расчете;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i - номер источника ценовой информации;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/>
              <w:drawing>
                <wp:inline distT="0" distB="0" distL="0" distR="0">
                  <wp:extent cx="116205" cy="21844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218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cs="Times New Roman" w:ascii="Times New Roman" w:hAnsi="Times New Roman"/>
                <w:sz w:val="16"/>
                <w:szCs w:val="16"/>
              </w:rPr>
              <w:t>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V - коэффициент вариации;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Формула расчета коэффициента вариации: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/>
              <w:drawing>
                <wp:inline distT="0" distB="0" distL="0" distR="0">
                  <wp:extent cx="1023620" cy="3346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3620" cy="334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firstLine="54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/>
              <w:drawing>
                <wp:inline distT="0" distB="0" distL="0" distR="0">
                  <wp:extent cx="116205" cy="2730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" cy="273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 w:ascii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sz w:val="16"/>
                <w:szCs w:val="16"/>
                <w:lang w:eastAsia="ru-RU"/>
              </w:rPr>
              <w:t>- цена единицы товара, работы, услуги, указанная в источнике с номером i;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</w:t>
            </w:r>
            <w:r>
              <w:rPr/>
              <w:drawing>
                <wp:inline distT="0" distB="0" distL="0" distR="0">
                  <wp:extent cx="2047240" cy="982345"/>
                  <wp:effectExtent l="0" t="0" r="0" b="0"/>
                  <wp:docPr id="6" name="Рисунок 6" descr="http://base.garant.ru/files/base/70473958/128305688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 descr="http://base.garant.ru/files/base/70473958/128305688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240" cy="982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- среднее квадратичное отклонение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/>
              <w:drawing>
                <wp:inline distT="0" distB="0" distL="0" distR="0">
                  <wp:extent cx="149860" cy="238760"/>
                  <wp:effectExtent l="0" t="0" r="0" b="0"/>
                  <wp:docPr id="7" name="Рисунок 7" descr="http://base.garant.ru/files/base/70473958/327063879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http://base.garant.ru/files/base/70473958/327063879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860" cy="238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- цена единицы товара, работы, услуги, указанная в источнике с номером i;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&lt;ц&gt; - средняя арифметическая величина цены единицы товара, работы, услуги;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n - количество значений, используемых в расчете.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eastAsia="ru-RU"/>
              </w:rPr>
              <w:t>Значение коэффициента вариации не превышает 33%, совокупность ценовых значений является однородной и может быть использована для целей определения начальной (максимальной) цены контракта.</w:t>
            </w:r>
          </w:p>
        </w:tc>
      </w:tr>
      <w:tr>
        <w:trPr>
          <w:trHeight w:val="300" w:hRule="atLeast"/>
        </w:trPr>
        <w:tc>
          <w:tcPr>
            <w:tcW w:w="163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/>
              <w:drawing>
                <wp:inline distT="0" distB="0" distL="0" distR="0">
                  <wp:extent cx="655320" cy="21844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218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Times New Roman" w:ascii="Times New Roman" w:hAnsi="Times New Roman"/>
                <w:b/>
                <w:bCs/>
                <w:sz w:val="16"/>
                <w:szCs w:val="16"/>
              </w:rPr>
              <w:t>=</w:t>
            </w:r>
            <w:r>
              <w:rPr>
                <w:rFonts w:cs="Times New Roman"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Calibri" w:cs="Calibri" w:ascii="Times New Roman" w:hAnsi="Times New Roman"/>
                <w:b/>
                <w:bCs/>
                <w:color w:val="000000"/>
                <w:kern w:val="0"/>
                <w:sz w:val="16"/>
                <w:szCs w:val="16"/>
                <w:lang w:val="ru-RU" w:eastAsia="en-US" w:bidi="ar-SA"/>
              </w:rPr>
              <w:t>89748,91</w:t>
            </w:r>
          </w:p>
        </w:tc>
      </w:tr>
    </w:tbl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Кузнецова А.Е.    </w:t>
      </w:r>
    </w:p>
    <w:p>
      <w:pPr>
        <w:pStyle w:val="Normal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</w:t>
      </w:r>
      <w:r>
        <w:rPr>
          <w:rFonts w:cs="Times New Roman" w:ascii="Times New Roman" w:hAnsi="Times New Roman"/>
          <w:sz w:val="18"/>
          <w:szCs w:val="18"/>
        </w:rPr>
        <w:t>22.09.2026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cs="Times New Roman" w:ascii="Times New Roman" w:hAnsi="Times New Roman"/>
          <w:sz w:val="18"/>
          <w:szCs w:val="18"/>
        </w:rPr>
        <w:t xml:space="preserve">    </w:t>
      </w:r>
    </w:p>
    <w:p>
      <w:pPr>
        <w:pStyle w:val="Normal"/>
        <w:spacing w:before="0" w:after="160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Segoe UI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Verdana">
    <w:charset w:val="01"/>
    <w:family w:val="swiss"/>
    <w:pitch w:val="default"/>
  </w:font>
  <w:font w:name="Times New Roman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embedSystemFonts/>
  <w:defaultTabStop w:val="408"/>
  <w:autoHyphenation w:val="true"/>
  <w:doNotHyphenateCaps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pPr>
      <w:numPr>
        <w:ilvl w:val="0"/>
        <w:numId w:val="0"/>
      </w:numPr>
      <w:spacing w:lineRule="auto" w:line="240" w:before="280" w:after="280"/>
      <w:outlineLvl w:val="0"/>
    </w:pPr>
    <w:rPr>
      <w:b/>
      <w:bCs/>
      <w:kern w:val="2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2"/>
    <w:qFormat/>
    <w:pPr>
      <w:keepNext w:val="true"/>
      <w:numPr>
        <w:ilvl w:val="0"/>
        <w:numId w:val="0"/>
      </w:numPr>
      <w:spacing w:lineRule="auto" w:line="276"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0"/>
        <w:numId w:val="0"/>
      </w:numPr>
      <w:spacing w:lineRule="auto" w:line="276"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qFormat/>
    <w:rPr>
      <w:rFonts w:ascii="Calibri" w:hAnsi="Calibri" w:cs="Calibri"/>
      <w:b/>
      <w:bCs/>
      <w:kern w:val="2"/>
      <w:sz w:val="48"/>
      <w:szCs w:val="48"/>
      <w:lang w:val="ru-RU" w:eastAsia="ru-RU"/>
    </w:rPr>
  </w:style>
  <w:style w:type="character" w:styleId="2">
    <w:name w:val="Заголовок 2 Знак"/>
    <w:qFormat/>
    <w:rPr>
      <w:rFonts w:ascii="Arial" w:hAnsi="Arial" w:cs="Arial"/>
      <w:b/>
      <w:bCs/>
      <w:i/>
      <w:iCs/>
      <w:sz w:val="28"/>
      <w:szCs w:val="28"/>
      <w:lang w:val="ru-RU" w:eastAsia="en-US"/>
    </w:rPr>
  </w:style>
  <w:style w:type="character" w:styleId="3">
    <w:name w:val="Заголовок 3 Знак"/>
    <w:qFormat/>
    <w:rPr>
      <w:rFonts w:ascii="Arial" w:hAnsi="Arial" w:cs="Arial"/>
      <w:b/>
      <w:bCs/>
      <w:sz w:val="26"/>
      <w:szCs w:val="26"/>
      <w:lang w:val="ru-RU" w:eastAsia="en-US"/>
    </w:rPr>
  </w:style>
  <w:style w:type="character" w:styleId="Style11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Style12">
    <w:name w:val="Схема документа Знак"/>
    <w:qFormat/>
    <w:rPr>
      <w:rFonts w:ascii="Tahoma" w:hAnsi="Tahoma" w:cs="Tahoma"/>
      <w:lang w:val="ru-RU" w:eastAsia="en-US"/>
    </w:rPr>
  </w:style>
  <w:style w:type="character" w:styleId="Hyperlink">
    <w:name w:val="Hyperlink"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ectioninfo">
    <w:name w:val="section__info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IndexHeading">
    <w:name w:val="index heading"/>
    <w:basedOn w:val="Normal"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  <w:lang w:eastAsia="ru-RU"/>
    </w:rPr>
  </w:style>
  <w:style w:type="paragraph" w:styleId="11">
    <w:name w:val="Абзац списка1"/>
    <w:basedOn w:val="Normal"/>
    <w:qFormat/>
    <w:pPr>
      <w:spacing w:lineRule="auto" w:line="276" w:before="0" w:after="200"/>
      <w:ind w:left="720"/>
    </w:pPr>
    <w:rPr>
      <w:rFonts w:eastAsia="Times New Roman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paragraph" w:styleId="DocumentMap">
    <w:name w:val="Document Map"/>
    <w:basedOn w:val="Normal"/>
    <w:qFormat/>
    <w:pPr>
      <w:shd w:val="clear" w:fill="000080"/>
      <w:spacing w:lineRule="auto" w:line="276" w:before="0" w:after="20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sz w:val="24"/>
      <w:szCs w:val="24"/>
      <w:lang w:eastAsia="ru-RU"/>
    </w:rPr>
  </w:style>
  <w:style w:type="paragraph" w:styleId="21">
    <w:name w:val="Знак Знак2 Знак Знак Знак Знак Знак Знак"/>
    <w:basedOn w:val="Normal"/>
    <w:qFormat/>
    <w:pPr>
      <w:spacing w:lineRule="exact" w:line="240"/>
    </w:pPr>
    <w:rPr>
      <w:rFonts w:ascii="Verdana" w:hAnsi="Verdana" w:eastAsia="Times New Roman" w:cs="Times New Roman"/>
      <w:sz w:val="24"/>
      <w:szCs w:val="24"/>
      <w:lang w:val="en-US"/>
    </w:rPr>
  </w:style>
  <w:style w:type="paragraph" w:styleId="TableParagraph">
    <w:name w:val="Table Paragraph"/>
    <w:basedOn w:val="Normal"/>
    <w:qFormat/>
    <w:pPr>
      <w:widowControl w:val="false"/>
      <w:spacing w:lineRule="auto" w:line="240" w:before="0" w:after="0"/>
      <w:ind w:left="107"/>
    </w:pPr>
    <w:rPr>
      <w:rFonts w:ascii="Times New Roman" w:hAnsi="Times New Roman" w:eastAsia="Times New Roman" w:cs="Times New Roman"/>
    </w:rPr>
  </w:style>
  <w:style w:type="paragraph" w:styleId="desc">
    <w:name w:val="desc"/>
    <w:qFormat/>
    <w:pPr>
      <w:widowControl/>
      <w:suppressAutoHyphens w:val="true"/>
      <w:overflowPunct w:val="false"/>
      <w:bidi w:val="0"/>
      <w:spacing w:lineRule="auto" w:line="259" w:before="15" w:after="15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msolistparagraph">
    <w:name w:val="msolistparagraph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5">
    <w:name w:val="Содержимое таблицы"/>
    <w:basedOn w:val="Normal"/>
    <w:qFormat/>
    <w:pPr>
      <w:suppressLineNumbers/>
    </w:pPr>
    <w:rPr/>
  </w:style>
  <w:style w:type="paragraph" w:styleId="Style16">
    <w:name w:val="Заголовок таблицы"/>
    <w:basedOn w:val="Style15"/>
    <w:qFormat/>
    <w:pPr>
      <w:jc w:val="center"/>
    </w:pPr>
    <w:rPr>
      <w:b/>
      <w:bCs/>
    </w:rPr>
  </w:style>
  <w:style w:type="paragraph" w:styleId="pStyle">
    <w:name w:val="pStyle"/>
    <w:qFormat/>
    <w:pPr>
      <w:widowControl/>
      <w:suppressAutoHyphens w:val="true"/>
      <w:overflowPunct w:val="false"/>
      <w:bidi w:val="0"/>
      <w:spacing w:lineRule="auto" w:line="252" w:before="0" w:after="160"/>
      <w:jc w:val="center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17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ar-SA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paragraph" w:styleId="12">
    <w:name w:val="Без интервал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2"/>
      <w:lang w:val="ru-RU" w:eastAsia="en-US" w:bidi="ar-SA"/>
    </w:rPr>
  </w:style>
  <w:style w:type="numbering" w:styleId="Style18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2.wmf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Application>LibreOffice/25.8.3.2$Linux_X86_64 LibreOffice_project/580$Build-2</Application>
  <AppVersion>15.0000</AppVersion>
  <Pages>2</Pages>
  <Words>291</Words>
  <Characters>1856</Characters>
  <CharactersWithSpaces>2358</CharactersWithSpaces>
  <Paragraphs>97</Paragraphs>
  <Company>NII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2020-11-01T11:13:00Z</dcterms:created>
  <dc:creator>Кузнецова Екатерина Андреевна</dc:creator>
  <dc:description/>
  <dc:language>ru-RU</dc:language>
  <cp:lastModifiedBy/>
  <cp:lastPrinted>2026-09-22T10:40:25Z</cp:lastPrinted>
  <dcterms:modified xsi:type="dcterms:W3CDTF">2026-10-14T09:13:50Z</dcterms:modified>
  <cp:revision>84</cp:revision>
  <dc:subject/>
  <dc:title>Ф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