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25"/>
        <w:widowControl w:val="false"/>
        <w:suppressAutoHyphens w:val="false"/>
        <w:spacing w:before="0" w:after="0"/>
        <w:ind w:left="0" w:right="0" w:firstLine="567"/>
        <w:jc w:val="center"/>
        <w:rPr>
          <w:b/>
          <w:b/>
          <w:bCs/>
          <w:sz w:val="24"/>
        </w:rPr>
      </w:pPr>
      <w:bookmarkStart w:id="0" w:name="_GoBack"/>
      <w:bookmarkEnd w:id="0"/>
      <w:r>
        <w:rPr>
          <w:b/>
          <w:bCs/>
          <w:sz w:val="24"/>
        </w:rPr>
        <w:t xml:space="preserve">Государственный контракт №  </w:t>
      </w:r>
    </w:p>
    <w:p>
      <w:pPr>
        <w:pStyle w:val="Normal"/>
        <w:suppressAutoHyphens w:val="false"/>
        <w:ind w:left="0" w:right="0" w:firstLine="567"/>
        <w:jc w:val="center"/>
        <w:rPr/>
      </w:pPr>
      <w:r>
        <w:rPr>
          <w:b/>
          <w:sz w:val="24"/>
          <w:lang w:eastAsia="ru-RU"/>
        </w:rPr>
        <w:t xml:space="preserve">на поставку </w:t>
      </w:r>
      <w:r>
        <w:rPr>
          <w:b/>
          <w:sz w:val="24"/>
          <w:lang w:eastAsia="ru-RU"/>
        </w:rPr>
        <w:t>кресел</w:t>
      </w:r>
      <w:r>
        <w:rPr>
          <w:b/>
          <w:bCs/>
          <w:color w:val="000000"/>
          <w:sz w:val="24"/>
        </w:rPr>
        <w:t xml:space="preserve"> </w:t>
      </w:r>
      <w:r>
        <w:rPr>
          <w:b/>
          <w:bCs/>
          <w:color w:val="000000"/>
          <w:sz w:val="24"/>
        </w:rPr>
        <w:t>(офисных)</w:t>
      </w:r>
      <w:r>
        <w:rPr>
          <w:b/>
          <w:bCs/>
          <w:sz w:val="24"/>
        </w:rPr>
        <w:t xml:space="preserve"> </w:t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center"/>
        <w:rPr>
          <w:b/>
          <w:b/>
          <w:bCs/>
          <w:sz w:val="24"/>
        </w:rPr>
      </w:pPr>
      <w:r>
        <w:rPr>
          <w:b/>
          <w:bCs/>
          <w:sz w:val="24"/>
        </w:rPr>
        <w:t>ИКЗ 26 1 4401050486 440101001 0017 000 0000 244</w:t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center"/>
        <w:rPr>
          <w:b/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Style25"/>
        <w:widowControl w:val="false"/>
        <w:suppressAutoHyphens w:val="false"/>
        <w:spacing w:before="0" w:after="0"/>
        <w:ind w:left="0" w:right="0" w:hanging="0"/>
        <w:jc w:val="both"/>
        <w:rPr>
          <w:b/>
          <w:b/>
          <w:bCs/>
          <w:sz w:val="24"/>
        </w:rPr>
      </w:pPr>
      <w:r>
        <w:rPr>
          <w:b/>
          <w:bCs/>
          <w:sz w:val="24"/>
        </w:rPr>
        <w:t xml:space="preserve">г. Кострома                                                                                                   «__» ___________ 2026 г.                                                                             </w:t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both"/>
        <w:rPr>
          <w:b/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both"/>
        <w:rPr>
          <w:b/>
          <w:b/>
          <w:bCs/>
          <w:sz w:val="24"/>
        </w:rPr>
      </w:pPr>
      <w:r>
        <w:rPr>
          <w:b/>
          <w:bCs/>
          <w:sz w:val="24"/>
        </w:rPr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both"/>
        <w:rPr/>
      </w:pPr>
      <w:r>
        <w:rPr>
          <w:b/>
          <w:bCs/>
          <w:sz w:val="24"/>
          <w:lang w:eastAsia="ru-RU"/>
        </w:rPr>
        <w:t>Управление Федеральной службы судебных приставов по Костромской области   (УФССП России по Костромской области)</w:t>
      </w:r>
      <w:r>
        <w:rPr>
          <w:sz w:val="24"/>
          <w:lang w:eastAsia="ru-RU"/>
        </w:rPr>
        <w:t xml:space="preserve">, </w:t>
      </w:r>
      <w:r>
        <w:rPr>
          <w:sz w:val="24"/>
        </w:rPr>
        <w:t>именуемое в дальнейшем «Заказчик», в лице     ______________________________________________,</w:t>
      </w:r>
      <w:r>
        <w:rPr>
          <w:color w:val="000000"/>
          <w:sz w:val="24"/>
        </w:rPr>
        <w:t xml:space="preserve"> действующего на основании _____________________</w:t>
      </w:r>
      <w:r>
        <w:rPr>
          <w:sz w:val="24"/>
        </w:rPr>
        <w:t xml:space="preserve">, с одной стороны, и _________________, в лице __________________, действующего на основании Устава, именуемое в дальнейшем «Поставщик», с другой стороны, а вместе именуемые в дальнейшем «Стороны», </w:t>
      </w:r>
      <w:r>
        <w:rPr>
          <w:bCs/>
          <w:sz w:val="24"/>
          <w:lang w:eastAsia="ru-RU"/>
        </w:rPr>
        <w:t xml:space="preserve">на основании п. 4 ч. 1 ст. 93 Федерального закона от 05.04.2013 № 44-ФЗ, </w:t>
      </w:r>
      <w:r>
        <w:rPr>
          <w:sz w:val="24"/>
        </w:rPr>
        <w:t>заключили настоящий Государственный контракт (далее – Контракт, Государственный контракт) о нижеследующем:</w:t>
      </w:r>
    </w:p>
    <w:p>
      <w:pPr>
        <w:pStyle w:val="Style25"/>
        <w:widowControl w:val="false"/>
        <w:spacing w:before="0" w:after="0"/>
        <w:ind w:left="0" w:right="0" w:firstLine="567"/>
        <w:jc w:val="right"/>
        <w:rPr>
          <w:sz w:val="24"/>
        </w:rPr>
      </w:pPr>
      <w:r>
        <w:rPr>
          <w:sz w:val="24"/>
        </w:rPr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center"/>
        <w:rPr>
          <w:b/>
          <w:b/>
          <w:bCs/>
          <w:sz w:val="24"/>
        </w:rPr>
      </w:pPr>
      <w:r>
        <w:rPr>
          <w:b/>
          <w:bCs/>
          <w:sz w:val="24"/>
        </w:rPr>
        <w:t>1. ПРЕДМЕТ КОНТРАКТА</w:t>
      </w:r>
    </w:p>
    <w:p>
      <w:pPr>
        <w:pStyle w:val="Normal"/>
        <w:suppressAutoHyphens w:val="false"/>
        <w:ind w:left="0" w:right="0" w:firstLine="567"/>
        <w:jc w:val="both"/>
        <w:rPr/>
      </w:pPr>
      <w:r>
        <w:rPr>
          <w:sz w:val="24"/>
        </w:rPr>
        <w:t xml:space="preserve">1.1. В соответствии с настоящим Контрактом Поставщик принимает на себя обязательство </w:t>
      </w:r>
      <w:r>
        <w:rPr>
          <w:sz w:val="24"/>
          <w:lang w:eastAsia="ru-RU"/>
        </w:rPr>
        <w:t xml:space="preserve">по поставке </w:t>
      </w:r>
      <w:r>
        <w:rPr>
          <w:b w:val="false"/>
          <w:bCs w:val="false"/>
          <w:color w:val="000000"/>
          <w:sz w:val="24"/>
          <w:lang w:eastAsia="ru-RU"/>
        </w:rPr>
        <w:t>кресел</w:t>
      </w:r>
      <w:r>
        <w:rPr>
          <w:b w:val="false"/>
          <w:bCs w:val="false"/>
          <w:color w:val="000000"/>
          <w:sz w:val="24"/>
          <w:lang w:eastAsia="ru-RU"/>
        </w:rPr>
        <w:t xml:space="preserve"> </w:t>
      </w:r>
      <w:r>
        <w:rPr>
          <w:b w:val="false"/>
          <w:bCs w:val="false"/>
          <w:color w:val="000000"/>
          <w:sz w:val="24"/>
          <w:lang w:eastAsia="ru-RU"/>
        </w:rPr>
        <w:t>(офисных)</w:t>
      </w:r>
      <w:r>
        <w:rPr>
          <w:b/>
          <w:bCs/>
          <w:sz w:val="24"/>
          <w:lang w:eastAsia="ru-RU"/>
        </w:rPr>
        <w:t xml:space="preserve"> </w:t>
      </w:r>
      <w:r>
        <w:rPr>
          <w:sz w:val="24"/>
        </w:rPr>
        <w:t xml:space="preserve">для нужд </w:t>
      </w:r>
      <w:r>
        <w:rPr>
          <w:sz w:val="24"/>
          <w:lang w:eastAsia="ru-RU"/>
        </w:rPr>
        <w:t>Управления Федеральной службы судебных приставов по Костромской области,</w:t>
      </w:r>
      <w:r>
        <w:rPr>
          <w:sz w:val="24"/>
        </w:rPr>
        <w:t xml:space="preserve"> (далее по тексту - Товар) на условиях настоящего Контракта.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1.2. Наименование, количество, характеристики и стоимость Товара определены в Приложениях № 1, № 2 и № 3, являющимися неотъемлемой частью настоящего Контракта.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1.3. Товар не относится к основным производственным средствам Поставщика, не используется, и не использовался Поставщиком в производственной деятельности и был приобретен Поставщиком исключительно в качестве Товара в целях последующей продажи.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1.4. Товар должен быть новым (не бывшим в употреблении, не прошедшим ремонт, в том числе восстановление, замену составных частей, восстановление потребительских свойств), не имеющим дефектов, связанных с материалами и качеством изготовления, либо проявляющихся в результате действия или упущения Поставщика при нормальной эксплуатации поставленного Товара в условиях, обычных для Российской Федерации.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1.5. Поставщик гарантирует, что поставляемый им Товар принадлежит ему на праве собственности, не заложен, не обременен правами третьих лиц, в споре и под арестом (запрещением) не состоит.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0" w:right="0" w:firstLine="567"/>
        <w:jc w:val="center"/>
        <w:rPr/>
      </w:pPr>
      <w:r>
        <w:rPr>
          <w:b/>
          <w:sz w:val="24"/>
        </w:rPr>
        <w:t>2.</w:t>
      </w:r>
      <w:r>
        <w:rPr>
          <w:sz w:val="24"/>
        </w:rPr>
        <w:t> </w:t>
      </w:r>
      <w:r>
        <w:rPr>
          <w:b/>
          <w:sz w:val="24"/>
        </w:rPr>
        <w:t>ЦЕНА ГОСУДАРСТВЕННОГО КОНТРАКТА, ПОРЯДОК РАСЧЕТОВ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2.1. Финансирование настоящего Контракта осуществляется за счет средств Федерального бюджета, в рублях Российской Федерации.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2.2. Цена настоящего Контракта составляет ___________ (__________) рубля 00 копеек, в т.ч. НДС ______%.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Сумма, подлежащая уплате Заказчиком юридическому лицу или физическому лицу,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>
      <w:pPr>
        <w:pStyle w:val="Normal"/>
        <w:widowControl w:val="false"/>
        <w:suppressAutoHyphens w:val="false"/>
        <w:ind w:left="0" w:right="0" w:firstLine="567"/>
        <w:jc w:val="both"/>
        <w:rPr/>
      </w:pPr>
      <w:r>
        <w:rPr>
          <w:bCs/>
          <w:sz w:val="24"/>
          <w:lang w:eastAsia="ru-RU"/>
        </w:rPr>
        <w:t xml:space="preserve">2.3. Расчет за поставленный Товар производится в размере 100% цены Контракта в течение 7 (семи) рабочих дней </w:t>
      </w:r>
      <w:r>
        <w:rPr>
          <w:sz w:val="24"/>
          <w:lang w:eastAsia="ru-RU"/>
        </w:rPr>
        <w:t>со дня поставки Товара и подписания Заказчиком оформленных в соответствии с требованиями действующих нормативных документов и представленных Поставщиком товарной накладной (</w:t>
      </w:r>
      <w:r>
        <w:rPr>
          <w:i/>
          <w:sz w:val="24"/>
          <w:lang w:eastAsia="ru-RU"/>
        </w:rPr>
        <w:t>универсального передаточного документа</w:t>
      </w:r>
      <w:r>
        <w:rPr>
          <w:sz w:val="24"/>
          <w:lang w:eastAsia="ru-RU"/>
        </w:rPr>
        <w:t>), счета</w:t>
      </w:r>
      <w:r>
        <w:rPr>
          <w:i/>
          <w:sz w:val="24"/>
          <w:lang w:eastAsia="ru-RU"/>
        </w:rPr>
        <w:t xml:space="preserve">, </w:t>
      </w:r>
      <w:r>
        <w:rPr>
          <w:sz w:val="24"/>
          <w:lang w:eastAsia="ru-RU"/>
        </w:rPr>
        <w:t>а также Акт приемки товаров, работ, услуг (код формы 0510452) (далее – документы о приемке).</w:t>
      </w:r>
      <w:r>
        <w:rPr>
          <w:i/>
          <w:sz w:val="24"/>
          <w:lang w:eastAsia="ru-RU"/>
        </w:rPr>
        <w:t xml:space="preserve"> </w:t>
      </w:r>
    </w:p>
    <w:p>
      <w:pPr>
        <w:pStyle w:val="Normal"/>
        <w:widowControl w:val="false"/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 xml:space="preserve">2.4. Цена Контракта включает в себя все расходы на приобретение, поставку Товара, упаковку, страхование, уплату всех налогов, сборов, таможенных пошлин и других платежей. 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2.5. Цена Контракта является твердой и определяется на весь срок исполнения Контракта. При заключении и исполнении Контракта изменение его условий не допускается, за исключением случаев, установленных статьями 34 и 95 Федерального закона № 44-ФЗ, а также предусмотренных пунктами 2.6 - 2.8. Контракта.</w:t>
      </w:r>
    </w:p>
    <w:p>
      <w:pPr>
        <w:pStyle w:val="Normal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2.6. При исполнении Контракта цена Контракта может быть снижена по соглашению Сторон без изменения предусмотренных Контрактом количества Товара, качества Товара и иных условий Контракта.</w:t>
      </w:r>
    </w:p>
    <w:p>
      <w:pPr>
        <w:pStyle w:val="Normal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 xml:space="preserve">2.7. При исполнении Контракта по предложению Заказчика может быть увеличено или уменьшено предусмотренное Контактом количество поставляемого Товара не более чем на 10%. </w:t>
      </w:r>
    </w:p>
    <w:p>
      <w:pPr>
        <w:pStyle w:val="Normal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товара, но не более чем на десять процентов цены Контракта.</w:t>
      </w:r>
    </w:p>
    <w:p>
      <w:pPr>
        <w:pStyle w:val="Normal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 xml:space="preserve">При уменьшении предусмотренного Контрактом количества Товара Стороны Контракта обязаны уменьшить цену Контракта исходя из цены единицы товара. </w:t>
      </w:r>
    </w:p>
    <w:p>
      <w:pPr>
        <w:pStyle w:val="Normal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2.8. В случаях, предусмотренных пунктом 6 статьи 161 Бюджетного кодекса Российской Федерации, при уменьшении ранее доведенных до Заказчика как получателя бюджетных средств лимитов бюджетных обязательств, допускается изменение существенных условий контракта.</w:t>
      </w:r>
    </w:p>
    <w:p>
      <w:pPr>
        <w:pStyle w:val="Normal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2.9. Заказчик считается выполнившим свои обязательства с момента списания денежных средств со своего счета.</w:t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center"/>
        <w:rPr/>
      </w:pPr>
      <w:r>
        <w:rPr>
          <w:b/>
          <w:bCs/>
          <w:sz w:val="24"/>
          <w:lang w:eastAsia="ru-RU"/>
        </w:rPr>
        <w:t>3.</w:t>
      </w:r>
      <w:r>
        <w:rPr>
          <w:bCs/>
          <w:sz w:val="24"/>
          <w:lang w:eastAsia="ru-RU"/>
        </w:rPr>
        <w:t> </w:t>
      </w:r>
      <w:r>
        <w:rPr>
          <w:b/>
          <w:bCs/>
          <w:sz w:val="24"/>
        </w:rPr>
        <w:t>ПРАВА И ОБЯЗАННОСТИ СТОРОН</w:t>
      </w:r>
    </w:p>
    <w:p>
      <w:pPr>
        <w:pStyle w:val="Normal"/>
        <w:widowControl w:val="false"/>
        <w:tabs>
          <w:tab w:val="left" w:pos="-3402" w:leader="none"/>
        </w:tabs>
        <w:suppressAutoHyphens w:val="false"/>
        <w:ind w:left="0" w:right="0" w:firstLine="567"/>
        <w:jc w:val="both"/>
        <w:rPr>
          <w:b/>
          <w:b/>
          <w:sz w:val="24"/>
        </w:rPr>
      </w:pPr>
      <w:r>
        <w:rPr>
          <w:b/>
          <w:sz w:val="24"/>
        </w:rPr>
        <w:t>3.1. Заказчик обязан:</w:t>
      </w:r>
    </w:p>
    <w:p>
      <w:pPr>
        <w:pStyle w:val="Normal"/>
        <w:widowControl w:val="false"/>
        <w:tabs>
          <w:tab w:val="left" w:pos="-3402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3.1.1. Оплатить поставленный Товар в размере и сроки, предусмотренные настоящим Контрактом.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3.1.2. Принять меры к получению Товара, проверить количество Товара, целостность упаковки.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b/>
          <w:b/>
          <w:sz w:val="24"/>
        </w:rPr>
      </w:pPr>
      <w:r>
        <w:rPr>
          <w:b/>
          <w:sz w:val="24"/>
        </w:rPr>
        <w:t>3.2. Заказчик вправе: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3.2.1. Предъявлять претензии к Поставщику, в том числе об уплате неустойки за невыполнение или ненадлежащее выполнение своих обязательств.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3.2.2. Требовать от Поставщика надлежащей поставки Товара, соответствующего качеству, объемам, срокам его поставки и иным требованиям, предусмотренным настоящим Контрактом.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3.2.3. Отказаться от оплаты поставленного Товара и потребовать возврата уплаченных Поставщику денежных средств, которые подлежат возврату в течение 5 (пяти) календарных дней с момента получения Поставщиком письменного требования, в соответствии с законодательством РФ в случае поставки Товара с нарушением условий настоящего Контракта.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3.2.4. Требовать от Поставщика передачи недостающих или замены бракованных отчетных документов, материалов и иной документации, подтверждающих поставку Товара.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3.2.5. Отказаться от оплаты расходов, не предусмотренных настоящим Контрактом.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3.2.6. Отказаться от исполнения Контракта и потребовать возмещения убытков, если Поставщик не приступает своевременно к исполнению настоящего Контракта.</w:t>
      </w:r>
    </w:p>
    <w:p>
      <w:pPr>
        <w:pStyle w:val="Normal"/>
        <w:widowControl w:val="false"/>
        <w:tabs>
          <w:tab w:val="left" w:pos="-3402" w:leader="none"/>
        </w:tabs>
        <w:suppressAutoHyphens w:val="false"/>
        <w:ind w:left="0" w:right="0" w:firstLine="567"/>
        <w:jc w:val="both"/>
        <w:rPr>
          <w:b/>
          <w:b/>
          <w:sz w:val="24"/>
        </w:rPr>
      </w:pPr>
      <w:r>
        <w:rPr>
          <w:b/>
          <w:sz w:val="24"/>
        </w:rPr>
        <w:t>3.3. Поставщик обязан: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3.3.1. Надлежащим образом и в соответствии с условиями настоящего Контракта поставить Товар и провести его монтаж в установленный Контрактом срок.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3.3.2. Нести ответственность перед Заказчиком за надлежащее исполнение условий по настоящему Контракту.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3.3.3. Своевременно устранять (за счет собственных средств) все недостатки и дефекты, выявленные при приемке Товара и в период гарантийного срока.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b/>
          <w:b/>
          <w:sz w:val="24"/>
        </w:rPr>
      </w:pPr>
      <w:r>
        <w:rPr>
          <w:b/>
          <w:sz w:val="24"/>
        </w:rPr>
        <w:t>3.4. Поставщик вправе: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3.4.1. Требовать своевременной оплаты поставленного Товара с учетом требований, п. 2.3 настоящего Контракта.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3.5. Обязательства Поставщика по настоящему Контракту считаются исполненными с момента подписания Сторонами документов о приемке.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  <w:t>3.6. Поставщик не имеет право передавать третьим лицам права и обязательства по настоящему Контракту без письменного согласия Заказчика.</w:t>
      </w:r>
    </w:p>
    <w:p>
      <w:pPr>
        <w:pStyle w:val="Normal"/>
        <w:widowControl w:val="false"/>
        <w:tabs>
          <w:tab w:val="left" w:pos="-3402" w:leader="none"/>
          <w:tab w:val="left" w:pos="0" w:leader="none"/>
        </w:tabs>
        <w:suppressAutoHyphens w:val="false"/>
        <w:ind w:left="0" w:right="0" w:firstLine="567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0" w:right="0" w:firstLine="567"/>
        <w:jc w:val="center"/>
        <w:rPr>
          <w:b/>
          <w:b/>
          <w:sz w:val="24"/>
        </w:rPr>
      </w:pPr>
      <w:r>
        <w:rPr>
          <w:b/>
          <w:sz w:val="24"/>
        </w:rPr>
        <w:t>4. УСЛОВИЯ ПОСТАВКИ ТОВАРА, ПОРЯДОК И СРОКИ ОСУЩЕСТВЛЕНИЯ ЗАКАЗЧИКОМ ПРИЕМКИ ПОСТАВЛЕННОГО ТОВАРА</w:t>
      </w:r>
    </w:p>
    <w:p>
      <w:pPr>
        <w:pStyle w:val="Normal"/>
        <w:ind w:left="0" w:right="0" w:firstLine="567"/>
        <w:jc w:val="both"/>
        <w:rPr/>
      </w:pPr>
      <w:r>
        <w:rPr>
          <w:sz w:val="24"/>
        </w:rPr>
        <w:t xml:space="preserve">4.1. Поставщик осуществляет поставку Товара </w:t>
      </w:r>
      <w:r>
        <w:rPr>
          <w:b/>
          <w:bCs/>
          <w:sz w:val="24"/>
        </w:rPr>
        <w:t>в срок до</w:t>
      </w:r>
      <w:r>
        <w:rPr>
          <w:sz w:val="24"/>
        </w:rPr>
        <w:t xml:space="preserve"> </w:t>
      </w:r>
      <w:r>
        <w:rPr>
          <w:b/>
          <w:bCs/>
          <w:sz w:val="24"/>
        </w:rPr>
        <w:t>30</w:t>
      </w:r>
      <w:r>
        <w:rPr>
          <w:b/>
          <w:bCs/>
          <w:sz w:val="24"/>
        </w:rPr>
        <w:t>.10</w:t>
      </w:r>
      <w:r>
        <w:rPr>
          <w:b/>
          <w:sz w:val="24"/>
        </w:rPr>
        <w:t>.2026 г.</w:t>
      </w:r>
      <w:r>
        <w:rPr>
          <w:sz w:val="24"/>
        </w:rPr>
        <w:t xml:space="preserve"> с даты заключения Государственного контракта.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4.2. Место поставки Товара - 156000, г. Кострома, ул. Островского, д. 37</w:t>
      </w:r>
    </w:p>
    <w:p>
      <w:pPr>
        <w:pStyle w:val="Normal"/>
        <w:tabs>
          <w:tab w:val="left" w:pos="1440" w:leader="none"/>
        </w:tabs>
        <w:suppressAutoHyphens w:val="false"/>
        <w:ind w:left="0" w:right="-102" w:firstLine="567"/>
        <w:jc w:val="both"/>
        <w:rPr>
          <w:rFonts w:cs="Calibri"/>
          <w:color w:val="000000"/>
          <w:sz w:val="24"/>
          <w:lang w:eastAsia="en-US"/>
        </w:rPr>
      </w:pPr>
      <w:r>
        <w:rPr>
          <w:rFonts w:cs="Calibri"/>
          <w:color w:val="000000"/>
          <w:sz w:val="24"/>
          <w:lang w:eastAsia="en-US"/>
        </w:rPr>
        <w:t>Доставка, погрузка, разгрузка, перенос Товара к месту его складирования осуществляется силами, средствами и за счет Поставщика.</w:t>
      </w:r>
    </w:p>
    <w:p>
      <w:pPr>
        <w:pStyle w:val="Normal"/>
        <w:ind w:left="0" w:right="0" w:firstLine="567"/>
        <w:jc w:val="both"/>
        <w:rPr>
          <w:sz w:val="24"/>
          <w:lang w:eastAsia="ru-RU"/>
        </w:rPr>
      </w:pPr>
      <w:r>
        <w:rPr>
          <w:sz w:val="24"/>
          <w:lang w:eastAsia="ru-RU"/>
        </w:rPr>
        <w:t>Поставщик извещает Заказчика о готовности осуществить передачу Товара за 1 (один) день до даты передачи Товара, с использованием средств электронной почты или иными общедоступными способами связи.</w:t>
      </w:r>
    </w:p>
    <w:p>
      <w:pPr>
        <w:pStyle w:val="Normal"/>
        <w:tabs>
          <w:tab w:val="left" w:pos="0" w:leader="none"/>
          <w:tab w:val="left" w:pos="720" w:leader="none"/>
          <w:tab w:val="left" w:pos="10080" w:leader="none"/>
        </w:tabs>
        <w:ind w:left="0" w:right="0" w:firstLine="567"/>
        <w:jc w:val="both"/>
        <w:rPr>
          <w:sz w:val="24"/>
          <w:lang w:eastAsia="ru-RU"/>
        </w:rPr>
      </w:pPr>
      <w:r>
        <w:rPr>
          <w:sz w:val="24"/>
          <w:lang w:eastAsia="ru-RU"/>
        </w:rPr>
        <w:t>Факт передачи Товара оформляется путем подписания уполномоченными лицами Сторон документов о приемке.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4.3. Вместе с товаром Поставщик передает Заказчику:</w:t>
      </w:r>
    </w:p>
    <w:p>
      <w:pPr>
        <w:pStyle w:val="ListParagraph"/>
        <w:widowControl w:val="false"/>
        <w:numPr>
          <w:ilvl w:val="0"/>
          <w:numId w:val="2"/>
        </w:numPr>
        <w:ind w:left="0" w:right="0" w:firstLine="567"/>
        <w:jc w:val="both"/>
        <w:rPr/>
      </w:pPr>
      <w:r>
        <w:rPr>
          <w:sz w:val="24"/>
          <w:lang w:eastAsia="ru-RU"/>
        </w:rPr>
        <w:t>товарную накладную (</w:t>
      </w:r>
      <w:r>
        <w:rPr>
          <w:i/>
          <w:sz w:val="24"/>
          <w:lang w:eastAsia="ru-RU"/>
        </w:rPr>
        <w:t>универсальный передаточный документ</w:t>
      </w:r>
      <w:r>
        <w:rPr>
          <w:sz w:val="24"/>
          <w:lang w:eastAsia="ru-RU"/>
        </w:rPr>
        <w:t>), подписанные уполномоченным лицом Поставщика, в 2 (двух) экземплярах, по одному экземпляру для каждой из Сторон;</w:t>
      </w:r>
    </w:p>
    <w:p>
      <w:pPr>
        <w:pStyle w:val="ListParagraph"/>
        <w:widowControl w:val="false"/>
        <w:numPr>
          <w:ilvl w:val="0"/>
          <w:numId w:val="2"/>
        </w:numPr>
        <w:ind w:left="0" w:right="0" w:firstLine="567"/>
        <w:jc w:val="both"/>
        <w:rPr>
          <w:sz w:val="24"/>
          <w:lang w:eastAsia="ru-RU"/>
        </w:rPr>
      </w:pPr>
      <w:r>
        <w:rPr>
          <w:sz w:val="24"/>
          <w:lang w:eastAsia="ru-RU"/>
        </w:rPr>
        <w:t>счет.</w:t>
      </w:r>
    </w:p>
    <w:p>
      <w:pPr>
        <w:pStyle w:val="Normal"/>
        <w:shd w:fill="FFFFFF" w:val="clear"/>
        <w:suppressAutoHyphens w:val="false"/>
        <w:spacing w:before="60" w:after="0"/>
        <w:ind w:left="0" w:right="0" w:firstLine="567"/>
        <w:jc w:val="both"/>
        <w:rPr/>
      </w:pPr>
      <w:r>
        <w:rPr>
          <w:sz w:val="24"/>
        </w:rPr>
        <w:t>4.4. Товар, поставленный Поставщиком, принимается Заказчиком при условии соответствия его количества, комплектности, объема требованиям, установленным Контрактом. Приемка Товара подтверждается соответствующими документами о приемке товарной накладной (</w:t>
      </w:r>
      <w:r>
        <w:rPr>
          <w:i/>
          <w:sz w:val="24"/>
        </w:rPr>
        <w:t>универсальным передаточным документом</w:t>
      </w:r>
      <w:r>
        <w:rPr>
          <w:sz w:val="24"/>
        </w:rPr>
        <w:t>).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4.5. Заказчик оставляет за собой право в момент поставки Товара осуществить выборочный или сплошной контроль качества Товара путем вскрытия упаковки и внешнего осмотра.</w:t>
      </w:r>
    </w:p>
    <w:p>
      <w:pPr>
        <w:pStyle w:val="Normal"/>
        <w:ind w:left="0" w:right="0" w:firstLine="567"/>
        <w:jc w:val="both"/>
        <w:rPr/>
      </w:pPr>
      <w:r>
        <w:rPr>
          <w:sz w:val="24"/>
        </w:rPr>
        <w:t xml:space="preserve">4.6. Приемка товара Заказчиком подтверждается </w:t>
      </w:r>
      <w:r>
        <w:rPr>
          <w:sz w:val="24"/>
          <w:lang w:eastAsia="ru-RU"/>
        </w:rPr>
        <w:t>Актом приемки товаров, работ, услуг (ф. 0510452).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4.7. В случае некомплектности поставки, недостачи Поставщик производит допоставку или замену Товара в течение 3 (трех) рабочих дней с момента получения обоснованного требования Заказчика, оформленного в письменном виде.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Все расходы, связанные с заменой и допоставкой Товара, несет Поставщик.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В случае мотивированного отказа Поставщика от замены некачественного Товара, факт ненадлежащего качества Товара и причины его возникновения устанавливаются с участием независимого эксперта, при этом, все расходы, связанные с проведением экспертизы возмещает виновная сторона.</w:t>
      </w:r>
    </w:p>
    <w:p>
      <w:pPr>
        <w:pStyle w:val="Normal"/>
        <w:ind w:left="0" w:right="0" w:firstLine="567"/>
        <w:jc w:val="both"/>
        <w:rPr/>
      </w:pPr>
      <w:r>
        <w:rPr>
          <w:sz w:val="24"/>
        </w:rPr>
        <w:t xml:space="preserve">4.8. Право собственности на Товар переходит к Заказчику с момента передачи Товара и подписания сторонами товарной накладной </w:t>
      </w:r>
      <w:r>
        <w:rPr>
          <w:sz w:val="24"/>
          <w:lang w:eastAsia="ru-RU"/>
        </w:rPr>
        <w:t>(</w:t>
      </w:r>
      <w:r>
        <w:rPr>
          <w:i/>
          <w:sz w:val="24"/>
          <w:lang w:eastAsia="ru-RU"/>
        </w:rPr>
        <w:t>универсальный передаточный документ</w:t>
      </w:r>
      <w:r>
        <w:rPr>
          <w:sz w:val="24"/>
          <w:lang w:eastAsia="ru-RU"/>
        </w:rPr>
        <w:t xml:space="preserve">) </w:t>
      </w:r>
      <w:r>
        <w:rPr>
          <w:sz w:val="24"/>
        </w:rPr>
        <w:t>без замечаний.</w:t>
      </w:r>
    </w:p>
    <w:p>
      <w:pPr>
        <w:pStyle w:val="Normal"/>
        <w:widowControl w:val="false"/>
        <w:suppressAutoHyphens w:val="false"/>
        <w:ind w:left="0" w:right="0" w:firstLine="567"/>
        <w:jc w:val="both"/>
        <w:rPr/>
      </w:pPr>
      <w:r>
        <w:rPr>
          <w:sz w:val="24"/>
        </w:rPr>
        <w:t>4.9. Срок оформления результатов приемки Товара не может превышать 5 (пяти) рабочих дней</w:t>
      </w:r>
      <w:r>
        <w:rPr>
          <w:rFonts w:eastAsia="Calibri"/>
          <w:sz w:val="24"/>
          <w:lang w:eastAsia="en-US"/>
        </w:rPr>
        <w:t>.</w:t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center"/>
        <w:rPr>
          <w:b/>
          <w:b/>
          <w:bCs/>
          <w:sz w:val="24"/>
        </w:rPr>
      </w:pPr>
      <w:r>
        <w:rPr>
          <w:b/>
          <w:bCs/>
          <w:sz w:val="24"/>
        </w:rPr>
        <w:t>5. ОТВЕТСТВЕННОСТЬ СТОРОН</w:t>
      </w:r>
    </w:p>
    <w:p>
      <w:pPr>
        <w:pStyle w:val="Normal"/>
        <w:widowControl w:val="false"/>
        <w:ind w:left="0" w:right="0" w:firstLine="567"/>
        <w:jc w:val="both"/>
        <w:rPr>
          <w:bCs/>
          <w:sz w:val="24"/>
        </w:rPr>
      </w:pPr>
      <w:r>
        <w:rPr>
          <w:bCs/>
          <w:sz w:val="24"/>
        </w:rPr>
        <w:t>5.1. 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Федерации.</w:t>
      </w:r>
    </w:p>
    <w:p>
      <w:pPr>
        <w:pStyle w:val="Normal"/>
        <w:widowControl w:val="false"/>
        <w:ind w:left="0" w:right="0" w:firstLine="567"/>
        <w:jc w:val="both"/>
        <w:rPr/>
      </w:pPr>
      <w:r>
        <w:rPr>
          <w:rFonts w:eastAsia="Calibri"/>
          <w:sz w:val="24"/>
          <w:lang w:eastAsia="en-US"/>
        </w:rPr>
        <w:t>5.2. 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>
      <w:pPr>
        <w:pStyle w:val="Normal"/>
        <w:widowControl w:val="false"/>
        <w:ind w:left="0" w:right="0" w:firstLine="567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5.3. Пени начисляются за каждый день просрочки исполнения обязательства Заказчиком, предусмотренного Контрактом, начиная со дня, следующего после дня истечения установленного Контрактом срока исполнения обязательства. Пени устанавливаются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>
      <w:pPr>
        <w:pStyle w:val="Normal"/>
        <w:widowControl w:val="false"/>
        <w:ind w:left="0" w:right="0" w:firstLine="567"/>
        <w:jc w:val="both"/>
        <w:rPr/>
      </w:pPr>
      <w:r>
        <w:rPr>
          <w:rFonts w:eastAsia="Calibri"/>
          <w:sz w:val="24"/>
          <w:lang w:eastAsia="en-US"/>
        </w:rPr>
        <w:t xml:space="preserve">5.4. 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порядке, установленном в соответствии с Постановлением Правительства Российской Федерации от 30.08.2017 № 1042: </w:t>
      </w:r>
      <w:r>
        <w:rPr>
          <w:rFonts w:eastAsia="Calibri"/>
          <w:i/>
          <w:sz w:val="24"/>
          <w:lang w:eastAsia="en-US"/>
        </w:rPr>
        <w:t>1000 рублей, если цена Контракта не превышает 3 млн. рублей (включительно).</w:t>
      </w:r>
    </w:p>
    <w:p>
      <w:pPr>
        <w:pStyle w:val="Normal"/>
        <w:widowControl w:val="false"/>
        <w:ind w:left="0" w:right="0" w:firstLine="567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5.5. 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>
      <w:pPr>
        <w:pStyle w:val="Normal"/>
        <w:widowControl w:val="false"/>
        <w:ind w:left="0" w:right="0" w:firstLine="567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5.6. 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Заказчик направляет поставщику требование об уплате неустоек (штрафов, пеней).</w:t>
      </w:r>
    </w:p>
    <w:p>
      <w:pPr>
        <w:pStyle w:val="Normal"/>
        <w:widowControl w:val="false"/>
        <w:ind w:left="0" w:right="0" w:firstLine="567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5.7. Пени начисляются за каждый день просрочки исполнения Поставщиком обязательств, предусмотренных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>
      <w:pPr>
        <w:pStyle w:val="Normal"/>
        <w:widowControl w:val="false"/>
        <w:ind w:left="0" w:right="0" w:firstLine="567"/>
        <w:jc w:val="both"/>
        <w:rPr/>
      </w:pPr>
      <w:r>
        <w:rPr>
          <w:rFonts w:eastAsia="Calibri"/>
          <w:sz w:val="24"/>
          <w:lang w:eastAsia="en-US"/>
        </w:rPr>
        <w:t>5.8.</w:t>
      </w:r>
      <w:r>
        <w:rPr>
          <w:rFonts w:eastAsia="Calibri"/>
          <w:sz w:val="24"/>
          <w:lang w:val="en-US" w:eastAsia="en-US"/>
        </w:rPr>
        <w:t> </w:t>
      </w:r>
      <w:r>
        <w:rPr>
          <w:rFonts w:eastAsia="Calibri"/>
          <w:sz w:val="24"/>
          <w:lang w:eastAsia="en-US"/>
        </w:rPr>
        <w:t>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порядке, установленном Постановлением Правительства Российской Федерации от 30.08.2017 № 1042: (за исключением случаев, если законодательством Российской Федерации установлен иной порядок начисления пени или случаев, предусмотренных настоящим Контрактом):</w:t>
      </w:r>
    </w:p>
    <w:p>
      <w:pPr>
        <w:pStyle w:val="Normal"/>
        <w:widowControl w:val="false"/>
        <w:ind w:left="0" w:right="0" w:firstLine="567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10 процентов цены Контракта (этапа) в случае, если цена контракта (этапа) не превышает 3 млн. рублей, что составляет 3299 (три тысячи двести девяносто девять) рублей 40 копеек.</w:t>
      </w:r>
    </w:p>
    <w:p>
      <w:pPr>
        <w:pStyle w:val="Normal"/>
        <w:widowControl w:val="false"/>
        <w:ind w:left="0" w:right="0" w:firstLine="567"/>
        <w:jc w:val="both"/>
        <w:rPr/>
      </w:pPr>
      <w:r>
        <w:rPr>
          <w:rFonts w:eastAsia="Calibri"/>
          <w:sz w:val="24"/>
          <w:lang w:eastAsia="en-US"/>
        </w:rPr>
        <w:t xml:space="preserve">5.9. За каждый факт неисполнения или ненадлежащего исполнения Поставщиком обязательства, предусмотренного Контрактом, которое не имеет стоимостного выражения, размер штрафа устанавливается (при наличии в договоре таких обязательств) в порядке, установленном в соответствии с Постановлением Правительства Российской Федерации от 30.08.2017 № 1042: </w:t>
      </w:r>
      <w:r>
        <w:rPr>
          <w:rFonts w:eastAsia="Calibri"/>
          <w:i/>
          <w:sz w:val="24"/>
          <w:lang w:eastAsia="en-US"/>
        </w:rPr>
        <w:t>1000 рублей, если цена контракта не превышает 3 млн. рублей</w:t>
      </w:r>
      <w:bookmarkStart w:id="1" w:name="Par26"/>
      <w:bookmarkStart w:id="2" w:name="Par25"/>
      <w:bookmarkEnd w:id="1"/>
      <w:bookmarkEnd w:id="2"/>
      <w:r>
        <w:rPr>
          <w:rFonts w:eastAsia="Calibri"/>
          <w:i/>
          <w:sz w:val="24"/>
          <w:lang w:eastAsia="en-US"/>
        </w:rPr>
        <w:t>.</w:t>
      </w:r>
    </w:p>
    <w:p>
      <w:pPr>
        <w:pStyle w:val="Normal"/>
        <w:widowControl w:val="false"/>
        <w:ind w:left="0" w:right="0" w:firstLine="567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  <w:t>5.10. 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>
      <w:pPr>
        <w:pStyle w:val="Normal"/>
        <w:widowControl w:val="false"/>
        <w:ind w:left="0" w:right="0" w:firstLine="567"/>
        <w:jc w:val="both"/>
        <w:rPr>
          <w:rFonts w:eastAsia="Calibri"/>
          <w:sz w:val="24"/>
          <w:lang w:eastAsia="en-US"/>
        </w:rPr>
      </w:pPr>
      <w:bookmarkStart w:id="3" w:name="__DdeLink__41_2912120043"/>
      <w:r>
        <w:rPr>
          <w:rFonts w:eastAsia="Calibri"/>
          <w:sz w:val="24"/>
          <w:lang w:eastAsia="en-US"/>
        </w:rPr>
        <w:t>5.11. 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  <w:bookmarkEnd w:id="3"/>
    </w:p>
    <w:p>
      <w:pPr>
        <w:pStyle w:val="Normal"/>
        <w:widowControl w:val="false"/>
        <w:ind w:left="0" w:right="0" w:firstLine="567"/>
        <w:jc w:val="both"/>
        <w:rPr>
          <w:rFonts w:eastAsia="Calibri"/>
          <w:sz w:val="24"/>
          <w:lang w:eastAsia="en-US"/>
        </w:rPr>
      </w:pPr>
      <w:r>
        <w:rPr>
          <w:rFonts w:eastAsia="Calibri"/>
          <w:sz w:val="24"/>
          <w:lang w:eastAsia="en-US"/>
        </w:rPr>
      </w:r>
    </w:p>
    <w:p>
      <w:pPr>
        <w:pStyle w:val="Style25"/>
        <w:widowControl w:val="false"/>
        <w:spacing w:before="0" w:after="0"/>
        <w:ind w:left="0" w:right="0" w:firstLine="567"/>
        <w:jc w:val="center"/>
        <w:rPr>
          <w:b/>
          <w:b/>
          <w:sz w:val="24"/>
        </w:rPr>
      </w:pPr>
      <w:r>
        <w:rPr>
          <w:b/>
          <w:sz w:val="24"/>
        </w:rPr>
        <w:t>6. УПАКОВКА ТОВАРА</w:t>
      </w:r>
    </w:p>
    <w:p>
      <w:pPr>
        <w:pStyle w:val="Style25"/>
        <w:widowControl w:val="false"/>
        <w:spacing w:before="0" w:after="0"/>
        <w:ind w:left="0" w:right="0" w:firstLine="567"/>
        <w:jc w:val="both"/>
        <w:rPr>
          <w:sz w:val="24"/>
        </w:rPr>
      </w:pPr>
      <w:r>
        <w:rPr>
          <w:sz w:val="24"/>
        </w:rPr>
        <w:t>6.1. Товар должен поставляться в упаковке, соответствующей характеру поставляемого Товара и способу транспортировки. Упаковка должна предохранять Товар от всякого рода повреждений и утраты товарного вида при его перевозке.</w:t>
      </w:r>
    </w:p>
    <w:p>
      <w:pPr>
        <w:pStyle w:val="Style25"/>
        <w:widowControl w:val="false"/>
        <w:spacing w:before="0" w:after="0"/>
        <w:ind w:left="0" w:right="0" w:firstLine="567"/>
        <w:jc w:val="both"/>
        <w:rPr/>
      </w:pPr>
      <w:r>
        <w:rPr>
          <w:sz w:val="24"/>
        </w:rPr>
        <w:t>6.2. Поставщик несет ответственность за всякого рода порчу Товара до приемки его Заказчиком вследствие некачественной упаковки или несоблюдения инструкции по хранению и транспортировке.</w:t>
      </w:r>
    </w:p>
    <w:p>
      <w:pPr>
        <w:pStyle w:val="Normal"/>
        <w:ind w:left="0" w:right="0" w:firstLine="567"/>
        <w:jc w:val="center"/>
        <w:rPr>
          <w:b/>
          <w:b/>
          <w:sz w:val="24"/>
        </w:rPr>
      </w:pPr>
      <w:r>
        <w:rPr>
          <w:b/>
          <w:sz w:val="24"/>
        </w:rPr>
        <w:t>7. ОБСТОЯТЕЛЬСТВА НЕОПРЕОДОЛИМОЙ СИЛЫ</w:t>
      </w:r>
    </w:p>
    <w:p>
      <w:pPr>
        <w:pStyle w:val="Style25"/>
        <w:spacing w:before="0" w:after="0"/>
        <w:ind w:left="0" w:right="0" w:firstLine="567"/>
        <w:jc w:val="both"/>
        <w:rPr>
          <w:sz w:val="24"/>
        </w:rPr>
      </w:pPr>
      <w:r>
        <w:rPr>
          <w:sz w:val="24"/>
        </w:rPr>
        <w:t>7.1. Ни одна из сторон настоящего Контракта не несет ответственности перед другой стороной за невыполнение обязательств, обусловленное обстоятельствами, возникающими помимо воли и желания сторон, которые нельзя предотвратить или избежать. Инфляционные процессы в экономике к форс-мажорным обстоятельствам не относятся.</w:t>
      </w:r>
    </w:p>
    <w:p>
      <w:pPr>
        <w:pStyle w:val="Style25"/>
        <w:spacing w:before="0" w:after="0"/>
        <w:ind w:left="0" w:right="0" w:firstLine="567"/>
        <w:jc w:val="both"/>
        <w:rPr>
          <w:sz w:val="24"/>
        </w:rPr>
      </w:pPr>
      <w:r>
        <w:rPr>
          <w:sz w:val="24"/>
        </w:rPr>
        <w:t>7.2. 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>
      <w:pPr>
        <w:pStyle w:val="Style25"/>
        <w:spacing w:before="0" w:after="0"/>
        <w:ind w:left="0" w:right="0" w:firstLine="567"/>
        <w:jc w:val="both"/>
        <w:rPr>
          <w:sz w:val="24"/>
        </w:rPr>
      </w:pPr>
      <w:r>
        <w:rPr>
          <w:sz w:val="24"/>
        </w:rPr>
        <w:t>7.3. Сторона, которая не исполняет своего обязательства, вследствие действия непреодолимой силы должна немедленно известить другую сторону о препятствиях и их влиянии на исполнение обязательств по контракту.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7.4. Если обязательства непреодолимой силы действуют непрерывно на протяжении 10 дней и не обнаруживают признаков прекращения, настоящий Контракт, может быть, расторгнут сторонами путем направления уведомления другой стороне.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</w:r>
    </w:p>
    <w:p>
      <w:pPr>
        <w:pStyle w:val="Normal"/>
        <w:widowControl w:val="false"/>
        <w:ind w:left="0" w:right="0" w:firstLine="567"/>
        <w:jc w:val="center"/>
        <w:rPr>
          <w:b/>
          <w:b/>
          <w:bCs/>
          <w:sz w:val="24"/>
        </w:rPr>
      </w:pPr>
      <w:r>
        <w:rPr>
          <w:b/>
          <w:bCs/>
          <w:sz w:val="24"/>
        </w:rPr>
        <w:t>8. КАЧЕСТВО ТОВАРА, ГАРАНТИИ</w:t>
      </w:r>
    </w:p>
    <w:p>
      <w:pPr>
        <w:pStyle w:val="Normal"/>
        <w:ind w:left="0" w:right="0" w:firstLine="567"/>
        <w:jc w:val="both"/>
        <w:rPr>
          <w:rFonts w:eastAsia="Calibri"/>
          <w:sz w:val="24"/>
          <w:lang w:eastAsia="ru-RU"/>
        </w:rPr>
      </w:pPr>
      <w:r>
        <w:rPr>
          <w:rFonts w:eastAsia="Calibri"/>
          <w:sz w:val="24"/>
          <w:lang w:eastAsia="ru-RU"/>
        </w:rPr>
        <w:t>8.1. Поставщик гарантирует, что качество поставляемого Товара соответствует требованиям соответствующих государственных стандартов, действующему законодательству и настоящему Государственному контракту.</w:t>
      </w:r>
    </w:p>
    <w:p>
      <w:pPr>
        <w:pStyle w:val="Normal"/>
        <w:ind w:left="0" w:right="0" w:firstLine="567"/>
        <w:jc w:val="both"/>
        <w:rPr>
          <w:rFonts w:eastAsia="Calibri"/>
          <w:sz w:val="24"/>
          <w:lang w:eastAsia="ru-RU"/>
        </w:rPr>
      </w:pPr>
      <w:r>
        <w:rPr>
          <w:rFonts w:eastAsia="Calibri"/>
          <w:sz w:val="24"/>
          <w:lang w:eastAsia="ru-RU"/>
        </w:rPr>
        <w:t>8.2. На поставляемый товар Поставщик предоставляет гарантию 24 месяц с даты подписания документов о приемке.</w:t>
      </w:r>
    </w:p>
    <w:p>
      <w:pPr>
        <w:pStyle w:val="Normal"/>
        <w:ind w:left="0" w:right="0" w:firstLine="567"/>
        <w:jc w:val="both"/>
        <w:rPr>
          <w:rFonts w:eastAsia="Calibri"/>
          <w:sz w:val="24"/>
          <w:lang w:eastAsia="ru-RU"/>
        </w:rPr>
      </w:pPr>
      <w:r>
        <w:rPr>
          <w:rFonts w:eastAsia="Calibri"/>
          <w:sz w:val="24"/>
          <w:lang w:eastAsia="ru-RU"/>
        </w:rPr>
        <w:t>8.3. При обнаружении Заказчиком скрытых дефектов в принятом товаре, характеризующих его как некачественный, Поставщик обязан в 3-дневный срок после получения уведомления Заказчика заменить некачественный товар, либо возвратить его стоимость.</w:t>
      </w:r>
    </w:p>
    <w:p>
      <w:pPr>
        <w:pStyle w:val="Normal"/>
        <w:widowControl w:val="false"/>
        <w:ind w:left="0" w:right="0" w:firstLine="567"/>
        <w:jc w:val="center"/>
        <w:rPr/>
      </w:pPr>
      <w:r>
        <w:rPr>
          <w:b/>
          <w:bCs/>
          <w:sz w:val="24"/>
          <w:lang w:eastAsia="ru-RU"/>
        </w:rPr>
        <w:t xml:space="preserve">9. ПЕРЕМЕНА СТОРОН, </w:t>
      </w:r>
      <w:r>
        <w:rPr>
          <w:b/>
          <w:bCs/>
          <w:sz w:val="24"/>
        </w:rPr>
        <w:t>ИЗМЕНЕНИЕ И РАСТОРЖЕНИЕ КОНТРАКТА</w:t>
      </w:r>
    </w:p>
    <w:p>
      <w:pPr>
        <w:pStyle w:val="Style25"/>
        <w:widowControl w:val="false"/>
        <w:spacing w:before="0" w:after="0"/>
        <w:ind w:left="0" w:right="0" w:firstLine="567"/>
        <w:jc w:val="both"/>
        <w:rPr>
          <w:sz w:val="24"/>
        </w:rPr>
      </w:pPr>
      <w:r>
        <w:rPr>
          <w:sz w:val="24"/>
        </w:rPr>
        <w:t>9.1. При исполнении Контракта не допускается перемена Поставщика, за исключением случая, если новый Поставщик является правопреемником Поставщика по Контракту вследствие реорганизации юридического лица в форме преобразования, слияния или присоединения.</w:t>
      </w:r>
    </w:p>
    <w:p>
      <w:pPr>
        <w:pStyle w:val="Style25"/>
        <w:widowControl w:val="false"/>
        <w:spacing w:before="0" w:after="0"/>
        <w:ind w:left="0" w:right="0" w:firstLine="567"/>
        <w:jc w:val="both"/>
        <w:rPr>
          <w:sz w:val="24"/>
        </w:rPr>
      </w:pPr>
      <w:r>
        <w:rPr>
          <w:sz w:val="24"/>
        </w:rPr>
        <w:t>9.2. Изменение условий Контракта действительны при условии, если они совершены в письменной форме и подписаны уполномоченными представителями Сторон.</w:t>
      </w:r>
    </w:p>
    <w:p>
      <w:pPr>
        <w:pStyle w:val="ConsPlusNormal1"/>
        <w:ind w:left="0" w:right="0" w:firstLine="567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9.3. 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</w:t>
      </w:r>
      <w:hyperlink r:id="rId2">
        <w:r>
          <w:rPr>
            <w:rStyle w:val="Style19"/>
            <w:rFonts w:cs="Times New Roman" w:ascii="Times New Roman" w:hAnsi="Times New Roman"/>
            <w:sz w:val="24"/>
            <w:szCs w:val="24"/>
          </w:rPr>
          <w:t>гражданским законодательством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и </w:t>
      </w:r>
      <w:r>
        <w:rPr>
          <w:rFonts w:cs="Times New Roman" w:ascii="Times New Roman" w:hAnsi="Times New Roman"/>
          <w:bCs/>
          <w:sz w:val="24"/>
          <w:szCs w:val="24"/>
        </w:rPr>
        <w:t xml:space="preserve">положениями </w:t>
      </w:r>
      <w:hyperlink r:id="rId3">
        <w:r>
          <w:rPr>
            <w:rStyle w:val="Style19"/>
            <w:rFonts w:cs="Times New Roman" w:ascii="Times New Roman" w:hAnsi="Times New Roman"/>
            <w:bCs/>
            <w:sz w:val="24"/>
            <w:szCs w:val="24"/>
          </w:rPr>
          <w:t>частей 8-25</w:t>
        </w:r>
      </w:hyperlink>
      <w:r>
        <w:rPr>
          <w:rFonts w:cs="Times New Roman" w:ascii="Times New Roman" w:hAnsi="Times New Roman"/>
          <w:bCs/>
          <w:sz w:val="24"/>
          <w:szCs w:val="24"/>
        </w:rPr>
        <w:t xml:space="preserve"> статьи 95 Федерального закона № 44-ФЗ.</w:t>
      </w:r>
    </w:p>
    <w:p>
      <w:pPr>
        <w:pStyle w:val="Normal"/>
        <w:shd w:fill="FFFFFF" w:val="clear"/>
        <w:ind w:left="0" w:right="0" w:firstLine="567"/>
        <w:jc w:val="both"/>
        <w:rPr>
          <w:sz w:val="24"/>
        </w:rPr>
      </w:pPr>
      <w:r>
        <w:rPr>
          <w:sz w:val="24"/>
        </w:rPr>
        <w:t xml:space="preserve">9.4. По всем вопросам, не урегулированным Контрактом, стороны руководствуются действующим законодательством Российской Федерации. </w:t>
      </w:r>
    </w:p>
    <w:p>
      <w:pPr>
        <w:pStyle w:val="Normal"/>
        <w:shd w:fill="FFFFFF" w:val="clear"/>
        <w:ind w:left="0" w:right="0" w:firstLine="567"/>
        <w:jc w:val="both"/>
        <w:rPr>
          <w:sz w:val="24"/>
        </w:rPr>
      </w:pPr>
      <w:r>
        <w:rPr>
          <w:sz w:val="24"/>
        </w:rPr>
      </w:r>
    </w:p>
    <w:p>
      <w:pPr>
        <w:pStyle w:val="Normal"/>
        <w:widowControl w:val="false"/>
        <w:ind w:left="0" w:right="0" w:firstLine="567"/>
        <w:jc w:val="center"/>
        <w:rPr>
          <w:b/>
          <w:b/>
          <w:bCs/>
          <w:sz w:val="24"/>
          <w:lang w:eastAsia="ru-RU"/>
        </w:rPr>
      </w:pPr>
      <w:r>
        <w:rPr>
          <w:b/>
          <w:bCs/>
          <w:sz w:val="24"/>
          <w:lang w:eastAsia="ru-RU"/>
        </w:rPr>
        <w:t>10. РАЗРЕШЕНИЕ СПОРОВ</w:t>
      </w:r>
    </w:p>
    <w:p>
      <w:pPr>
        <w:pStyle w:val="Normal"/>
        <w:widowControl w:val="false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10.1. Все споры и разногласия между Сторонами, возникающие по настоящему Контракту или в связи с ним, будут решаться путем переговоров, в том числе путем направления претензии.</w:t>
      </w:r>
    </w:p>
    <w:p>
      <w:pPr>
        <w:pStyle w:val="Normal"/>
        <w:widowControl w:val="false"/>
        <w:suppressAutoHyphens w:val="false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10.2. Направление претензии является обязательным условием, устанавливающим порядок применения мер ответственности, предусмотренных действующим законодательством Российской Федерации и настоящим Контрактом.</w:t>
      </w:r>
    </w:p>
    <w:p>
      <w:pPr>
        <w:pStyle w:val="Normal"/>
        <w:widowControl w:val="false"/>
        <w:suppressAutoHyphens w:val="false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10.3. В претензии указываются допущенные нарушения, а также действия, которые должны быть произведены для устранения нарушений. В случае если ставится вопрос о взыскании пени (неустойки, ущерба, штрафа), то претензия должна содержать ее расчет.</w:t>
      </w:r>
    </w:p>
    <w:p>
      <w:pPr>
        <w:pStyle w:val="Normal"/>
        <w:widowControl w:val="false"/>
        <w:suppressAutoHyphens w:val="false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10.4. Претензия Стороне должна быть направлена в письменном виде. Претензия направляется Стороне по месту нахождения и по почтовому адресу.</w:t>
      </w:r>
    </w:p>
    <w:p>
      <w:pPr>
        <w:pStyle w:val="Normal"/>
        <w:widowControl w:val="false"/>
        <w:suppressAutoHyphens w:val="false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10.5. Переписка Сторон может осуществляться посредством почтовой корреспонденции, а также электронного сообщения, с последующим представлением оригинала документа.</w:t>
      </w:r>
    </w:p>
    <w:p>
      <w:pPr>
        <w:pStyle w:val="Normal"/>
        <w:widowControl w:val="false"/>
        <w:suppressAutoHyphens w:val="false"/>
        <w:ind w:left="0" w:right="0" w:firstLine="567"/>
        <w:jc w:val="both"/>
        <w:rPr>
          <w:bCs/>
          <w:sz w:val="24"/>
          <w:lang w:eastAsia="ru-RU"/>
        </w:rPr>
      </w:pPr>
      <w:r>
        <w:rPr>
          <w:bCs/>
          <w:sz w:val="24"/>
          <w:lang w:eastAsia="ru-RU"/>
        </w:rPr>
        <w:t>10.6. По существу претензии Сторона должна дать письменный ответ в срок не позднее 15 (пятнадцати) календарных дней с даты ее получения.</w:t>
      </w:r>
    </w:p>
    <w:p>
      <w:pPr>
        <w:pStyle w:val="Normal"/>
        <w:widowControl w:val="false"/>
        <w:ind w:left="0" w:right="0" w:firstLine="567"/>
        <w:jc w:val="both"/>
        <w:rPr/>
      </w:pPr>
      <w:r>
        <w:rPr>
          <w:bCs/>
          <w:sz w:val="24"/>
          <w:lang w:eastAsia="ru-RU"/>
        </w:rPr>
        <w:t>10.7. </w:t>
      </w:r>
      <w:r>
        <w:rPr>
          <w:rFonts w:eastAsia="Calibri"/>
          <w:sz w:val="24"/>
          <w:szCs w:val="20"/>
          <w:lang w:eastAsia="ru-RU"/>
        </w:rPr>
        <w:t>Любые споры, не урегулированные во внесудебном порядке, разрешаются в Арбитражном суде Ростовской области.</w:t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center"/>
        <w:rPr>
          <w:b/>
          <w:b/>
          <w:bCs/>
          <w:sz w:val="24"/>
        </w:rPr>
      </w:pPr>
      <w:r>
        <w:rPr>
          <w:b/>
          <w:bCs/>
          <w:sz w:val="24"/>
        </w:rPr>
        <w:t>11. СРОК ДЕЙСТВИЯ ГОСУДАРСТВЕННОГО КОНТРАКТА</w:t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both"/>
        <w:rPr>
          <w:bCs/>
          <w:sz w:val="24"/>
        </w:rPr>
      </w:pPr>
      <w:r>
        <w:rPr>
          <w:bCs/>
          <w:sz w:val="24"/>
        </w:rPr>
        <w:t xml:space="preserve">11.1. Контракт вступает в силу с момента подписания и действует до исполнения сторонами своих обязательств, но не позднее </w:t>
      </w:r>
      <w:r>
        <w:rPr>
          <w:b/>
          <w:bCs/>
          <w:sz w:val="24"/>
        </w:rPr>
        <w:t>30</w:t>
      </w:r>
      <w:r>
        <w:rPr>
          <w:b/>
          <w:bCs/>
          <w:sz w:val="24"/>
        </w:rPr>
        <w:t>.11.2026</w:t>
      </w:r>
      <w:r>
        <w:rPr>
          <w:bCs/>
          <w:sz w:val="24"/>
        </w:rPr>
        <w:t xml:space="preserve"> года.</w:t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both"/>
        <w:rPr>
          <w:bCs/>
          <w:sz w:val="24"/>
        </w:rPr>
      </w:pPr>
      <w:r>
        <w:rPr>
          <w:bCs/>
          <w:sz w:val="24"/>
        </w:rPr>
      </w:r>
    </w:p>
    <w:p>
      <w:pPr>
        <w:pStyle w:val="Style25"/>
        <w:widowControl w:val="false"/>
        <w:suppressAutoHyphens w:val="false"/>
        <w:spacing w:before="0" w:after="0"/>
        <w:ind w:left="0" w:right="0" w:firstLine="567"/>
        <w:jc w:val="center"/>
        <w:rPr/>
      </w:pPr>
      <w:r>
        <w:rPr>
          <w:b/>
          <w:bCs/>
          <w:sz w:val="24"/>
        </w:rPr>
        <w:t>12.</w:t>
      </w:r>
      <w:r>
        <w:rPr>
          <w:bCs/>
          <w:sz w:val="24"/>
        </w:rPr>
        <w:t> </w:t>
      </w:r>
      <w:r>
        <w:rPr>
          <w:b/>
          <w:bCs/>
          <w:sz w:val="24"/>
        </w:rPr>
        <w:t>ЗАКЛЮЧИТЕЛЬНЫЕ ПОЛОЖЕНИЯ</w:t>
      </w:r>
    </w:p>
    <w:p>
      <w:pPr>
        <w:pStyle w:val="Style25"/>
        <w:widowControl w:val="false"/>
        <w:spacing w:before="0" w:after="0"/>
        <w:ind w:left="0" w:right="0" w:firstLine="567"/>
        <w:jc w:val="both"/>
        <w:rPr/>
      </w:pPr>
      <w:r>
        <w:rPr>
          <w:sz w:val="24"/>
        </w:rPr>
        <w:t xml:space="preserve">12.1. Стороны обязаны извещать друг друга об изменении своего адреса, номеров телефонов, иных реквизитов в срок не позднее 1 </w:t>
      </w:r>
      <w:r>
        <w:rPr>
          <w:i/>
          <w:sz w:val="24"/>
        </w:rPr>
        <w:t>(одного)</w:t>
      </w:r>
      <w:r>
        <w:rPr>
          <w:sz w:val="24"/>
        </w:rPr>
        <w:t xml:space="preserve"> рабочего дня с момента начала действий таких изменений.</w:t>
      </w:r>
    </w:p>
    <w:p>
      <w:pPr>
        <w:pStyle w:val="Style25"/>
        <w:widowControl w:val="false"/>
        <w:spacing w:before="0" w:after="0"/>
        <w:ind w:left="0" w:right="0" w:firstLine="567"/>
        <w:jc w:val="both"/>
        <w:rPr>
          <w:sz w:val="24"/>
        </w:rPr>
      </w:pPr>
      <w:r>
        <w:rPr>
          <w:sz w:val="24"/>
        </w:rPr>
        <w:t>12.2. Стороны соглашаются с тем, что, Контракт, включая его условия, а также любая информация и документы, касающиеся любой из Сторон и предоставленные или ставшие известными любой из Стороны в рамках исполнения Государственного контракта, содержат коммерческую тайну Сторон и не подлежат разглашению или передаче третьим лицам за исключением случаев предусмотренных действующим законодательством РФ.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12.3. Во всем, что не предусмотрено настоящим Контрактом, стороны руководствуются действующим законодательством Российской Федерации.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12.4. К Контракту, в качестве его неотъемлемой части прилагаются: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 xml:space="preserve">12.4.1. Приложение № 1 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 xml:space="preserve">12.4.2. Приложение № 2 </w:t>
      </w:r>
    </w:p>
    <w:p>
      <w:pPr>
        <w:pStyle w:val="Normal"/>
        <w:ind w:left="0" w:right="0" w:firstLine="567"/>
        <w:jc w:val="both"/>
        <w:rPr>
          <w:sz w:val="24"/>
        </w:rPr>
      </w:pPr>
      <w:r>
        <w:rPr>
          <w:sz w:val="24"/>
        </w:rPr>
        <w:t>12.4.3. Приложение № 3</w:t>
      </w:r>
    </w:p>
    <w:p>
      <w:pPr>
        <w:pStyle w:val="Normal"/>
        <w:ind w:left="0" w:right="0" w:firstLine="567"/>
        <w:jc w:val="center"/>
        <w:rPr/>
      </w:pPr>
      <w:r>
        <w:rPr>
          <w:b/>
          <w:sz w:val="24"/>
        </w:rPr>
        <w:t>13.</w:t>
      </w:r>
      <w:r>
        <w:rPr>
          <w:b/>
          <w:bCs/>
          <w:sz w:val="24"/>
        </w:rPr>
        <w:t> АДРЕСА И БАНКОВСКИЕ РЕКВИЗИТЫ СТОРОН</w:t>
      </w:r>
    </w:p>
    <w:tbl>
      <w:tblPr>
        <w:tblW w:w="10362" w:type="dxa"/>
        <w:jc w:val="left"/>
        <w:tblInd w:w="-107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7"/>
        <w:gridCol w:w="289"/>
        <w:gridCol w:w="4626"/>
      </w:tblGrid>
      <w:tr>
        <w:trPr>
          <w:trHeight w:val="6687" w:hRule="atLeast"/>
        </w:trPr>
        <w:tc>
          <w:tcPr>
            <w:tcW w:w="5447" w:type="dxa"/>
            <w:tcBorders/>
            <w:shd w:fill="FFFFFF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>
              <w:rPr>
                <w:b/>
                <w:sz w:val="22"/>
                <w:szCs w:val="22"/>
              </w:rPr>
              <w:t>Заказчик</w:t>
            </w:r>
          </w:p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Управление Федеральной службы судебных приставов по Костромской области </w:t>
            </w:r>
          </w:p>
          <w:p>
            <w:pPr>
              <w:pStyle w:val="Normal"/>
              <w:spacing w:lineRule="atLeast" w:line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Юридический адрес: 156000, Костромская обл., г. Кострома, ул. Островского, д. 37</w:t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ИНН/КПП: 4401050486 /440101001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(Управление Федеральной службы судебных приставов по Костромской области, л/счет 03411785380)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Банковские реквизиты: 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ОКЦ № 1 ВОЛГО-ВЯТСКОЕ ГУ БАНКА РОССИИ// УФК по Нижегородской области, г. Нижний Новгород 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БИК: 012202102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казначейского счета 03211643000000013202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банковского счета, входящего в состав ЕКС 40102810745370000024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ОКТМО: 34701000, ОГРН: 1044408642332, ОКВЭД: 75.11.12, ОКПО: 50146453</w:t>
            </w:r>
          </w:p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тел. 8 (4942) 65-90-31, 65-90-30; 65-90-43 (бух.)</w:t>
            </w:r>
          </w:p>
          <w:p>
            <w:pPr>
              <w:pStyle w:val="Normal"/>
              <w:spacing w:lineRule="atLeast" w:line="100"/>
              <w:rPr/>
            </w:pPr>
            <w:r>
              <w:rPr>
                <w:rFonts w:eastAsia="Times New Roman CYR"/>
                <w:color w:val="000000"/>
                <w:spacing w:val="-5"/>
                <w:sz w:val="22"/>
                <w:szCs w:val="22"/>
                <w:highlight w:val="white"/>
                <w:lang w:val="en-US"/>
              </w:rPr>
              <w:t>e</w:t>
            </w:r>
            <w:r>
              <w:rPr>
                <w:rFonts w:eastAsia="Times New Roman CYR"/>
                <w:color w:val="000000"/>
                <w:spacing w:val="-5"/>
                <w:sz w:val="22"/>
                <w:szCs w:val="22"/>
                <w:highlight w:val="white"/>
              </w:rPr>
              <w:t>-</w:t>
            </w:r>
            <w:r>
              <w:rPr>
                <w:rFonts w:eastAsia="Times New Roman CYR"/>
                <w:color w:val="000000"/>
                <w:spacing w:val="-5"/>
                <w:sz w:val="22"/>
                <w:szCs w:val="22"/>
                <w:highlight w:val="white"/>
                <w:lang w:val="en-US"/>
              </w:rPr>
              <w:t>mail</w:t>
            </w:r>
            <w:r>
              <w:rPr>
                <w:rFonts w:eastAsia="Times New Roman CYR"/>
                <w:color w:val="000000"/>
                <w:spacing w:val="-5"/>
                <w:sz w:val="22"/>
                <w:szCs w:val="22"/>
                <w:highlight w:val="white"/>
              </w:rPr>
              <w:t xml:space="preserve">: </w:t>
            </w:r>
            <w:hyperlink r:id="rId4">
              <w:r>
                <w:rPr>
                  <w:rStyle w:val="Style19"/>
                  <w:rFonts w:eastAsia="Times New Roman CYR"/>
                  <w:spacing w:val="-5"/>
                  <w:sz w:val="22"/>
                  <w:szCs w:val="22"/>
                  <w:highlight w:val="white"/>
                  <w:lang w:val="en-US" w:eastAsia="en-US"/>
                </w:rPr>
                <w:t>mto</w:t>
              </w:r>
            </w:hyperlink>
            <w:hyperlink r:id="rId5">
              <w:r>
                <w:rPr>
                  <w:rStyle w:val="Style19"/>
                  <w:rFonts w:eastAsia="Times New Roman CYR"/>
                  <w:spacing w:val="-5"/>
                  <w:sz w:val="22"/>
                  <w:szCs w:val="22"/>
                  <w:highlight w:val="white"/>
                  <w:lang w:eastAsia="en-US"/>
                </w:rPr>
                <w:t>@</w:t>
              </w:r>
            </w:hyperlink>
            <w:hyperlink r:id="rId6">
              <w:r>
                <w:rPr>
                  <w:rStyle w:val="Style19"/>
                  <w:rFonts w:eastAsia="Times New Roman CYR"/>
                  <w:spacing w:val="-5"/>
                  <w:sz w:val="22"/>
                  <w:szCs w:val="22"/>
                  <w:highlight w:val="white"/>
                  <w:lang w:val="en-US" w:eastAsia="en-US"/>
                </w:rPr>
                <w:t>r</w:t>
              </w:r>
            </w:hyperlink>
            <w:hyperlink r:id="rId7">
              <w:r>
                <w:rPr>
                  <w:rStyle w:val="Style19"/>
                  <w:rFonts w:eastAsia="Times New Roman CYR"/>
                  <w:spacing w:val="-5"/>
                  <w:sz w:val="22"/>
                  <w:szCs w:val="22"/>
                  <w:highlight w:val="white"/>
                  <w:lang w:eastAsia="en-US"/>
                </w:rPr>
                <w:t>44.</w:t>
              </w:r>
            </w:hyperlink>
            <w:hyperlink r:id="rId8">
              <w:r>
                <w:rPr>
                  <w:rStyle w:val="Style19"/>
                  <w:rFonts w:eastAsia="Times New Roman CYR"/>
                  <w:spacing w:val="-5"/>
                  <w:sz w:val="22"/>
                  <w:szCs w:val="22"/>
                  <w:highlight w:val="white"/>
                  <w:lang w:val="en-US" w:eastAsia="en-US"/>
                </w:rPr>
                <w:t>fssp</w:t>
              </w:r>
            </w:hyperlink>
            <w:hyperlink r:id="rId9">
              <w:r>
                <w:rPr>
                  <w:rStyle w:val="Style19"/>
                  <w:rFonts w:eastAsia="Times New Roman CYR"/>
                  <w:spacing w:val="-5"/>
                  <w:sz w:val="22"/>
                  <w:szCs w:val="22"/>
                  <w:highlight w:val="white"/>
                  <w:lang w:eastAsia="en-US"/>
                </w:rPr>
                <w:t>.</w:t>
              </w:r>
            </w:hyperlink>
            <w:hyperlink r:id="rId10">
              <w:r>
                <w:rPr>
                  <w:rStyle w:val="Style19"/>
                  <w:rFonts w:eastAsia="Times New Roman CYR"/>
                  <w:spacing w:val="-5"/>
                  <w:sz w:val="22"/>
                  <w:szCs w:val="22"/>
                  <w:highlight w:val="white"/>
                  <w:lang w:val="en-US" w:eastAsia="en-US"/>
                </w:rPr>
                <w:t>gov</w:t>
              </w:r>
            </w:hyperlink>
            <w:hyperlink r:id="rId11">
              <w:r>
                <w:rPr>
                  <w:rStyle w:val="Style19"/>
                  <w:rFonts w:eastAsia="Times New Roman CYR"/>
                  <w:spacing w:val="-5"/>
                  <w:sz w:val="22"/>
                  <w:szCs w:val="22"/>
                  <w:highlight w:val="white"/>
                  <w:lang w:eastAsia="en-US"/>
                </w:rPr>
                <w:t>.</w:t>
              </w:r>
            </w:hyperlink>
            <w:hyperlink r:id="rId12">
              <w:r>
                <w:rPr>
                  <w:rStyle w:val="Style19"/>
                  <w:rFonts w:eastAsia="Times New Roman CYR"/>
                  <w:spacing w:val="-5"/>
                  <w:sz w:val="22"/>
                  <w:szCs w:val="22"/>
                  <w:highlight w:val="white"/>
                  <w:lang w:val="en-US" w:eastAsia="en-US"/>
                </w:rPr>
                <w:t>ru</w:t>
              </w:r>
            </w:hyperlink>
          </w:p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</w:p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>______________/</w:t>
            </w:r>
            <w:r>
              <w:rPr>
                <w:b/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t>/</w:t>
            </w:r>
          </w:p>
          <w:p>
            <w:pPr>
              <w:pStyle w:val="Normal"/>
              <w:spacing w:lineRule="atLeast" w:line="1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9" w:type="dxa"/>
            <w:tcBorders/>
            <w:shd w:fill="FFFFFF" w:val="clea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26" w:type="dxa"/>
            <w:tcBorders/>
            <w:shd w:fill="FFFFFF" w:val="clear"/>
          </w:tcPr>
          <w:p>
            <w:pPr>
              <w:pStyle w:val="Normal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</w:t>
            </w:r>
          </w:p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Директор</w:t>
            </w:r>
          </w:p>
          <w:p>
            <w:pPr>
              <w:pStyle w:val="Normal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__________________/</w:t>
            </w:r>
            <w:r>
              <w:rPr>
                <w:b/>
                <w:bCs/>
                <w:sz w:val="22"/>
                <w:szCs w:val="22"/>
              </w:rPr>
              <w:t xml:space="preserve">                  </w:t>
            </w:r>
            <w:r>
              <w:rPr>
                <w:sz w:val="22"/>
                <w:szCs w:val="22"/>
              </w:rPr>
              <w:t>/</w:t>
            </w:r>
          </w:p>
        </w:tc>
      </w:tr>
    </w:tbl>
    <w:p>
      <w:pPr>
        <w:sectPr>
          <w:type w:val="nextPage"/>
          <w:pgSz w:w="11906" w:h="16838"/>
          <w:pgMar w:left="1276" w:right="707" w:header="0" w:top="1135" w:footer="0" w:bottom="1134" w:gutter="0"/>
          <w:pgNumType w:fmt="decimal"/>
          <w:formProt w:val="false"/>
          <w:textDirection w:val="lrTb"/>
          <w:docGrid w:type="default" w:linePitch="381" w:charSpace="4294952959"/>
        </w:sectPr>
      </w:pP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  <w:t>Приложение № 1</w:t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к Государственному контракту</w:t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  <w:t xml:space="preserve">от ________года  № ______ </w:t>
      </w:r>
    </w:p>
    <w:p>
      <w:pPr>
        <w:pStyle w:val="Normal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suppressAutoHyphens w:val="false"/>
        <w:spacing w:lineRule="auto" w:line="276"/>
        <w:jc w:val="center"/>
        <w:rPr>
          <w:b/>
          <w:b/>
          <w:sz w:val="24"/>
          <w:lang w:eastAsia="ru-RU"/>
        </w:rPr>
      </w:pPr>
      <w:r>
        <w:rPr>
          <w:b/>
          <w:sz w:val="24"/>
          <w:lang w:eastAsia="ru-RU"/>
        </w:rPr>
        <w:t>Техническое задание</w:t>
      </w:r>
    </w:p>
    <w:p>
      <w:pPr>
        <w:pStyle w:val="Normal"/>
        <w:suppressAutoHyphens w:val="false"/>
        <w:spacing w:lineRule="auto" w:line="276"/>
        <w:jc w:val="center"/>
        <w:rPr/>
      </w:pPr>
      <w:r>
        <w:rPr>
          <w:b/>
          <w:sz w:val="24"/>
          <w:lang w:eastAsia="ru-RU"/>
        </w:rPr>
        <w:t xml:space="preserve">на поставку </w:t>
      </w:r>
      <w:r>
        <w:rPr>
          <w:b/>
          <w:bCs/>
          <w:color w:val="000000"/>
          <w:sz w:val="24"/>
          <w:lang w:eastAsia="ru-RU"/>
        </w:rPr>
        <w:t>кресел</w:t>
      </w:r>
      <w:r>
        <w:rPr>
          <w:b/>
          <w:bCs/>
          <w:color w:val="000000"/>
          <w:sz w:val="24"/>
          <w:lang w:eastAsia="ru-RU"/>
        </w:rPr>
        <w:t xml:space="preserve"> </w:t>
      </w:r>
      <w:r>
        <w:rPr>
          <w:b/>
          <w:bCs/>
          <w:color w:val="000000"/>
          <w:sz w:val="24"/>
          <w:lang w:eastAsia="ru-RU"/>
        </w:rPr>
        <w:t>(офисных)</w:t>
      </w:r>
      <w:r>
        <w:rPr>
          <w:b/>
          <w:bCs/>
          <w:color w:val="000000"/>
          <w:sz w:val="24"/>
          <w:lang w:eastAsia="ru-RU"/>
        </w:rPr>
        <w:t xml:space="preserve"> </w:t>
      </w:r>
    </w:p>
    <w:p>
      <w:pPr>
        <w:pStyle w:val="Normal"/>
        <w:suppressAutoHyphens w:val="false"/>
        <w:spacing w:lineRule="auto" w:line="276"/>
        <w:jc w:val="both"/>
        <w:rPr/>
      </w:pPr>
      <w:r>
        <w:rPr>
          <w:b/>
          <w:sz w:val="24"/>
          <w:lang w:eastAsia="ru-RU"/>
        </w:rPr>
        <w:t>1. Заказчик:</w:t>
      </w:r>
      <w:r>
        <w:rPr>
          <w:sz w:val="24"/>
          <w:lang w:eastAsia="ru-RU"/>
        </w:rPr>
        <w:t xml:space="preserve"> Управление Федеральной службы судебных приставов по Костромской области (УФССП России по Костромской области)</w:t>
      </w:r>
    </w:p>
    <w:p>
      <w:pPr>
        <w:pStyle w:val="Normal"/>
        <w:suppressAutoHyphens w:val="false"/>
        <w:spacing w:lineRule="auto" w:line="276"/>
        <w:jc w:val="both"/>
        <w:rPr/>
      </w:pPr>
      <w:r>
        <w:rPr>
          <w:b/>
          <w:sz w:val="24"/>
          <w:lang w:eastAsia="ru-RU"/>
        </w:rPr>
        <w:t>2. Предмет закупки:</w:t>
      </w:r>
      <w:r>
        <w:rPr>
          <w:b/>
          <w:bCs/>
          <w:sz w:val="24"/>
          <w:lang w:eastAsia="ru-RU"/>
        </w:rPr>
        <w:t xml:space="preserve"> </w:t>
      </w:r>
      <w:r>
        <w:rPr>
          <w:sz w:val="24"/>
          <w:lang w:eastAsia="ru-RU"/>
        </w:rPr>
        <w:t xml:space="preserve">поставка </w:t>
      </w:r>
      <w:r>
        <w:rPr>
          <w:b w:val="false"/>
          <w:bCs w:val="false"/>
          <w:color w:val="000000"/>
          <w:sz w:val="24"/>
          <w:lang w:eastAsia="ru-RU"/>
        </w:rPr>
        <w:t>кресел</w:t>
      </w:r>
      <w:r>
        <w:rPr>
          <w:b w:val="false"/>
          <w:bCs w:val="false"/>
          <w:color w:val="000000"/>
          <w:sz w:val="24"/>
          <w:lang w:eastAsia="ru-RU"/>
        </w:rPr>
        <w:t xml:space="preserve"> </w:t>
      </w:r>
      <w:r>
        <w:rPr>
          <w:b w:val="false"/>
          <w:bCs w:val="false"/>
          <w:color w:val="000000"/>
          <w:sz w:val="24"/>
          <w:lang w:eastAsia="ru-RU"/>
        </w:rPr>
        <w:t>(офисных)</w:t>
      </w:r>
      <w:r>
        <w:rPr>
          <w:b/>
          <w:bCs/>
          <w:color w:val="000000"/>
          <w:sz w:val="24"/>
          <w:lang w:eastAsia="ru-RU"/>
        </w:rPr>
        <w:t xml:space="preserve"> </w:t>
      </w:r>
      <w:r>
        <w:rPr>
          <w:sz w:val="24"/>
          <w:lang w:eastAsia="ru-RU"/>
        </w:rPr>
        <w:t>для нужд Управления Федеральной службы судебных приставов по Костромской области</w:t>
      </w:r>
    </w:p>
    <w:p>
      <w:pPr>
        <w:pStyle w:val="Normal"/>
        <w:suppressAutoHyphens w:val="false"/>
        <w:spacing w:lineRule="auto" w:line="276" w:before="0" w:after="29"/>
        <w:jc w:val="both"/>
        <w:rPr/>
      </w:pPr>
      <w:r>
        <w:rPr>
          <w:b/>
          <w:sz w:val="24"/>
          <w:lang w:eastAsia="ru-RU"/>
        </w:rPr>
        <w:t>3</w:t>
      </w:r>
      <w:r>
        <w:rPr>
          <w:sz w:val="24"/>
          <w:lang w:eastAsia="ru-RU"/>
        </w:rPr>
        <w:t xml:space="preserve">. </w:t>
      </w:r>
      <w:r>
        <w:rPr>
          <w:b w:val="false"/>
          <w:bCs w:val="false"/>
          <w:color w:val="000000"/>
          <w:sz w:val="24"/>
          <w:lang w:eastAsia="ru-RU"/>
        </w:rPr>
        <w:t>Кресла</w:t>
      </w:r>
      <w:r>
        <w:rPr>
          <w:b w:val="false"/>
          <w:bCs w:val="false"/>
          <w:color w:val="000000"/>
          <w:sz w:val="24"/>
          <w:lang w:eastAsia="ru-RU"/>
        </w:rPr>
        <w:t xml:space="preserve"> </w:t>
      </w:r>
      <w:r>
        <w:rPr>
          <w:b w:val="false"/>
          <w:bCs w:val="false"/>
          <w:color w:val="000000"/>
          <w:sz w:val="24"/>
          <w:lang w:eastAsia="ru-RU"/>
        </w:rPr>
        <w:t>(офисны</w:t>
      </w:r>
      <w:r>
        <w:rPr>
          <w:b w:val="false"/>
          <w:bCs w:val="false"/>
          <w:color w:val="000000"/>
          <w:sz w:val="24"/>
          <w:lang w:eastAsia="ru-RU"/>
        </w:rPr>
        <w:t>е</w:t>
      </w:r>
      <w:r>
        <w:rPr>
          <w:b w:val="false"/>
          <w:bCs w:val="false"/>
          <w:color w:val="000000"/>
          <w:sz w:val="24"/>
          <w:lang w:eastAsia="ru-RU"/>
        </w:rPr>
        <w:t>)</w:t>
      </w:r>
      <w:r>
        <w:rPr>
          <w:sz w:val="24"/>
          <w:lang w:eastAsia="ru-RU"/>
        </w:rPr>
        <w:t xml:space="preserve"> должны быть новыми, ранее не использованными, отвечать требованиям стандартов безопасности, ГОСТа и ТУ производителя, оригинальная или аналоговая (схожие характеристики), имеющие соответствующий сертификат качества.</w:t>
      </w:r>
    </w:p>
    <w:p>
      <w:pPr>
        <w:pStyle w:val="Normal"/>
        <w:suppressAutoHyphens w:val="false"/>
        <w:spacing w:lineRule="auto" w:line="276" w:before="0" w:after="0"/>
        <w:jc w:val="both"/>
        <w:rPr/>
      </w:pPr>
      <w:r>
        <w:rPr>
          <w:b/>
          <w:sz w:val="24"/>
          <w:lang w:eastAsia="ru-RU"/>
        </w:rPr>
        <w:t>4</w:t>
      </w:r>
      <w:r>
        <w:rPr>
          <w:sz w:val="24"/>
          <w:lang w:eastAsia="ru-RU"/>
        </w:rPr>
        <w:t xml:space="preserve">. Гарантийный срок эксплуатации – не менее </w:t>
      </w:r>
      <w:r>
        <w:rPr>
          <w:sz w:val="24"/>
          <w:lang w:eastAsia="ru-RU"/>
        </w:rPr>
        <w:t>24</w:t>
      </w:r>
      <w:r>
        <w:rPr>
          <w:sz w:val="24"/>
          <w:lang w:eastAsia="ru-RU"/>
        </w:rPr>
        <w:t xml:space="preserve"> месяцев со дня поставки.</w:t>
      </w:r>
    </w:p>
    <w:p>
      <w:pPr>
        <w:pStyle w:val="Normal"/>
        <w:suppressAutoHyphens w:val="false"/>
        <w:spacing w:lineRule="auto" w:line="276" w:before="0" w:after="200"/>
        <w:jc w:val="both"/>
        <w:rPr/>
      </w:pPr>
      <w:r>
        <w:rPr>
          <w:b/>
          <w:sz w:val="24"/>
          <w:lang w:eastAsia="ru-RU"/>
        </w:rPr>
        <w:t>5</w:t>
      </w:r>
      <w:r>
        <w:rPr>
          <w:sz w:val="24"/>
          <w:lang w:eastAsia="ru-RU"/>
        </w:rPr>
        <w:t xml:space="preserve">. Поставка </w:t>
      </w:r>
      <w:r>
        <w:rPr>
          <w:sz w:val="24"/>
          <w:lang w:eastAsia="ru-RU"/>
        </w:rPr>
        <w:t>и разгрузка</w:t>
      </w:r>
      <w:r>
        <w:rPr>
          <w:sz w:val="24"/>
          <w:lang w:eastAsia="ru-RU"/>
        </w:rPr>
        <w:t xml:space="preserve"> осуществляется силами и средствами Поставщика в г. Кострома, ул. Островского, д. 37 </w:t>
      </w:r>
    </w:p>
    <w:tbl>
      <w:tblPr>
        <w:tblW w:w="9735" w:type="dxa"/>
        <w:jc w:val="left"/>
        <w:tblInd w:w="-147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753"/>
        <w:gridCol w:w="3835"/>
        <w:gridCol w:w="5147"/>
      </w:tblGrid>
      <w:tr>
        <w:trPr>
          <w:trHeight w:val="339" w:hRule="atLeast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smallCaps/>
                <w:sz w:val="22"/>
                <w:szCs w:val="22"/>
                <w:lang w:eastAsia="ru-RU"/>
              </w:rPr>
            </w:pPr>
            <w:r>
              <w:rPr>
                <w:smallCap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</w:t>
            </w:r>
          </w:p>
        </w:tc>
      </w:tr>
      <w:tr>
        <w:trPr>
          <w:trHeight w:val="702" w:hRule="atLeast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mallCaps/>
                <w:sz w:val="22"/>
                <w:szCs w:val="22"/>
                <w:lang w:eastAsia="ru-RU"/>
              </w:rPr>
            </w:pPr>
            <w:r>
              <w:rPr>
                <w:smallCaps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5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</w:tcPr>
          <w:p>
            <w:pPr>
              <w:pStyle w:val="Style21"/>
              <w:widowControl w:val="false"/>
              <w:suppressAutoHyphens w:val="false"/>
              <w:spacing w:lineRule="auto" w:line="276" w:before="0" w:after="29"/>
              <w:jc w:val="both"/>
              <w:rPr>
                <w:b w:val="false"/>
                <w:b w:val="false"/>
                <w:bCs w:val="false"/>
                <w:color w:val="000000"/>
                <w:sz w:val="22"/>
                <w:szCs w:val="22"/>
                <w:lang w:val="en-US" w:eastAsia="ru-RU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en-US" w:eastAsia="ru-RU"/>
              </w:rPr>
              <w:t>Кресло, сетка/ткань, до 1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en-US" w:eastAsia="ru-RU"/>
              </w:rPr>
              <w:t>2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en-US" w:eastAsia="ru-RU"/>
              </w:rPr>
              <w:t>0кг, черный</w:t>
            </w:r>
            <w:r>
              <w:rPr>
                <w:b w:val="false"/>
                <w:bCs w:val="false"/>
                <w:color w:val="000000"/>
                <w:sz w:val="22"/>
                <w:szCs w:val="22"/>
                <w:lang w:val="en-US" w:eastAsia="ru-RU"/>
              </w:rPr>
              <w:t xml:space="preserve"> </w:t>
            </w:r>
          </w:p>
        </w:tc>
      </w:tr>
      <w:tr>
        <w:trPr>
          <w:trHeight w:val="462" w:hRule="atLeast"/>
        </w:trPr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mallCaps/>
                <w:sz w:val="22"/>
                <w:szCs w:val="22"/>
                <w:lang w:eastAsia="ru-RU"/>
              </w:rPr>
            </w:pPr>
            <w:r>
              <w:rPr>
                <w:smallCaps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Количество Товара</w:t>
            </w:r>
          </w:p>
        </w:tc>
        <w:tc>
          <w:tcPr>
            <w:tcW w:w="5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22</w:t>
            </w:r>
            <w:r>
              <w:rPr>
                <w:sz w:val="22"/>
                <w:szCs w:val="22"/>
                <w:lang w:eastAsia="ru-RU"/>
              </w:rPr>
              <w:t xml:space="preserve"> шт.</w:t>
            </w:r>
          </w:p>
        </w:tc>
      </w:tr>
      <w:tr>
        <w:trPr/>
        <w:tc>
          <w:tcPr>
            <w:tcW w:w="7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Технические характеристики Товара:</w:t>
            </w:r>
          </w:p>
        </w:tc>
        <w:tc>
          <w:tcPr>
            <w:tcW w:w="51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</w:tcPr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Цвет каркаса/основания/колес: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черный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4" w:name="characteristicName-"/>
            <w:bookmarkEnd w:id="4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Материал подлокотников: пластиковые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Подлокотники: есть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Ширина сиденья: 480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Спинка: отдельная от сиденья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5" w:name="characteristicName-3"/>
            <w:bookmarkEnd w:id="5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Диаметр крестовины: 600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Материал основания: пластик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6" w:name="characteristicName-4"/>
            <w:bookmarkEnd w:id="6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Цвет (сиденье): черный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7" w:name="characteristicName-5"/>
            <w:bookmarkEnd w:id="7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Высота подлокотника: 190 мм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8" w:name="characteristicName-6"/>
            <w:bookmarkEnd w:id="8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Ширина с подлокотниками:580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9" w:name="characteristicName-7"/>
            <w:bookmarkEnd w:id="9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Номер цвета:TW-11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Подголовник: отсутствует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10" w:name="characteristicName-8"/>
            <w:bookmarkEnd w:id="10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Цвет обивки: черный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11" w:name="characteristicName-9"/>
            <w:bookmarkEnd w:id="11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Гарантия: 24 мес.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12" w:name="characteristicName-10"/>
            <w:bookmarkEnd w:id="12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Цвет (спинка):черный (TW-01)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Материал обивки: сетка/ткань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Конструкция: подлокотники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13" w:name="characteristicName-13"/>
            <w:bookmarkEnd w:id="13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Глубина сиденья:440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14" w:name="characteristicName-14"/>
            <w:bookmarkEnd w:id="14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Высота с подлокотниками:635 мм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15" w:name="characteristicName-16"/>
            <w:bookmarkEnd w:id="15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Высота кресла:890 мм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16" w:name="characteristicName-17"/>
            <w:bookmarkEnd w:id="16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Регулировка: высоты (газлифт)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17" w:name="characteristicName-19"/>
            <w:bookmarkEnd w:id="17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Ограничение по весу:1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2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0 кг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Тип основания: на колесиках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</w:pPr>
            <w:bookmarkStart w:id="18" w:name="characteristicName-21"/>
            <w:bookmarkEnd w:id="18"/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Высота сиденья:445 мм</w:t>
            </w:r>
          </w:p>
          <w:p>
            <w:pPr>
              <w:pStyle w:val="Normal"/>
              <w:widowControl w:val="false"/>
              <w:suppressAutoHyphens w:val="false"/>
              <w:spacing w:lineRule="auto" w:line="276" w:before="0" w:after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(или эквивалент)</w:t>
            </w:r>
          </w:p>
        </w:tc>
      </w:tr>
    </w:tbl>
    <w:p>
      <w:pPr>
        <w:pStyle w:val="Normal"/>
        <w:shd w:fill="FFFFFF" w:val="clear"/>
        <w:suppressAutoHyphens w:val="false"/>
        <w:spacing w:lineRule="auto" w:line="276" w:before="0" w:after="0"/>
        <w:jc w:val="both"/>
        <w:rPr>
          <w:sz w:val="24"/>
          <w:lang w:eastAsia="ru-RU"/>
        </w:rPr>
      </w:pPr>
      <w:r>
        <w:rPr>
          <w:sz w:val="24"/>
          <w:lang w:eastAsia="ru-RU"/>
        </w:rPr>
      </w:r>
    </w:p>
    <w:p>
      <w:pPr>
        <w:pStyle w:val="Normal"/>
        <w:shd w:fill="FFFFFF" w:val="clear"/>
        <w:suppressAutoHyphens w:val="false"/>
        <w:spacing w:lineRule="auto" w:line="276" w:before="0" w:after="200"/>
        <w:jc w:val="both"/>
        <w:rPr/>
      </w:pPr>
      <w:r>
        <w:rPr>
          <w:bCs/>
          <w:sz w:val="24"/>
          <w:lang w:eastAsia="ru-RU"/>
        </w:rPr>
        <w:t xml:space="preserve">     </w:t>
      </w:r>
      <w:r>
        <w:rPr>
          <w:b w:val="false"/>
          <w:bCs w:val="false"/>
          <w:color w:val="000000"/>
          <w:sz w:val="24"/>
          <w:lang w:eastAsia="ru-RU"/>
        </w:rPr>
        <w:t>Кресла</w:t>
      </w:r>
      <w:r>
        <w:rPr>
          <w:b w:val="false"/>
          <w:bCs w:val="false"/>
          <w:color w:val="000000"/>
          <w:sz w:val="24"/>
          <w:lang w:eastAsia="ru-RU"/>
        </w:rPr>
        <w:t xml:space="preserve"> </w:t>
      </w:r>
      <w:r>
        <w:rPr>
          <w:b w:val="false"/>
          <w:bCs w:val="false"/>
          <w:color w:val="000000"/>
          <w:sz w:val="24"/>
          <w:lang w:eastAsia="ru-RU"/>
        </w:rPr>
        <w:t>(офисны</w:t>
      </w:r>
      <w:r>
        <w:rPr>
          <w:b w:val="false"/>
          <w:bCs w:val="false"/>
          <w:color w:val="000000"/>
          <w:sz w:val="24"/>
          <w:lang w:eastAsia="ru-RU"/>
        </w:rPr>
        <w:t>е</w:t>
      </w:r>
      <w:r>
        <w:rPr>
          <w:b w:val="false"/>
          <w:bCs w:val="false"/>
          <w:color w:val="000000"/>
          <w:sz w:val="24"/>
          <w:lang w:eastAsia="ru-RU"/>
        </w:rPr>
        <w:t>)</w:t>
      </w:r>
      <w:r>
        <w:rPr>
          <w:sz w:val="24"/>
          <w:lang w:eastAsia="ru-RU"/>
        </w:rPr>
        <w:t xml:space="preserve"> должны быть одной модели </w:t>
      </w:r>
      <w:r>
        <w:rPr>
          <w:sz w:val="24"/>
          <w:lang w:eastAsia="ru-RU"/>
        </w:rPr>
        <w:t xml:space="preserve">и </w:t>
      </w:r>
      <w:r>
        <w:rPr>
          <w:bCs/>
          <w:sz w:val="24"/>
          <w:lang w:eastAsia="ru-RU"/>
        </w:rPr>
        <w:t>соответствовать требованиям установленным производителем.</w:t>
      </w:r>
    </w:p>
    <w:p>
      <w:pPr>
        <w:pStyle w:val="Normal"/>
        <w:shd w:fill="FFFFFF" w:val="clear"/>
        <w:suppressAutoHyphens w:val="false"/>
        <w:spacing w:lineRule="auto" w:line="276" w:before="0" w:after="200"/>
        <w:jc w:val="both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tbl>
      <w:tblPr>
        <w:tblW w:w="10315" w:type="dxa"/>
        <w:jc w:val="left"/>
        <w:tblInd w:w="-216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7"/>
        <w:gridCol w:w="4413"/>
        <w:gridCol w:w="745"/>
      </w:tblGrid>
      <w:tr>
        <w:trPr/>
        <w:tc>
          <w:tcPr>
            <w:tcW w:w="5157" w:type="dxa"/>
            <w:tcBorders/>
            <w:shd w:fill="FFFFFF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>__________________/</w:t>
            </w:r>
            <w:r>
              <w:rPr>
                <w:b/>
                <w:sz w:val="21"/>
                <w:szCs w:val="21"/>
              </w:rPr>
              <w:t>___________________</w:t>
            </w:r>
            <w:r>
              <w:rPr>
                <w:sz w:val="22"/>
                <w:szCs w:val="22"/>
              </w:rPr>
              <w:t>/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413" w:type="dxa"/>
            <w:tcBorders/>
            <w:shd w:fill="FFFFFF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</w:t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Директор</w:t>
            </w:r>
          </w:p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__________________/</w:t>
            </w:r>
            <w:r>
              <w:rPr>
                <w:b/>
                <w:sz w:val="21"/>
                <w:szCs w:val="21"/>
              </w:rPr>
              <w:t xml:space="preserve">                    </w:t>
            </w:r>
            <w:r>
              <w:rPr>
                <w:sz w:val="22"/>
                <w:szCs w:val="22"/>
              </w:rPr>
              <w:t>/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745" w:type="dxa"/>
            <w:tcBorders/>
            <w:shd w:fill="FFFFFF" w:val="clear"/>
          </w:tcPr>
          <w:p>
            <w:pPr>
              <w:pStyle w:val="ConsPlusNormal1"/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  <w:t>Приложение № 2</w:t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к Государственному контракту</w:t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  <w:t xml:space="preserve">от ________года №_________ </w:t>
      </w:r>
    </w:p>
    <w:p>
      <w:pPr>
        <w:pStyle w:val="Normal"/>
        <w:tabs>
          <w:tab w:val="left" w:pos="2410" w:leader="none"/>
        </w:tabs>
        <w:suppressAutoHyphens w:val="false"/>
        <w:jc w:val="right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right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suppressAutoHyphens w:val="false"/>
        <w:jc w:val="center"/>
        <w:rPr>
          <w:b/>
          <w:b/>
          <w:sz w:val="24"/>
          <w:lang w:eastAsia="ru-RU"/>
        </w:rPr>
      </w:pPr>
      <w:r>
        <w:rPr>
          <w:b/>
          <w:sz w:val="24"/>
          <w:lang w:eastAsia="ru-RU"/>
        </w:rPr>
        <w:t>Спецификация</w:t>
      </w:r>
    </w:p>
    <w:p>
      <w:pPr>
        <w:pStyle w:val="Normal"/>
        <w:suppressAutoHyphens w:val="false"/>
        <w:rPr>
          <w:bCs/>
          <w:sz w:val="24"/>
          <w:lang w:eastAsia="ru-RU"/>
        </w:rPr>
      </w:pPr>
      <w:r>
        <w:rPr>
          <w:bCs/>
          <w:sz w:val="24"/>
          <w:lang w:eastAsia="ru-RU"/>
        </w:rPr>
      </w:r>
    </w:p>
    <w:tbl>
      <w:tblPr>
        <w:tblW w:w="9730" w:type="dxa"/>
        <w:jc w:val="left"/>
        <w:tblInd w:w="-431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top w:w="0" w:type="dxa"/>
          <w:left w:w="98" w:type="dxa"/>
          <w:bottom w:w="0" w:type="dxa"/>
          <w:right w:w="108" w:type="dxa"/>
        </w:tblCellMar>
      </w:tblPr>
      <w:tblGrid>
        <w:gridCol w:w="763"/>
        <w:gridCol w:w="1962"/>
        <w:gridCol w:w="2364"/>
        <w:gridCol w:w="834"/>
        <w:gridCol w:w="968"/>
        <w:gridCol w:w="1238"/>
        <w:gridCol w:w="1601"/>
      </w:tblGrid>
      <w:tr>
        <w:trPr>
          <w:trHeight w:val="828" w:hRule="atLeast"/>
        </w:trPr>
        <w:tc>
          <w:tcPr>
            <w:tcW w:w="7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bookmarkStart w:id="19" w:name="RANGE!A12"/>
            <w:r>
              <w:rPr>
                <w:rFonts w:cs="Calibri"/>
                <w:sz w:val="24"/>
                <w:lang w:eastAsia="en-US"/>
              </w:rPr>
              <w:t>№</w:t>
            </w:r>
            <w:r>
              <w:rPr>
                <w:rFonts w:cs="Calibri"/>
                <w:sz w:val="24"/>
                <w:lang w:eastAsia="en-US"/>
              </w:rPr>
              <w:t>п/п</w:t>
            </w:r>
            <w:bookmarkEnd w:id="19"/>
          </w:p>
        </w:tc>
        <w:tc>
          <w:tcPr>
            <w:tcW w:w="1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  <w:t xml:space="preserve">Наименование товара, товарный знак </w:t>
            </w:r>
          </w:p>
        </w:tc>
        <w:tc>
          <w:tcPr>
            <w:tcW w:w="236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  <w:t>Основные характеристики закупаемого товара, работ, услуг, страна происхождения</w:t>
            </w:r>
          </w:p>
        </w:tc>
        <w:tc>
          <w:tcPr>
            <w:tcW w:w="8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  <w:t>Ед. изм.</w:t>
            </w:r>
          </w:p>
        </w:tc>
        <w:tc>
          <w:tcPr>
            <w:tcW w:w="9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  <w:t>Кол-во</w:t>
            </w:r>
          </w:p>
        </w:tc>
        <w:tc>
          <w:tcPr>
            <w:tcW w:w="123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  <w:t>Цена, руб.</w:t>
            </w:r>
          </w:p>
        </w:tc>
        <w:tc>
          <w:tcPr>
            <w:tcW w:w="16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  <w:insideH w:val="single" w:sz="4" w:space="0" w:color="000080"/>
              <w:insideV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  <w:t>Сумма, руб.</w:t>
            </w:r>
          </w:p>
        </w:tc>
      </w:tr>
      <w:tr>
        <w:trPr>
          <w:trHeight w:val="221" w:hRule="atLeast"/>
        </w:trPr>
        <w:tc>
          <w:tcPr>
            <w:tcW w:w="7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jc w:val="center"/>
              <w:rPr>
                <w:rFonts w:cs="Calibri"/>
                <w:b/>
                <w:b/>
                <w:bCs/>
                <w:sz w:val="24"/>
                <w:lang w:eastAsia="en-US"/>
              </w:rPr>
            </w:pPr>
            <w:r>
              <w:rPr>
                <w:rFonts w:cs="Calibri"/>
                <w:b/>
                <w:bCs/>
                <w:sz w:val="24"/>
                <w:lang w:eastAsia="en-US"/>
              </w:rPr>
              <w:t>1</w:t>
            </w:r>
          </w:p>
        </w:tc>
        <w:tc>
          <w:tcPr>
            <w:tcW w:w="1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jc w:val="center"/>
              <w:rPr>
                <w:rFonts w:cs="Calibri"/>
                <w:b/>
                <w:b/>
                <w:bCs/>
                <w:sz w:val="24"/>
                <w:lang w:eastAsia="en-US"/>
              </w:rPr>
            </w:pPr>
            <w:r>
              <w:rPr>
                <w:rFonts w:cs="Calibri"/>
                <w:b/>
                <w:bCs/>
                <w:sz w:val="24"/>
                <w:lang w:eastAsia="en-US"/>
              </w:rPr>
              <w:t>2</w:t>
            </w:r>
          </w:p>
        </w:tc>
        <w:tc>
          <w:tcPr>
            <w:tcW w:w="236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jc w:val="center"/>
              <w:rPr>
                <w:rFonts w:cs="Calibri"/>
                <w:b/>
                <w:b/>
                <w:bCs/>
                <w:sz w:val="24"/>
                <w:lang w:eastAsia="en-US"/>
              </w:rPr>
            </w:pPr>
            <w:r>
              <w:rPr>
                <w:rFonts w:cs="Calibri"/>
                <w:b/>
                <w:bCs/>
                <w:sz w:val="24"/>
                <w:lang w:eastAsia="en-US"/>
              </w:rPr>
              <w:t>3</w:t>
            </w:r>
          </w:p>
        </w:tc>
        <w:tc>
          <w:tcPr>
            <w:tcW w:w="8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jc w:val="center"/>
              <w:rPr>
                <w:rFonts w:cs="Calibri"/>
                <w:b/>
                <w:b/>
                <w:bCs/>
                <w:sz w:val="24"/>
                <w:lang w:eastAsia="en-US"/>
              </w:rPr>
            </w:pPr>
            <w:r>
              <w:rPr>
                <w:rFonts w:cs="Calibri"/>
                <w:b/>
                <w:bCs/>
                <w:sz w:val="24"/>
                <w:lang w:eastAsia="en-US"/>
              </w:rPr>
              <w:t>4</w:t>
            </w:r>
          </w:p>
        </w:tc>
        <w:tc>
          <w:tcPr>
            <w:tcW w:w="9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jc w:val="center"/>
              <w:rPr>
                <w:rFonts w:cs="Calibri"/>
                <w:b/>
                <w:b/>
                <w:bCs/>
                <w:sz w:val="24"/>
                <w:lang w:eastAsia="en-US"/>
              </w:rPr>
            </w:pPr>
            <w:r>
              <w:rPr>
                <w:rFonts w:cs="Calibri"/>
                <w:b/>
                <w:bCs/>
                <w:sz w:val="24"/>
                <w:lang w:eastAsia="en-US"/>
              </w:rPr>
              <w:t>5</w:t>
            </w:r>
          </w:p>
        </w:tc>
        <w:tc>
          <w:tcPr>
            <w:tcW w:w="123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jc w:val="center"/>
              <w:rPr>
                <w:rFonts w:cs="Calibri"/>
                <w:b/>
                <w:b/>
                <w:bCs/>
                <w:sz w:val="24"/>
                <w:lang w:eastAsia="en-US"/>
              </w:rPr>
            </w:pPr>
            <w:r>
              <w:rPr>
                <w:rFonts w:cs="Calibri"/>
                <w:b/>
                <w:bCs/>
                <w:sz w:val="24"/>
                <w:lang w:eastAsia="en-US"/>
              </w:rPr>
              <w:t>6</w:t>
            </w:r>
          </w:p>
        </w:tc>
        <w:tc>
          <w:tcPr>
            <w:tcW w:w="16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  <w:insideH w:val="single" w:sz="4" w:space="0" w:color="000080"/>
              <w:insideV w:val="single" w:sz="4" w:space="0" w:color="000080"/>
            </w:tcBorders>
            <w:shd w:fill="FFFFFF" w:val="clear"/>
            <w:vAlign w:val="bottom"/>
          </w:tcPr>
          <w:p>
            <w:pPr>
              <w:pStyle w:val="Normal"/>
              <w:suppressAutoHyphens w:val="false"/>
              <w:jc w:val="center"/>
              <w:rPr>
                <w:rFonts w:cs="Calibri"/>
                <w:b/>
                <w:b/>
                <w:bCs/>
                <w:sz w:val="24"/>
                <w:lang w:eastAsia="en-US"/>
              </w:rPr>
            </w:pPr>
            <w:r>
              <w:rPr>
                <w:rFonts w:cs="Calibri"/>
                <w:b/>
                <w:bCs/>
                <w:sz w:val="24"/>
                <w:lang w:eastAsia="en-US"/>
              </w:rPr>
              <w:t>7</w:t>
            </w:r>
          </w:p>
        </w:tc>
      </w:tr>
      <w:tr>
        <w:trPr>
          <w:trHeight w:val="1538" w:hRule="atLeast"/>
        </w:trPr>
        <w:tc>
          <w:tcPr>
            <w:tcW w:w="76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  <w:t>1</w:t>
            </w:r>
          </w:p>
        </w:tc>
        <w:tc>
          <w:tcPr>
            <w:tcW w:w="196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Style21"/>
              <w:widowControl w:val="false"/>
              <w:suppressAutoHyphens w:val="false"/>
              <w:spacing w:lineRule="auto" w:line="276" w:before="0" w:after="29"/>
              <w:jc w:val="both"/>
              <w:rPr>
                <w:b w:val="false"/>
                <w:b w:val="false"/>
                <w:bCs w:val="false"/>
                <w:color w:val="000000"/>
                <w:sz w:val="22"/>
                <w:szCs w:val="22"/>
                <w:lang w:val="en-US" w:eastAsia="ru-RU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  <w:lang w:val="en-US" w:eastAsia="ru-RU"/>
              </w:rPr>
              <w:t xml:space="preserve">Кресло </w:t>
            </w:r>
          </w:p>
        </w:tc>
        <w:tc>
          <w:tcPr>
            <w:tcW w:w="236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uppressAutoHyphens w:val="false"/>
              <w:spacing w:lineRule="auto" w:line="276" w:before="0" w:after="20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8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23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0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  <w:insideH w:val="single" w:sz="4" w:space="0" w:color="000080"/>
              <w:insideV w:val="single" w:sz="4" w:space="0" w:color="000080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49" w:hRule="atLeast"/>
        </w:trPr>
        <w:tc>
          <w:tcPr>
            <w:tcW w:w="763" w:type="dxa"/>
            <w:tcBorders>
              <w:top w:val="single" w:sz="4" w:space="0" w:color="000080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</w:r>
          </w:p>
        </w:tc>
        <w:tc>
          <w:tcPr>
            <w:tcW w:w="7366" w:type="dxa"/>
            <w:gridSpan w:val="5"/>
            <w:tcBorders>
              <w:top w:val="single" w:sz="4" w:space="0" w:color="000080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suppressAutoHyphens w:val="false"/>
              <w:jc w:val="right"/>
              <w:rPr>
                <w:rFonts w:cs="Calibri"/>
                <w:b/>
                <w:b/>
                <w:bCs/>
                <w:color w:val="000000"/>
                <w:sz w:val="24"/>
                <w:lang w:eastAsia="en-US"/>
              </w:rPr>
            </w:pPr>
            <w:r>
              <w:rPr>
                <w:rFonts w:cs="Calibri"/>
                <w:b/>
                <w:bCs/>
                <w:color w:val="000000"/>
                <w:sz w:val="24"/>
                <w:lang w:eastAsia="en-US"/>
              </w:rPr>
              <w:t>Итого:</w:t>
            </w:r>
          </w:p>
          <w:p>
            <w:pPr>
              <w:pStyle w:val="Normal"/>
              <w:suppressAutoHyphens w:val="false"/>
              <w:jc w:val="right"/>
              <w:rPr>
                <w:rFonts w:cs="Calibri"/>
                <w:b/>
                <w:b/>
                <w:bCs/>
                <w:color w:val="000000"/>
                <w:sz w:val="24"/>
                <w:lang w:eastAsia="en-US"/>
              </w:rPr>
            </w:pPr>
            <w:r>
              <w:rPr>
                <w:rFonts w:cs="Calibri"/>
                <w:b/>
                <w:bCs/>
                <w:color w:val="000000"/>
                <w:sz w:val="24"/>
                <w:lang w:eastAsia="en-US"/>
              </w:rPr>
              <w:t>в т.ч. НДС      %</w:t>
            </w:r>
          </w:p>
        </w:tc>
        <w:tc>
          <w:tcPr>
            <w:tcW w:w="1601" w:type="dxa"/>
            <w:tcBorders>
              <w:top w:val="single" w:sz="4" w:space="0" w:color="000080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b/>
                <w:b/>
                <w:sz w:val="24"/>
                <w:lang w:eastAsia="en-US"/>
              </w:rPr>
            </w:pPr>
            <w:r>
              <w:rPr>
                <w:rFonts w:cs="Calibri"/>
                <w:b/>
                <w:sz w:val="24"/>
                <w:lang w:eastAsia="en-US"/>
              </w:rPr>
            </w:r>
          </w:p>
        </w:tc>
      </w:tr>
    </w:tbl>
    <w:p>
      <w:pPr>
        <w:pStyle w:val="Normal"/>
        <w:tabs>
          <w:tab w:val="left" w:pos="2410" w:leader="none"/>
        </w:tabs>
        <w:suppressAutoHyphens w:val="false"/>
        <w:jc w:val="right"/>
        <w:rPr>
          <w:rFonts w:cs="Calibri"/>
          <w:sz w:val="24"/>
          <w:lang w:eastAsia="en-US"/>
        </w:rPr>
      </w:pPr>
      <w:r>
        <w:rPr>
          <w:rFonts w:cs="Calibri"/>
          <w:sz w:val="24"/>
          <w:lang w:eastAsia="en-US"/>
        </w:rPr>
      </w:r>
    </w:p>
    <w:p>
      <w:pPr>
        <w:pStyle w:val="Normal"/>
        <w:ind w:left="-709" w:right="0" w:firstLine="709"/>
        <w:jc w:val="both"/>
        <w:rPr>
          <w:sz w:val="24"/>
        </w:rPr>
      </w:pPr>
      <w:r>
        <w:rPr>
          <w:sz w:val="24"/>
        </w:rPr>
        <w:t>Цена настоящего контракта составляет ______ (______) рублей 00 копеек, в т.ч. НДС __%.</w:t>
      </w:r>
    </w:p>
    <w:p>
      <w:pPr>
        <w:pStyle w:val="Normal"/>
        <w:tabs>
          <w:tab w:val="left" w:pos="2410" w:leader="none"/>
        </w:tabs>
        <w:suppressAutoHyphens w:val="false"/>
        <w:jc w:val="both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both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both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both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both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tbl>
      <w:tblPr>
        <w:tblW w:w="10030" w:type="dxa"/>
        <w:jc w:val="left"/>
        <w:tblInd w:w="-216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2"/>
        <w:gridCol w:w="4528"/>
        <w:gridCol w:w="460"/>
      </w:tblGrid>
      <w:tr>
        <w:trPr/>
        <w:tc>
          <w:tcPr>
            <w:tcW w:w="5042" w:type="dxa"/>
            <w:tcBorders/>
            <w:shd w:fill="FFFFFF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>__________________/</w:t>
            </w:r>
            <w:r>
              <w:rPr>
                <w:b/>
                <w:sz w:val="21"/>
                <w:szCs w:val="21"/>
              </w:rPr>
              <w:t xml:space="preserve">                                  </w:t>
            </w:r>
            <w:r>
              <w:rPr>
                <w:sz w:val="22"/>
                <w:szCs w:val="22"/>
              </w:rPr>
              <w:t>/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528" w:type="dxa"/>
            <w:tcBorders/>
            <w:shd w:fill="FFFFFF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</w:t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Директор</w:t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__________________/</w:t>
            </w:r>
            <w:r>
              <w:rPr>
                <w:b/>
                <w:sz w:val="21"/>
                <w:szCs w:val="21"/>
              </w:rPr>
              <w:t xml:space="preserve">                           </w:t>
            </w:r>
            <w:r>
              <w:rPr>
                <w:sz w:val="22"/>
                <w:szCs w:val="22"/>
              </w:rPr>
              <w:t>/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0" w:type="dxa"/>
            <w:tcBorders/>
            <w:shd w:fill="FFFFFF" w:val="clear"/>
          </w:tcPr>
          <w:p>
            <w:pPr>
              <w:pStyle w:val="ConsPlusNormal1"/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left" w:pos="2410" w:leader="none"/>
        </w:tabs>
        <w:suppressAutoHyphens w:val="false"/>
        <w:jc w:val="both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right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center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center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  <w:t>Приложение № 3</w:t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к Государственному контракту</w:t>
      </w:r>
    </w:p>
    <w:p>
      <w:pPr>
        <w:pStyle w:val="Normal"/>
        <w:ind w:left="4678" w:right="0" w:hanging="0"/>
        <w:jc w:val="right"/>
        <w:rPr>
          <w:sz w:val="24"/>
        </w:rPr>
      </w:pPr>
      <w:r>
        <w:rPr>
          <w:sz w:val="24"/>
        </w:rPr>
        <w:t xml:space="preserve">от ________года  № _________ </w:t>
      </w:r>
    </w:p>
    <w:p>
      <w:pPr>
        <w:pStyle w:val="Normal"/>
        <w:tabs>
          <w:tab w:val="left" w:pos="2410" w:leader="none"/>
        </w:tabs>
        <w:suppressAutoHyphens w:val="false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center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  <w:t>Акт</w:t>
      </w:r>
    </w:p>
    <w:p>
      <w:pPr>
        <w:pStyle w:val="Normal"/>
        <w:tabs>
          <w:tab w:val="left" w:pos="2410" w:leader="none"/>
        </w:tabs>
        <w:suppressAutoHyphens w:val="false"/>
        <w:jc w:val="center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  <w:t>приема-передачи товара</w:t>
      </w:r>
    </w:p>
    <w:p>
      <w:pPr>
        <w:pStyle w:val="Normal"/>
        <w:tabs>
          <w:tab w:val="left" w:pos="2410" w:leader="none"/>
        </w:tabs>
        <w:suppressAutoHyphens w:val="false"/>
        <w:jc w:val="center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p>
      <w:pPr>
        <w:pStyle w:val="Normal"/>
        <w:tabs>
          <w:tab w:val="left" w:pos="2410" w:leader="none"/>
        </w:tabs>
        <w:suppressAutoHyphens w:val="false"/>
        <w:jc w:val="right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  <w:t>«___» _____________2026 г.</w:t>
      </w:r>
    </w:p>
    <w:p>
      <w:pPr>
        <w:pStyle w:val="Normal"/>
        <w:suppressAutoHyphens w:val="false"/>
        <w:rPr>
          <w:rFonts w:cs="Calibri"/>
          <w:sz w:val="24"/>
          <w:lang w:eastAsia="en-US"/>
        </w:rPr>
      </w:pPr>
      <w:r>
        <w:rPr>
          <w:rFonts w:cs="Calibri"/>
          <w:sz w:val="24"/>
          <w:lang w:eastAsia="en-US"/>
        </w:rPr>
      </w:r>
    </w:p>
    <w:p>
      <w:pPr>
        <w:pStyle w:val="Normal"/>
        <w:suppressAutoHyphens w:val="false"/>
        <w:spacing w:before="0" w:after="120"/>
        <w:ind w:left="0" w:right="0" w:firstLine="424"/>
        <w:jc w:val="both"/>
        <w:rPr/>
      </w:pPr>
      <w:r>
        <w:rPr>
          <w:rFonts w:cs="Calibri"/>
          <w:b/>
          <w:bCs/>
          <w:sz w:val="24"/>
          <w:lang w:eastAsia="ru-RU"/>
        </w:rPr>
        <w:t>Управление Федеральной службы судебных приставов по Костромской области (УФССП России по Костромской области)</w:t>
      </w:r>
      <w:r>
        <w:rPr>
          <w:rFonts w:cs="Calibri"/>
          <w:b/>
          <w:bCs/>
          <w:sz w:val="24"/>
          <w:lang w:eastAsia="en-US"/>
        </w:rPr>
        <w:t>,</w:t>
      </w:r>
      <w:r>
        <w:rPr>
          <w:rFonts w:cs="Calibri"/>
          <w:sz w:val="24"/>
        </w:rPr>
        <w:t xml:space="preserve"> именуемый в дальнейшем «Заказчик», в лице ____________________________</w:t>
      </w:r>
      <w:r>
        <w:rPr>
          <w:color w:val="000000"/>
          <w:sz w:val="24"/>
        </w:rPr>
        <w:t xml:space="preserve">, действующего на основании ______________________, </w:t>
      </w:r>
      <w:r>
        <w:rPr>
          <w:rFonts w:cs="Calibri"/>
          <w:sz w:val="24"/>
        </w:rPr>
        <w:t xml:space="preserve">с одной стороны и ______, именуемое в дальнейшем «Поставщик», в лице Директора __________, действующего на основании Устава, составили настоящий Акт приема-передачи товара о том, что согласно Государственного контракта № </w:t>
      </w:r>
      <w:r>
        <w:rPr>
          <w:rFonts w:cs="Calibri"/>
          <w:b/>
          <w:bCs/>
          <w:color w:val="000000"/>
          <w:sz w:val="24"/>
        </w:rPr>
        <w:t xml:space="preserve"> </w:t>
      </w:r>
      <w:r>
        <w:rPr>
          <w:rFonts w:cs="Calibri"/>
          <w:sz w:val="24"/>
        </w:rPr>
        <w:t xml:space="preserve">от «____»   _________ 2026 г. Поставщик поставил, а Заказчик принял товар. </w:t>
      </w:r>
    </w:p>
    <w:p>
      <w:pPr>
        <w:pStyle w:val="Normal"/>
        <w:suppressAutoHyphens w:val="false"/>
        <w:ind w:left="0" w:right="0" w:firstLine="424"/>
        <w:jc w:val="both"/>
        <w:rPr/>
      </w:pPr>
      <w:r>
        <w:rPr>
          <w:rFonts w:cs="Calibri"/>
          <w:sz w:val="24"/>
        </w:rPr>
        <w:t xml:space="preserve">1. </w:t>
      </w:r>
      <w:r>
        <w:rPr>
          <w:rFonts w:cs="Calibri"/>
          <w:sz w:val="24"/>
          <w:lang w:eastAsia="en-US"/>
        </w:rPr>
        <w:t xml:space="preserve">Для проверки предоставленных Поставщиком результатов, предусмотренных контрактом, в части их соответствия условиям контракта Заказчик провел экспертизу своими силами. </w:t>
      </w:r>
    </w:p>
    <w:p>
      <w:pPr>
        <w:pStyle w:val="Normal"/>
        <w:suppressAutoHyphens w:val="false"/>
        <w:ind w:left="0" w:right="0" w:firstLine="424"/>
        <w:jc w:val="both"/>
        <w:rPr>
          <w:rFonts w:cs="Calibri"/>
          <w:sz w:val="24"/>
          <w:lang w:eastAsia="en-US"/>
        </w:rPr>
      </w:pPr>
      <w:r>
        <w:rPr>
          <w:rFonts w:cs="Calibri"/>
          <w:sz w:val="24"/>
          <w:lang w:eastAsia="en-US"/>
        </w:rPr>
        <w:t>__________________________________________________________________________</w:t>
      </w:r>
    </w:p>
    <w:p>
      <w:pPr>
        <w:pStyle w:val="Normal"/>
        <w:suppressAutoHyphens w:val="false"/>
        <w:ind w:left="0" w:right="0" w:firstLine="424"/>
        <w:jc w:val="both"/>
        <w:rPr>
          <w:rFonts w:cs="Calibri"/>
          <w:sz w:val="16"/>
          <w:szCs w:val="16"/>
          <w:lang w:eastAsia="en-US"/>
        </w:rPr>
      </w:pPr>
      <w:r>
        <w:rPr>
          <w:rFonts w:cs="Calibri"/>
          <w:sz w:val="16"/>
          <w:szCs w:val="16"/>
          <w:lang w:eastAsia="en-US"/>
        </w:rPr>
      </w:r>
    </w:p>
    <w:p>
      <w:pPr>
        <w:pStyle w:val="Normal"/>
        <w:suppressAutoHyphens w:val="false"/>
        <w:ind w:left="0" w:right="0" w:firstLine="424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2. Товар по контракту поставлен полностью, в срок и с надлежащим качеством, взаимных претензий Стороны не имеют за поставленный товар </w:t>
      </w:r>
    </w:p>
    <w:p>
      <w:pPr>
        <w:pStyle w:val="Normal"/>
        <w:suppressAutoHyphens w:val="false"/>
        <w:ind w:left="0" w:right="0" w:firstLine="426"/>
        <w:jc w:val="both"/>
        <w:rPr>
          <w:rFonts w:cs="Calibri"/>
          <w:sz w:val="24"/>
        </w:rPr>
      </w:pPr>
      <w:r>
        <w:rPr>
          <w:rFonts w:cs="Calibri"/>
          <w:sz w:val="24"/>
        </w:rPr>
        <w:t>3. Настоящий Акт составлен в 2 (двух) экземплярах, имеющих одинаковую юридическую силу, по одному для каждой из сторон.</w:t>
      </w:r>
    </w:p>
    <w:p>
      <w:pPr>
        <w:pStyle w:val="Normal"/>
        <w:suppressAutoHyphens w:val="false"/>
        <w:ind w:left="0" w:right="0" w:firstLine="709"/>
        <w:jc w:val="center"/>
        <w:rPr>
          <w:rFonts w:cs="Calibri"/>
          <w:b/>
          <w:b/>
          <w:sz w:val="24"/>
          <w:lang w:eastAsia="en-US"/>
        </w:rPr>
      </w:pPr>
      <w:r>
        <w:rPr>
          <w:rFonts w:cs="Calibri"/>
          <w:b/>
          <w:sz w:val="24"/>
          <w:lang w:eastAsia="en-US"/>
        </w:rPr>
      </w:r>
    </w:p>
    <w:tbl>
      <w:tblPr>
        <w:tblW w:w="9826" w:type="dxa"/>
        <w:jc w:val="center"/>
        <w:tblInd w:w="0" w:type="dxa"/>
        <w:tblBorders>
          <w:top w:val="single" w:sz="2" w:space="0" w:color="000001"/>
          <w:left w:val="single" w:sz="2" w:space="0" w:color="000001"/>
          <w:bottom w:val="single" w:sz="4" w:space="0" w:color="00000A"/>
          <w:insideH w:val="single" w:sz="4" w:space="0" w:color="00000A"/>
        </w:tblBorders>
        <w:tblCellMar>
          <w:top w:w="0" w:type="dxa"/>
          <w:left w:w="-2" w:type="dxa"/>
          <w:bottom w:w="0" w:type="dxa"/>
          <w:right w:w="0" w:type="dxa"/>
        </w:tblCellMar>
      </w:tblPr>
      <w:tblGrid>
        <w:gridCol w:w="456"/>
        <w:gridCol w:w="4457"/>
        <w:gridCol w:w="914"/>
        <w:gridCol w:w="1019"/>
        <w:gridCol w:w="1442"/>
        <w:gridCol w:w="1454"/>
        <w:gridCol w:w="39"/>
        <w:gridCol w:w="45"/>
      </w:tblGrid>
      <w:tr>
        <w:trPr/>
        <w:tc>
          <w:tcPr>
            <w:tcW w:w="456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E6E6E6" w:val="clear"/>
            <w:vAlign w:val="center"/>
          </w:tcPr>
          <w:p>
            <w:pPr>
              <w:pStyle w:val="Normal"/>
              <w:suppressLineNumbers/>
              <w:suppressAutoHyphens w:val="false"/>
              <w:jc w:val="center"/>
              <w:rPr>
                <w:b/>
                <w:b/>
                <w:sz w:val="24"/>
                <w:lang w:eastAsia="ru-RU"/>
              </w:rPr>
            </w:pPr>
            <w:r>
              <w:rPr>
                <w:b/>
                <w:sz w:val="24"/>
                <w:lang w:eastAsia="ru-RU"/>
              </w:rPr>
              <w:t>№</w:t>
            </w:r>
          </w:p>
          <w:p>
            <w:pPr>
              <w:pStyle w:val="Normal"/>
              <w:suppressLineNumbers/>
              <w:suppressAutoHyphens w:val="false"/>
              <w:jc w:val="center"/>
              <w:rPr>
                <w:rFonts w:eastAsia="Calibri"/>
                <w:b/>
                <w:b/>
                <w:sz w:val="24"/>
                <w:lang w:eastAsia="ru-RU"/>
              </w:rPr>
            </w:pPr>
            <w:r>
              <w:rPr>
                <w:rFonts w:eastAsia="Calibri"/>
                <w:b/>
                <w:sz w:val="24"/>
                <w:lang w:eastAsia="ru-RU"/>
              </w:rPr>
              <w:t>п/п</w:t>
            </w:r>
          </w:p>
        </w:tc>
        <w:tc>
          <w:tcPr>
            <w:tcW w:w="4457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E6E6E6" w:val="clear"/>
            <w:vAlign w:val="center"/>
          </w:tcPr>
          <w:p>
            <w:pPr>
              <w:pStyle w:val="Normal"/>
              <w:suppressLineNumbers/>
              <w:suppressAutoHyphens w:val="false"/>
              <w:jc w:val="center"/>
              <w:rPr>
                <w:rFonts w:eastAsia="Calibri"/>
                <w:b/>
                <w:b/>
                <w:sz w:val="24"/>
                <w:lang w:eastAsia="ru-RU"/>
              </w:rPr>
            </w:pPr>
            <w:r>
              <w:rPr>
                <w:rFonts w:eastAsia="Calibri"/>
                <w:b/>
                <w:sz w:val="24"/>
                <w:lang w:eastAsia="ru-RU"/>
              </w:rPr>
              <w:t>Наименование товара</w:t>
            </w:r>
          </w:p>
        </w:tc>
        <w:tc>
          <w:tcPr>
            <w:tcW w:w="914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E6E6E6" w:val="clear"/>
            <w:vAlign w:val="center"/>
          </w:tcPr>
          <w:p>
            <w:pPr>
              <w:pStyle w:val="Normal"/>
              <w:suppressLineNumbers/>
              <w:suppressAutoHyphens w:val="false"/>
              <w:jc w:val="center"/>
              <w:rPr>
                <w:rFonts w:eastAsia="Calibri"/>
                <w:b/>
                <w:b/>
                <w:sz w:val="24"/>
                <w:lang w:eastAsia="ru-RU"/>
              </w:rPr>
            </w:pPr>
            <w:r>
              <w:rPr>
                <w:rFonts w:eastAsia="Calibri"/>
                <w:b/>
                <w:sz w:val="24"/>
                <w:lang w:eastAsia="ru-RU"/>
              </w:rPr>
              <w:t>Ед. изм.</w:t>
            </w:r>
          </w:p>
        </w:tc>
        <w:tc>
          <w:tcPr>
            <w:tcW w:w="1019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E6E6E6" w:val="clear"/>
            <w:vAlign w:val="center"/>
          </w:tcPr>
          <w:p>
            <w:pPr>
              <w:pStyle w:val="Normal"/>
              <w:suppressLineNumbers/>
              <w:suppressAutoHyphens w:val="false"/>
              <w:jc w:val="center"/>
              <w:rPr>
                <w:rFonts w:eastAsia="Calibri"/>
                <w:b/>
                <w:b/>
                <w:sz w:val="24"/>
                <w:lang w:eastAsia="ru-RU"/>
              </w:rPr>
            </w:pPr>
            <w:r>
              <w:rPr>
                <w:rFonts w:eastAsia="Calibri"/>
                <w:b/>
                <w:sz w:val="24"/>
                <w:lang w:eastAsia="ru-RU"/>
              </w:rPr>
              <w:t>Кол-во</w:t>
            </w:r>
          </w:p>
        </w:tc>
        <w:tc>
          <w:tcPr>
            <w:tcW w:w="144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E6E6E6" w:val="clear"/>
            <w:vAlign w:val="center"/>
          </w:tcPr>
          <w:p>
            <w:pPr>
              <w:pStyle w:val="Normal"/>
              <w:suppressLineNumbers/>
              <w:suppressAutoHyphens w:val="false"/>
              <w:jc w:val="center"/>
              <w:rPr>
                <w:rFonts w:eastAsia="Calibri"/>
                <w:b/>
                <w:b/>
                <w:sz w:val="24"/>
                <w:lang w:eastAsia="ru-RU"/>
              </w:rPr>
            </w:pPr>
            <w:r>
              <w:rPr>
                <w:rFonts w:eastAsia="Calibri"/>
                <w:b/>
                <w:sz w:val="24"/>
                <w:lang w:eastAsia="ru-RU"/>
              </w:rPr>
              <w:t>Цена за единицу (руб.)</w:t>
            </w:r>
          </w:p>
        </w:tc>
        <w:tc>
          <w:tcPr>
            <w:tcW w:w="1454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E6E6E6" w:val="clear"/>
          </w:tcPr>
          <w:p>
            <w:pPr>
              <w:pStyle w:val="Normal"/>
              <w:suppressLineNumbers/>
              <w:suppressAutoHyphens w:val="false"/>
              <w:jc w:val="center"/>
              <w:rPr>
                <w:rFonts w:eastAsia="Calibri"/>
                <w:b/>
                <w:b/>
                <w:sz w:val="24"/>
                <w:lang w:eastAsia="ru-RU"/>
              </w:rPr>
            </w:pPr>
            <w:r>
              <w:rPr>
                <w:rFonts w:eastAsia="Calibri"/>
                <w:b/>
                <w:sz w:val="24"/>
                <w:lang w:eastAsia="ru-RU"/>
              </w:rPr>
              <w:t>Сумма (руб.)</w:t>
            </w:r>
          </w:p>
        </w:tc>
        <w:tc>
          <w:tcPr>
            <w:tcW w:w="39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rPr>
                <w:rFonts w:eastAsia="Calibri"/>
                <w:sz w:val="24"/>
                <w:lang w:eastAsia="ru-RU"/>
              </w:rPr>
            </w:pPr>
            <w:r>
              <w:rPr>
                <w:rFonts w:eastAsia="Calibri"/>
                <w:sz w:val="24"/>
                <w:lang w:eastAsia="ru-RU"/>
              </w:rPr>
            </w:r>
          </w:p>
        </w:tc>
        <w:tc>
          <w:tcPr>
            <w:tcW w:w="45" w:type="dxa"/>
            <w:tcBorders>
              <w:top w:val="single" w:sz="2" w:space="0" w:color="000001"/>
              <w:bottom w:val="single" w:sz="4" w:space="0" w:color="00000A"/>
              <w:insideH w:val="single" w:sz="4" w:space="0" w:color="00000A"/>
            </w:tcBorders>
            <w:shd w:fill="FFFFFF" w:val="clear"/>
          </w:tcPr>
          <w:p>
            <w:pPr>
              <w:pStyle w:val="Normal"/>
              <w:rPr>
                <w:rFonts w:eastAsia="Calibri"/>
                <w:sz w:val="24"/>
                <w:lang w:eastAsia="ru-RU"/>
              </w:rPr>
            </w:pPr>
            <w:r>
              <w:rPr>
                <w:rFonts w:eastAsia="Calibri"/>
                <w:sz w:val="24"/>
                <w:lang w:eastAsia="ru-RU"/>
              </w:rPr>
            </w:r>
          </w:p>
        </w:tc>
      </w:tr>
      <w:tr>
        <w:trPr>
          <w:trHeight w:val="440" w:hRule="atLeast"/>
        </w:trPr>
        <w:tc>
          <w:tcPr>
            <w:tcW w:w="4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uppressLineNumbers/>
              <w:suppressAutoHyphens w:val="false"/>
              <w:jc w:val="center"/>
              <w:rPr>
                <w:rFonts w:eastAsia="Calibri"/>
                <w:sz w:val="24"/>
                <w:lang w:eastAsia="ru-RU"/>
              </w:rPr>
            </w:pPr>
            <w:r>
              <w:rPr>
                <w:rFonts w:eastAsia="Calibri"/>
                <w:sz w:val="24"/>
                <w:lang w:eastAsia="ru-RU"/>
              </w:rPr>
              <w:t>1</w:t>
            </w:r>
          </w:p>
        </w:tc>
        <w:tc>
          <w:tcPr>
            <w:tcW w:w="44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  <w:vAlign w:val="center"/>
          </w:tcPr>
          <w:p>
            <w:pPr>
              <w:pStyle w:val="Style21"/>
              <w:widowControl w:val="false"/>
              <w:suppressAutoHyphens w:val="false"/>
              <w:bidi w:val="0"/>
              <w:spacing w:lineRule="auto" w:line="276" w:before="0" w:after="29"/>
              <w:ind w:left="-57" w:right="0" w:firstLine="227"/>
              <w:jc w:val="both"/>
              <w:rPr>
                <w:rFonts w:ascii="Times New Roman" w:hAnsi="Times New Roman"/>
                <w:sz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2"/>
                <w:lang w:val="en-US" w:eastAsia="ru-RU"/>
              </w:rPr>
              <w:t xml:space="preserve">Кресло </w:t>
            </w:r>
          </w:p>
        </w:tc>
        <w:tc>
          <w:tcPr>
            <w:tcW w:w="9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  <w:t>шт.</w:t>
            </w:r>
          </w:p>
        </w:tc>
        <w:tc>
          <w:tcPr>
            <w:tcW w:w="1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</w:r>
          </w:p>
        </w:tc>
        <w:tc>
          <w:tcPr>
            <w:tcW w:w="1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</w:r>
          </w:p>
        </w:tc>
        <w:tc>
          <w:tcPr>
            <w:tcW w:w="153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440" w:hRule="atLeast"/>
        </w:trPr>
        <w:tc>
          <w:tcPr>
            <w:tcW w:w="8288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b/>
                <w:b/>
                <w:sz w:val="24"/>
                <w:lang w:eastAsia="en-US"/>
              </w:rPr>
            </w:pPr>
            <w:r>
              <w:rPr>
                <w:rFonts w:cs="Calibri"/>
                <w:b/>
                <w:sz w:val="24"/>
                <w:lang w:eastAsia="en-US"/>
              </w:rPr>
              <w:t>Итого:</w:t>
            </w:r>
          </w:p>
        </w:tc>
        <w:tc>
          <w:tcPr>
            <w:tcW w:w="153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FFFFFF" w:val="clear"/>
            <w:vAlign w:val="center"/>
          </w:tcPr>
          <w:p>
            <w:pPr>
              <w:pStyle w:val="Normal"/>
              <w:suppressAutoHyphens w:val="false"/>
              <w:jc w:val="center"/>
              <w:rPr>
                <w:rFonts w:cs="Calibri"/>
                <w:sz w:val="24"/>
                <w:lang w:eastAsia="en-US"/>
              </w:rPr>
            </w:pPr>
            <w:r>
              <w:rPr>
                <w:rFonts w:cs="Calibri"/>
                <w:sz w:val="24"/>
                <w:lang w:eastAsia="en-US"/>
              </w:rPr>
            </w:r>
          </w:p>
        </w:tc>
      </w:tr>
    </w:tbl>
    <w:p>
      <w:pPr>
        <w:pStyle w:val="Normal"/>
        <w:rPr>
          <w:b/>
          <w:b/>
          <w:sz w:val="24"/>
        </w:rPr>
      </w:pPr>
      <w:r>
        <w:rPr>
          <w:b/>
          <w:sz w:val="24"/>
        </w:rPr>
      </w:r>
    </w:p>
    <w:p>
      <w:pPr>
        <w:pStyle w:val="Normal"/>
        <w:ind w:left="-709" w:right="0" w:firstLine="709"/>
        <w:jc w:val="both"/>
        <w:rPr>
          <w:sz w:val="24"/>
        </w:rPr>
      </w:pPr>
      <w:r>
        <w:rPr>
          <w:sz w:val="24"/>
        </w:rPr>
        <w:t>Цена настоящего контракта составляет _______ (_____) рублей 00 копеек, в т.ч. НДС __%.</w:t>
      </w:r>
    </w:p>
    <w:p>
      <w:pPr>
        <w:pStyle w:val="Normal"/>
        <w:ind w:left="-709" w:right="0" w:firstLine="709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-709" w:right="0" w:firstLine="709"/>
        <w:jc w:val="both"/>
        <w:rPr>
          <w:sz w:val="24"/>
        </w:rPr>
      </w:pPr>
      <w:r>
        <w:rPr>
          <w:sz w:val="24"/>
        </w:rPr>
      </w:r>
    </w:p>
    <w:p>
      <w:pPr>
        <w:pStyle w:val="Normal"/>
        <w:ind w:left="-709" w:right="0" w:firstLine="709"/>
        <w:jc w:val="both"/>
        <w:rPr>
          <w:sz w:val="24"/>
        </w:rPr>
      </w:pPr>
      <w:r>
        <w:rPr>
          <w:sz w:val="24"/>
        </w:rPr>
      </w:r>
    </w:p>
    <w:tbl>
      <w:tblPr>
        <w:tblW w:w="10030" w:type="dxa"/>
        <w:jc w:val="left"/>
        <w:tblInd w:w="-216" w:type="dxa"/>
        <w:tblBorders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2"/>
        <w:gridCol w:w="4528"/>
        <w:gridCol w:w="460"/>
      </w:tblGrid>
      <w:tr>
        <w:trPr/>
        <w:tc>
          <w:tcPr>
            <w:tcW w:w="5042" w:type="dxa"/>
            <w:tcBorders/>
            <w:shd w:fill="FFFFFF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>__________________/</w:t>
            </w:r>
            <w:r>
              <w:rPr>
                <w:b/>
                <w:sz w:val="21"/>
                <w:szCs w:val="21"/>
              </w:rPr>
              <w:t xml:space="preserve">                             </w:t>
            </w:r>
            <w:r>
              <w:rPr>
                <w:sz w:val="22"/>
                <w:szCs w:val="22"/>
              </w:rPr>
              <w:t>/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528" w:type="dxa"/>
            <w:tcBorders/>
            <w:shd w:fill="FFFFFF" w:val="clear"/>
          </w:tcPr>
          <w:p>
            <w:pPr>
              <w:pStyle w:val="Normal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Поставщик</w:t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Директор</w:t>
            </w:r>
          </w:p>
          <w:p>
            <w:pPr>
              <w:pStyle w:val="Normal"/>
              <w:rPr>
                <w:b/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__________________/</w:t>
            </w:r>
            <w:r>
              <w:rPr>
                <w:b/>
                <w:sz w:val="21"/>
                <w:szCs w:val="21"/>
              </w:rPr>
              <w:t xml:space="preserve">                           </w:t>
            </w:r>
            <w:r>
              <w:rPr>
                <w:sz w:val="22"/>
                <w:szCs w:val="22"/>
              </w:rPr>
              <w:t>/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0" w:type="dxa"/>
            <w:tcBorders/>
            <w:shd w:fill="FFFFFF" w:val="clear"/>
          </w:tcPr>
          <w:p>
            <w:pPr>
              <w:pStyle w:val="ConsPlusNormal1"/>
              <w:ind w:left="0" w:right="0" w:hanging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561" w:footer="0" w:bottom="1140" w:gutter="0"/>
      <w:pgNumType w:fmt="decimal"/>
      <w:formProt w:val="false"/>
      <w:textDirection w:val="lrTb"/>
      <w:docGrid w:type="default" w:linePitch="381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Tahoma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 Unicode MS">
    <w:charset w:val="cc"/>
    <w:family w:val="roman"/>
    <w:pitch w:val="variable"/>
  </w:font>
  <w:font w:name="Courier New">
    <w:charset w:val="cc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  <w:rFonts w:cs="Symbol"/>
        <w:lang w:eastAsia="ru-RU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  <w:rFonts w:cs="Symbol"/>
        <w:lang w:eastAsia="ru-RU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  <w:rFonts w:cs="Symbol"/>
        <w:lang w:eastAsia="ru-RU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8"/>
      <w:szCs w:val="24"/>
      <w:lang w:val="ru-RU" w:eastAsia="zh-CN" w:bidi="ar-SA"/>
    </w:rPr>
  </w:style>
  <w:style w:type="paragraph" w:styleId="4">
    <w:name w:val="Heading 4"/>
    <w:basedOn w:val="Style20"/>
    <w:next w:val="Style21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>
      <w:rFonts w:ascii="Symbol" w:hAnsi="Symbol" w:cs="Symbol"/>
      <w:sz w:val="24"/>
      <w:lang w:eastAsia="ru-RU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3">
    <w:name w:val="Основной текст Знак"/>
    <w:qFormat/>
    <w:rPr>
      <w:rFonts w:ascii="Times New Roman" w:hAnsi="Times New Roman" w:eastAsia="Times New Roman" w:cs="Times New Roman"/>
      <w:sz w:val="28"/>
      <w:szCs w:val="24"/>
    </w:rPr>
  </w:style>
  <w:style w:type="character" w:styleId="Style14">
    <w:name w:val="Основной текст с отступом Знак"/>
    <w:qFormat/>
    <w:rPr>
      <w:rFonts w:ascii="Times New Roman" w:hAnsi="Times New Roman" w:eastAsia="Times New Roman" w:cs="Times New Roman"/>
      <w:sz w:val="28"/>
      <w:szCs w:val="24"/>
    </w:rPr>
  </w:style>
  <w:style w:type="character" w:styleId="ConsPlusNonformat">
    <w:name w:val="ConsPlusNonformat Знак"/>
    <w:qFormat/>
    <w:rPr>
      <w:rFonts w:ascii="Courier New" w:hAnsi="Courier New" w:eastAsia="Arial" w:cs="Courier New"/>
      <w:sz w:val="20"/>
      <w:szCs w:val="20"/>
    </w:rPr>
  </w:style>
  <w:style w:type="character" w:styleId="Style15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Style16">
    <w:name w:val="Верхний колонтитул Знак"/>
    <w:qFormat/>
    <w:rPr>
      <w:rFonts w:ascii="Times New Roman" w:hAnsi="Times New Roman" w:eastAsia="Times New Roman" w:cs="Times New Roman"/>
      <w:sz w:val="28"/>
      <w:szCs w:val="24"/>
    </w:rPr>
  </w:style>
  <w:style w:type="character" w:styleId="Style17">
    <w:name w:val="Нижний колонтитул Знак"/>
    <w:qFormat/>
    <w:rPr>
      <w:rFonts w:ascii="Times New Roman" w:hAnsi="Times New Roman" w:eastAsia="Times New Roman" w:cs="Times New Roman"/>
      <w:sz w:val="28"/>
      <w:szCs w:val="24"/>
    </w:rPr>
  </w:style>
  <w:style w:type="character" w:styleId="Style18">
    <w:name w:val="Текст сноски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1">
    <w:name w:val="Текст сноски Знак1"/>
    <w:qFormat/>
    <w:rPr>
      <w:rFonts w:ascii="Times New Roman" w:hAnsi="Times New Roman" w:eastAsia="Times New Roman" w:cs="Times New Roman"/>
      <w:sz w:val="20"/>
      <w:szCs w:val="20"/>
    </w:rPr>
  </w:style>
  <w:style w:type="character" w:styleId="Footnotereference">
    <w:name w:val="footnote reference"/>
    <w:qFormat/>
    <w:rPr>
      <w:vertAlign w:val="superscript"/>
    </w:rPr>
  </w:style>
  <w:style w:type="character" w:styleId="Style19">
    <w:name w:val="Интернет-ссылка"/>
    <w:rPr>
      <w:color w:val="0000FF"/>
      <w:u w:val="single"/>
      <w:lang w:val="zxx" w:eastAsia="zxx" w:bidi="zxx"/>
    </w:rPr>
  </w:style>
  <w:style w:type="character" w:styleId="Tooltip2">
    <w:name w:val="tooltip2"/>
    <w:basedOn w:val="DefaultParagraphFont"/>
    <w:qFormat/>
    <w:rPr/>
  </w:style>
  <w:style w:type="character" w:styleId="Namelink">
    <w:name w:val="name-link"/>
    <w:basedOn w:val="DefaultParagraphFont"/>
    <w:qFormat/>
    <w:rPr/>
  </w:style>
  <w:style w:type="character" w:styleId="ConsPlusNormal">
    <w:name w:val="ConsPlusNormal Знак"/>
    <w:qFormat/>
    <w:rPr>
      <w:rFonts w:ascii="Arial" w:hAnsi="Arial" w:eastAsia="Arial" w:cs="Arial"/>
      <w:sz w:val="20"/>
      <w:szCs w:val="20"/>
    </w:rPr>
  </w:style>
  <w:style w:type="character" w:styleId="Textgreen1">
    <w:name w:val="text-green1"/>
    <w:qFormat/>
    <w:rPr>
      <w:color w:val="00AE76"/>
    </w:rPr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Symbol"/>
      <w:sz w:val="24"/>
      <w:lang w:eastAsia="ru-RU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Wingdings"/>
    </w:rPr>
  </w:style>
  <w:style w:type="paragraph" w:styleId="Style20">
    <w:name w:val="Заголовок"/>
    <w:basedOn w:val="Normal"/>
    <w:next w:val="Style21"/>
    <w:qFormat/>
    <w:pPr>
      <w:keepNext w:val="true"/>
      <w:numPr>
        <w:ilvl w:val="0"/>
        <w:numId w:val="0"/>
      </w:numPr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Style21">
    <w:name w:val="Body Text"/>
    <w:basedOn w:val="Normal"/>
    <w:pPr>
      <w:numPr>
        <w:ilvl w:val="0"/>
        <w:numId w:val="0"/>
      </w:numPr>
      <w:spacing w:before="0" w:after="120"/>
    </w:pPr>
    <w:rPr/>
  </w:style>
  <w:style w:type="paragraph" w:styleId="Style22">
    <w:name w:val="List"/>
    <w:basedOn w:val="Style21"/>
    <w:pPr>
      <w:numPr>
        <w:ilvl w:val="0"/>
        <w:numId w:val="0"/>
      </w:numPr>
    </w:pPr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Arial"/>
    </w:rPr>
  </w:style>
  <w:style w:type="paragraph" w:styleId="Caption1">
    <w:name w:val="Caption1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Mangal"/>
      <w:i/>
      <w:iCs/>
      <w:sz w:val="24"/>
    </w:rPr>
  </w:style>
  <w:style w:type="paragraph" w:styleId="Indexheading">
    <w:name w:val="index heading"/>
    <w:basedOn w:val="Normal"/>
    <w:qFormat/>
    <w:pPr>
      <w:numPr>
        <w:ilvl w:val="0"/>
        <w:numId w:val="0"/>
      </w:numPr>
      <w:suppressLineNumbers/>
    </w:pPr>
    <w:rPr>
      <w:rFonts w:cs="Mangal"/>
    </w:rPr>
  </w:style>
  <w:style w:type="paragraph" w:styleId="11">
    <w:name w:val="Заголовок1"/>
    <w:basedOn w:val="Normal"/>
    <w:qFormat/>
    <w:pPr>
      <w:keepNext w:val="true"/>
      <w:numPr>
        <w:ilvl w:val="0"/>
        <w:numId w:val="0"/>
      </w:numPr>
      <w:spacing w:before="240" w:after="120"/>
    </w:pPr>
    <w:rPr>
      <w:rFonts w:ascii="Arial" w:hAnsi="Arial" w:eastAsia="Microsoft YaHei" w:cs="Mangal"/>
      <w:szCs w:val="28"/>
    </w:rPr>
  </w:style>
  <w:style w:type="paragraph" w:styleId="Caption">
    <w:name w:val="caption"/>
    <w:basedOn w:val="Normal"/>
    <w:qFormat/>
    <w:pPr>
      <w:numPr>
        <w:ilvl w:val="0"/>
        <w:numId w:val="0"/>
      </w:numPr>
      <w:suppressLineNumbers/>
      <w:spacing w:before="120" w:after="120"/>
    </w:pPr>
    <w:rPr>
      <w:rFonts w:cs="Mangal"/>
      <w:i/>
      <w:iCs/>
      <w:sz w:val="24"/>
    </w:rPr>
  </w:style>
  <w:style w:type="paragraph" w:styleId="12">
    <w:name w:val="Указатель1"/>
    <w:basedOn w:val="Normal"/>
    <w:qFormat/>
    <w:pPr>
      <w:numPr>
        <w:ilvl w:val="0"/>
        <w:numId w:val="0"/>
      </w:numPr>
      <w:suppressLineNumbers/>
    </w:pPr>
    <w:rPr>
      <w:rFonts w:cs="Mangal"/>
    </w:rPr>
  </w:style>
  <w:style w:type="paragraph" w:styleId="ConsPlusNormal1">
    <w:name w:val="ConsPlusNormal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  <w:ind w:left="0" w:right="0" w:firstLine="720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ConsPlusNonformat1">
    <w:name w:val="ConsPlusNonformat"/>
    <w:qFormat/>
    <w:pPr>
      <w:widowControl/>
      <w:numPr>
        <w:ilvl w:val="0"/>
        <w:numId w:val="0"/>
      </w:numPr>
      <w:suppressAutoHyphens w:val="true"/>
      <w:kinsoku w:val="true"/>
      <w:overflowPunct w:val="true"/>
      <w:autoSpaceDE w:val="true"/>
      <w:bidi w:val="0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Style25">
    <w:name w:val="Body Text Indent"/>
    <w:basedOn w:val="Normal"/>
    <w:pPr>
      <w:numPr>
        <w:ilvl w:val="0"/>
        <w:numId w:val="0"/>
      </w:num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>
      <w:numPr>
        <w:ilvl w:val="0"/>
        <w:numId w:val="0"/>
      </w:numPr>
    </w:pPr>
    <w:rPr>
      <w:rFonts w:ascii="Tahoma" w:hAnsi="Tahoma" w:cs="Tahoma"/>
      <w:sz w:val="16"/>
      <w:szCs w:val="16"/>
    </w:rPr>
  </w:style>
  <w:style w:type="paragraph" w:styleId="Header1">
    <w:name w:val="Header1"/>
    <w:basedOn w:val="Normal"/>
    <w:qFormat/>
    <w:pPr>
      <w:numPr>
        <w:ilvl w:val="0"/>
        <w:numId w:val="0"/>
      </w:numPr>
      <w:suppressLineNumbers/>
      <w:tabs>
        <w:tab w:val="center" w:pos="4677" w:leader="none"/>
        <w:tab w:val="right" w:pos="9355" w:leader="none"/>
      </w:tabs>
    </w:pPr>
    <w:rPr/>
  </w:style>
  <w:style w:type="paragraph" w:styleId="Footer1">
    <w:name w:val="Footer1"/>
    <w:basedOn w:val="Normal"/>
    <w:qFormat/>
    <w:pPr>
      <w:numPr>
        <w:ilvl w:val="0"/>
        <w:numId w:val="0"/>
      </w:numPr>
      <w:suppressLineNumbers/>
      <w:tabs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qFormat/>
    <w:pPr>
      <w:numPr>
        <w:ilvl w:val="0"/>
        <w:numId w:val="0"/>
      </w:numPr>
      <w:suppressAutoHyphens w:val="false"/>
    </w:pPr>
    <w:rPr>
      <w:sz w:val="20"/>
      <w:szCs w:val="20"/>
    </w:rPr>
  </w:style>
  <w:style w:type="paragraph" w:styleId="Consnonformat">
    <w:name w:val="consnonformat"/>
    <w:basedOn w:val="Normal"/>
    <w:qFormat/>
    <w:pPr>
      <w:numPr>
        <w:ilvl w:val="0"/>
        <w:numId w:val="0"/>
      </w:numPr>
      <w:suppressAutoHyphens w:val="false"/>
      <w:spacing w:before="100" w:after="100"/>
    </w:pPr>
    <w:rPr>
      <w:rFonts w:ascii="Arial Unicode MS" w:hAnsi="Arial Unicode MS" w:eastAsia="Arial Unicode MS" w:cs="Arial Unicode MS"/>
      <w:color w:val="000000"/>
      <w:sz w:val="24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20" w:right="0" w:hanging="0"/>
    </w:pPr>
    <w:rPr/>
  </w:style>
  <w:style w:type="paragraph" w:styleId="Style26">
    <w:name w:val="Содержимое таблицы"/>
    <w:basedOn w:val="Normal"/>
    <w:qFormat/>
    <w:pPr>
      <w:numPr>
        <w:ilvl w:val="0"/>
        <w:numId w:val="0"/>
      </w:numPr>
      <w:suppressLineNumbers/>
    </w:pPr>
    <w:rPr/>
  </w:style>
  <w:style w:type="paragraph" w:styleId="Style27">
    <w:name w:val="Заголовок таблицы"/>
    <w:basedOn w:val="Style26"/>
    <w:qFormat/>
    <w:pPr>
      <w:numPr>
        <w:ilvl w:val="0"/>
        <w:numId w:val="0"/>
      </w:num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0064072.450" TargetMode="External"/><Relationship Id="rId3" Type="http://schemas.openxmlformats.org/officeDocument/2006/relationships/hyperlink" Target="garantf1://70253464.958" TargetMode="External"/><Relationship Id="rId4" Type="http://schemas.openxmlformats.org/officeDocument/2006/relationships/hyperlink" Target="mailto:mto@r44.fssp.gov.ru" TargetMode="External"/><Relationship Id="rId5" Type="http://schemas.openxmlformats.org/officeDocument/2006/relationships/hyperlink" Target="mailto:mto@r44.fssp.gov.ru" TargetMode="External"/><Relationship Id="rId6" Type="http://schemas.openxmlformats.org/officeDocument/2006/relationships/hyperlink" Target="mailto:mto@r44.fssp.gov.ru" TargetMode="External"/><Relationship Id="rId7" Type="http://schemas.openxmlformats.org/officeDocument/2006/relationships/hyperlink" Target="mailto:mto@r44.fssp.gov.ru" TargetMode="External"/><Relationship Id="rId8" Type="http://schemas.openxmlformats.org/officeDocument/2006/relationships/hyperlink" Target="mailto:mto@r44.fssp.gov.ru" TargetMode="External"/><Relationship Id="rId9" Type="http://schemas.openxmlformats.org/officeDocument/2006/relationships/hyperlink" Target="mailto:mto@r44.fssp.gov.ru" TargetMode="External"/><Relationship Id="rId10" Type="http://schemas.openxmlformats.org/officeDocument/2006/relationships/hyperlink" Target="mailto:mto@r44.fssp.gov.ru" TargetMode="External"/><Relationship Id="rId11" Type="http://schemas.openxmlformats.org/officeDocument/2006/relationships/hyperlink" Target="mailto:mto@r44.fssp.gov.ru" TargetMode="External"/><Relationship Id="rId12" Type="http://schemas.openxmlformats.org/officeDocument/2006/relationships/hyperlink" Target="mailto:mto@r44.fssp.gov.ru" TargetMode="Externa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Application>LibreOffice/6.0.4.2$Windows_X86_64 LibreOffice_project/9b0d9b32d5dcda91d2f1a96dc04c645c450872bf</Application>
  <Pages>10</Pages>
  <Words>2787</Words>
  <Characters>19872</Characters>
  <CharactersWithSpaces>22862</CharactersWithSpaces>
  <Paragraphs>238</Paragraphs>
  <Company>CtrlSoft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2026-09-15T16:43:00Z</dcterms:created>
  <dc:creator>Ванесян Эмма Сержиковна</dc:creator>
  <dc:description/>
  <dc:language>ru-RU</dc:language>
  <cp:lastModifiedBy/>
  <cp:lastPrinted>2023-05-18T07:54:00Z</cp:lastPrinted>
  <dcterms:modified xsi:type="dcterms:W3CDTF">2026-10-14T11:52:26Z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CtrlSoft</vt:lpwstr>
  </property>
  <property fmtid="{D5CDD505-2E9C-101B-9397-08002B2CF9AE}" pid="4" name="DocSecurity">
    <vt:i4>4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