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C4512B" w14:paraId="59EA091C" w14:textId="77777777" w:rsidTr="00023A82">
        <w:tblPrEx>
          <w:tblCellMar>
            <w:top w:w="0" w:type="dxa"/>
            <w:left w:w="0" w:type="dxa"/>
            <w:bottom w:w="0" w:type="dxa"/>
            <w:right w:w="0" w:type="dxa"/>
          </w:tblCellMar>
        </w:tblPrEx>
        <w:tc>
          <w:tcPr>
            <w:tcW w:w="2834" w:type="dxa"/>
            <w:tcBorders>
              <w:top w:val="nil"/>
              <w:left w:val="nil"/>
              <w:bottom w:val="nil"/>
              <w:right w:val="nil"/>
            </w:tcBorders>
          </w:tcPr>
          <w:p w14:paraId="663087C9"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p>
        </w:tc>
        <w:tc>
          <w:tcPr>
            <w:tcW w:w="4705" w:type="dxa"/>
            <w:gridSpan w:val="2"/>
            <w:tcBorders>
              <w:top w:val="nil"/>
              <w:left w:val="nil"/>
              <w:bottom w:val="nil"/>
              <w:right w:val="nil"/>
            </w:tcBorders>
          </w:tcPr>
          <w:p w14:paraId="6ED607AD" w14:textId="77777777" w:rsidR="00C4512B" w:rsidRDefault="00C4512B">
            <w:pPr>
              <w:widowControl w:val="0"/>
              <w:autoSpaceDE w:val="0"/>
              <w:autoSpaceDN w:val="0"/>
              <w:adjustRightInd w:val="0"/>
              <w:spacing w:after="0" w:line="240" w:lineRule="auto"/>
              <w:jc w:val="center"/>
              <w:rPr>
                <w:rFonts w:ascii="Times" w:hAnsi="Times" w:cs="Times"/>
                <w:b/>
                <w:bCs/>
                <w:color w:val="000000"/>
              </w:rPr>
            </w:pPr>
            <w:r>
              <w:rPr>
                <w:rFonts w:ascii="Times" w:hAnsi="Times" w:cs="Times"/>
                <w:b/>
                <w:bCs/>
                <w:color w:val="000000"/>
              </w:rPr>
              <w:t>КОНТРАКТ № </w:t>
            </w:r>
            <w:r w:rsidR="00A77AC7">
              <w:rPr>
                <w:rFonts w:ascii="Times" w:hAnsi="Times" w:cs="Times"/>
                <w:b/>
                <w:bCs/>
                <w:color w:val="000000"/>
              </w:rPr>
              <w:t>____________</w:t>
            </w:r>
          </w:p>
          <w:p w14:paraId="23F17A00"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право использования программы для ЭВМ «Контур.Экстерн» и оказание услуг по сопровождению (технической поддержке)</w:t>
            </w:r>
          </w:p>
        </w:tc>
        <w:tc>
          <w:tcPr>
            <w:tcW w:w="2835" w:type="dxa"/>
            <w:tcBorders>
              <w:top w:val="nil"/>
              <w:left w:val="nil"/>
              <w:bottom w:val="nil"/>
              <w:right w:val="nil"/>
            </w:tcBorders>
          </w:tcPr>
          <w:p w14:paraId="01E2191C" w14:textId="77777777" w:rsidR="00C4512B" w:rsidRDefault="00C4512B">
            <w:pPr>
              <w:widowControl w:val="0"/>
              <w:autoSpaceDE w:val="0"/>
              <w:autoSpaceDN w:val="0"/>
              <w:adjustRightInd w:val="0"/>
              <w:spacing w:after="0" w:line="240" w:lineRule="auto"/>
              <w:jc w:val="right"/>
              <w:rPr>
                <w:rFonts w:ascii="Times" w:hAnsi="Times" w:cs="Times"/>
                <w:color w:val="000000"/>
                <w:sz w:val="18"/>
                <w:szCs w:val="18"/>
              </w:rPr>
            </w:pPr>
          </w:p>
        </w:tc>
      </w:tr>
      <w:tr w:rsidR="00C4512B" w14:paraId="425DC047" w14:textId="77777777">
        <w:tblPrEx>
          <w:tblCellMar>
            <w:top w:w="0" w:type="dxa"/>
            <w:left w:w="0" w:type="dxa"/>
            <w:bottom w:w="0" w:type="dxa"/>
            <w:right w:w="0" w:type="dxa"/>
          </w:tblCellMar>
        </w:tblPrEx>
        <w:tc>
          <w:tcPr>
            <w:tcW w:w="5187" w:type="dxa"/>
            <w:gridSpan w:val="2"/>
            <w:tcBorders>
              <w:top w:val="nil"/>
              <w:left w:val="nil"/>
              <w:bottom w:val="nil"/>
              <w:right w:val="nil"/>
            </w:tcBorders>
          </w:tcPr>
          <w:p w14:paraId="026C4B06" w14:textId="77777777" w:rsidR="00C4512B" w:rsidRDefault="00A77AC7">
            <w:pPr>
              <w:widowControl w:val="0"/>
              <w:autoSpaceDE w:val="0"/>
              <w:autoSpaceDN w:val="0"/>
              <w:adjustRightInd w:val="0"/>
              <w:spacing w:after="0" w:line="240" w:lineRule="auto"/>
              <w:rPr>
                <w:rFonts w:ascii="Times" w:hAnsi="Times" w:cs="Times"/>
                <w:color w:val="000000"/>
                <w:sz w:val="18"/>
                <w:szCs w:val="18"/>
              </w:rPr>
            </w:pPr>
            <w:r w:rsidRPr="00A77AC7">
              <w:rPr>
                <w:rFonts w:ascii="Times" w:hAnsi="Times" w:cs="Times"/>
                <w:color w:val="000000"/>
                <w:sz w:val="18"/>
                <w:szCs w:val="18"/>
              </w:rPr>
              <w:t>____________</w:t>
            </w:r>
          </w:p>
        </w:tc>
        <w:tc>
          <w:tcPr>
            <w:tcW w:w="5187" w:type="dxa"/>
            <w:gridSpan w:val="2"/>
            <w:tcBorders>
              <w:top w:val="nil"/>
              <w:left w:val="nil"/>
              <w:bottom w:val="nil"/>
              <w:right w:val="nil"/>
            </w:tcBorders>
          </w:tcPr>
          <w:p w14:paraId="0F86D31D" w14:textId="77777777" w:rsidR="00C4512B" w:rsidRDefault="00A77AC7">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__.__.20__</w:t>
            </w:r>
          </w:p>
        </w:tc>
      </w:tr>
    </w:tbl>
    <w:p w14:paraId="21A62BE0" w14:textId="77777777" w:rsidR="00C4512B" w:rsidRDefault="00023A82">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b/>
          <w:bCs/>
          <w:color w:val="000000"/>
        </w:rPr>
        <w:t>____________</w:t>
      </w:r>
      <w:r w:rsidR="00C4512B">
        <w:rPr>
          <w:rFonts w:ascii="Times" w:hAnsi="Times" w:cs="Times"/>
          <w:color w:val="000000"/>
          <w:sz w:val="18"/>
          <w:szCs w:val="18"/>
        </w:rPr>
        <w:t xml:space="preserve">, именуемое в дальнейшем ОПЕРАТОР, в лице                                                   , действующ      на основании                                                                                                     , с одной стороны, и </w:t>
      </w:r>
      <w:r w:rsidR="00A77AC7" w:rsidRPr="00A77AC7">
        <w:rPr>
          <w:rFonts w:ascii="Times" w:hAnsi="Times" w:cs="Times"/>
          <w:color w:val="000000"/>
          <w:sz w:val="18"/>
          <w:szCs w:val="18"/>
        </w:rPr>
        <w:t>____________</w:t>
      </w:r>
      <w:r w:rsidR="00C4512B">
        <w:rPr>
          <w:rFonts w:ascii="Times" w:hAnsi="Times" w:cs="Times"/>
          <w:color w:val="000000"/>
          <w:sz w:val="18"/>
          <w:szCs w:val="18"/>
        </w:rPr>
        <w:t>, именуем     в дальнейшем АБОНЕНТ, в лице                                                   , действующ     на основании                                                                                                     , с другой стороны, совместно именуемые в дальнейшем Стороны,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заключили Контракт о нижеследующем.</w:t>
      </w:r>
    </w:p>
    <w:p w14:paraId="7EEE002C"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0B8982F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Абоненту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14:paraId="3572BFB6"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Спецификация (Приложение № 1 к Контракту) − документ, содержащий информацию о стоимости и комплекте предоставляемых Абоненту неисключительных прав использования программ для ЭВМ и оказываемых услуг/выполняемых работ.</w:t>
      </w:r>
    </w:p>
    <w:p w14:paraId="0E316B8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Лицензионный договор (Приложение № 2 к Контракту) – договор, устанавливающий порядок передачи и использования Продукта. Является офертой, не требующей подписания Сторонами, полный и безоговорочный акцепт которой Абонентом является существенным условием Контракта.</w:t>
      </w:r>
    </w:p>
    <w:p w14:paraId="18F60B2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14:paraId="3216C876"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Сублицензионный договор на использование программы для ЭВМ СКЗИ «КриптоПро CSP» (Приложение № 3 к Контракту)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Абонентом является существенным условием Контракта, если приобретаются лицензии на право использования СКЗИ.</w:t>
      </w:r>
    </w:p>
    <w:p w14:paraId="2F1522E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Тарифный план – совокупность предоставляемых Оператором неисключительных прав использования Продукта и оказываемых услуг. Состав Тарифного плана определяется Прайс-листом.</w:t>
      </w:r>
    </w:p>
    <w:p w14:paraId="58E9793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1.7. Прайс-лист − документ (неотъемлемая часть Контракта), отражающий ценовую политику Оператора и состав Тарифных планов. Действующая редакция основного Прайс-листа публикуется по адресу </w:t>
      </w:r>
      <w:r w:rsidR="00023A82">
        <w:rPr>
          <w:rFonts w:ascii="Times" w:hAnsi="Times" w:cs="Times"/>
          <w:b/>
          <w:bCs/>
          <w:color w:val="000000"/>
        </w:rPr>
        <w:t>____________</w:t>
      </w:r>
      <w:r>
        <w:rPr>
          <w:rFonts w:ascii="Times" w:hAnsi="Times" w:cs="Times"/>
          <w:color w:val="000000"/>
          <w:sz w:val="18"/>
          <w:szCs w:val="18"/>
        </w:rPr>
        <w:t>. Дополнительные Прайс-листы представляются по требованию Абонента. Оператор имеет право в одностороннем порядке вносить изменения и/или дополнения в Прайс-лист путем публикации на сайте.</w:t>
      </w:r>
    </w:p>
    <w:p w14:paraId="0FDC501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1.8. Правила по обеспечению информационной безопасности на рабочем месте − документ, составленный Оператором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Абонента, работающими с использованием СКЗИ. Актуальная редакция Правил публикуется на сайте </w:t>
      </w:r>
      <w:r w:rsidR="00023A82">
        <w:rPr>
          <w:rFonts w:ascii="Times" w:hAnsi="Times" w:cs="Times"/>
          <w:b/>
          <w:bCs/>
          <w:color w:val="000000"/>
        </w:rPr>
        <w:t>____________</w:t>
      </w:r>
      <w:r>
        <w:rPr>
          <w:rFonts w:ascii="Times" w:hAnsi="Times" w:cs="Times"/>
          <w:color w:val="000000"/>
          <w:sz w:val="18"/>
          <w:szCs w:val="18"/>
        </w:rPr>
        <w:t>. Заключением Контракта Абонент подтверждает выполнение Оператором обязанности, установленной ч. 4 ст. 18 Федерального закона Российской Федерации от 06.04.2011 № 63-ФЗ «Об электронной подписи» (далее – Закон об электронной подписи). Оператор имеет право в одностороннем порядке вносить изменения и/или дополнения в Правила путем публикации на сайте.</w:t>
      </w:r>
    </w:p>
    <w:p w14:paraId="11F9F1D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1.9. Пользовательская документация – справочный текст, размещенный по адресу </w:t>
      </w:r>
      <w:r w:rsidR="00023A82">
        <w:rPr>
          <w:rFonts w:ascii="Times" w:hAnsi="Times" w:cs="Times"/>
          <w:b/>
          <w:bCs/>
          <w:color w:val="000000"/>
        </w:rPr>
        <w:t>____________</w:t>
      </w:r>
      <w:r>
        <w:rPr>
          <w:rFonts w:ascii="Times" w:hAnsi="Times" w:cs="Times"/>
          <w:color w:val="000000"/>
          <w:sz w:val="18"/>
          <w:szCs w:val="18"/>
        </w:rPr>
        <w:t xml:space="preserve"> и описывающий порядок работы с Продуктом.</w:t>
      </w:r>
    </w:p>
    <w:p w14:paraId="3CBF199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14:paraId="0A44E1C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1.11. Оператор электронного документооборота – обязанности Оператора по отправке отчетности в различные контролирующие органы, установленные нормативными правовыми актами Российской Федерации.</w:t>
      </w:r>
    </w:p>
    <w:p w14:paraId="0F96BD8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1.12. Программный интерфейс API (Application Programming Interface) – интерфейс прикладного программирования Продукта, позволяющий провести интеграцию Продукта с информационной системой Абонента.</w:t>
      </w:r>
    </w:p>
    <w:p w14:paraId="24F0BD6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1.13. АPI-лицензия – передаваемые права использования Продукта на условиях простой (неисключительной) лицензии в формате API, предназначенные для осуществления интеграции Продукта с информационной системой Абонента. Состав API-лицензии определяется Прайс-листом.</w:t>
      </w:r>
    </w:p>
    <w:p w14:paraId="429EF37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1.14.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14:paraId="66EE9D9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1.15. Субъект персональных данных – физическое лицо, персональные данные которого Абонент обрабатывает с использованием Продукта.</w:t>
      </w:r>
    </w:p>
    <w:p w14:paraId="6B201AF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1.16. Сервисный центр – юридическое лицо или индивидуальный предприниматель, уполномоченные Оператором на основании агентского договора представлять интересы Оператора при взаимодействии с Абонентом. Список Сервисных центров публикуется на сайте </w:t>
      </w:r>
      <w:r w:rsidR="00023A82">
        <w:rPr>
          <w:rFonts w:ascii="Times" w:hAnsi="Times" w:cs="Times"/>
          <w:b/>
          <w:bCs/>
          <w:color w:val="000000"/>
        </w:rPr>
        <w:t>____________</w:t>
      </w:r>
      <w:r>
        <w:rPr>
          <w:rFonts w:ascii="Times" w:hAnsi="Times" w:cs="Times"/>
          <w:color w:val="000000"/>
          <w:sz w:val="18"/>
          <w:szCs w:val="18"/>
        </w:rPr>
        <w:t>. Принимая условия Контракта, Абонент гарантирует наличие согласия субъектов персональных данных – уполномоченных лиц Абонента, контактные данные (ФИО, номер телефона, адрес электронной почты) которых передаются Абонентом Оператору в целях исполнения Контракта, на обработку принадлежащих им персональных данных, в том числе на передачу персональных данных Оператору и Сервисным центрам.</w:t>
      </w:r>
    </w:p>
    <w:p w14:paraId="49B68A22"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КОНТРАКТА</w:t>
      </w:r>
    </w:p>
    <w:p w14:paraId="7ADE1A7B"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Оператор обязуется предоставить Абоненту простую (неисключительную) лицензию на право использования Продукта в пределах, предусмотренных Контрактом, и оказать услуги по сопровождению Продукта (технической поддержке в виде абонентского обслуживания). Абонент обязуется принять и оплатить предоставленные неисключительные имущественные права и оказанные услуги в порядке, установленном Контрактом.</w:t>
      </w:r>
    </w:p>
    <w:p w14:paraId="35AAE29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Передача права использования Продукта осуществляется на условиях Лицензионного договора на срок, установленный выбранным Тарифным планом.</w:t>
      </w:r>
    </w:p>
    <w:p w14:paraId="77C4534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2.3. Если Абоненту требуется СКЗИ, то Оператор обязуется возмездно передать простые (неисключительные) лицензии на право использования СКЗИ на условиях Сублицензионного договора на срок, установленный выбранным Тарифным планом.</w:t>
      </w:r>
    </w:p>
    <w:p w14:paraId="41BCF95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2.4. При необходимости Абоненту могут быть возмездно предоставлены лицензии на иное программное обеспечение, оказаны иные услуги, выполнены работы, предусмотренные Прайс-листом Оператора.</w:t>
      </w:r>
    </w:p>
    <w:p w14:paraId="09B600A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2.5. Оператор либо Сервисный центр могут дополнительно возмездно оказать Абоненту услуги по установке и настройке программных компонентов, необходимых для получения доступа к Продукту и/или СКЗИ на рабочем месте Абонента, обучению специалистов Абонента работе в Продукте.</w:t>
      </w:r>
    </w:p>
    <w:p w14:paraId="2642F6A8"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ПОРЯДОК ИСПОЛНЕНИЯ ОБЯЗАТЕЛЬСТВ ОПЕРАТОРОМ</w:t>
      </w:r>
    </w:p>
    <w:p w14:paraId="71FD6086"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 В течение 5 (пяти) календарных дней после </w:t>
      </w:r>
      <w:r w:rsidR="009D20AB">
        <w:rPr>
          <w:rFonts w:ascii="Times" w:hAnsi="Times" w:cs="Times"/>
          <w:color w:val="000000"/>
          <w:sz w:val="18"/>
          <w:szCs w:val="18"/>
        </w:rPr>
        <w:t>заключения</w:t>
      </w:r>
      <w:r>
        <w:rPr>
          <w:rFonts w:ascii="Times" w:hAnsi="Times" w:cs="Times"/>
          <w:color w:val="000000"/>
          <w:sz w:val="18"/>
          <w:szCs w:val="18"/>
        </w:rPr>
        <w:t xml:space="preserve"> Контракта Оператор предоставляет Абоненту право использования Продукта путем:</w:t>
      </w:r>
    </w:p>
    <w:p w14:paraId="206CD83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3.1.1. открытия доступа к веб-версии Продукта. Реализация Абонентом доступа к Продукту осуществляется путем установки и настройки необходимых для функционирования Продукта дистрибутивов программных компонентов согласно инструкции на сайте </w:t>
      </w:r>
      <w:r w:rsidR="00023A82">
        <w:rPr>
          <w:rFonts w:ascii="Times" w:hAnsi="Times" w:cs="Times"/>
          <w:b/>
          <w:bCs/>
          <w:color w:val="000000"/>
        </w:rPr>
        <w:t>____________</w:t>
      </w:r>
      <w:r>
        <w:rPr>
          <w:rFonts w:ascii="Times" w:hAnsi="Times" w:cs="Times"/>
          <w:color w:val="000000"/>
          <w:sz w:val="18"/>
          <w:szCs w:val="18"/>
        </w:rPr>
        <w:t>;</w:t>
      </w:r>
    </w:p>
    <w:p w14:paraId="0AAE654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3.1.2. предоставления возможности Абоненту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 </w:t>
      </w:r>
      <w:r w:rsidR="00023A82">
        <w:rPr>
          <w:rFonts w:ascii="Times" w:hAnsi="Times" w:cs="Times"/>
          <w:b/>
          <w:bCs/>
          <w:color w:val="000000"/>
        </w:rPr>
        <w:t>____________</w:t>
      </w:r>
      <w:r>
        <w:rPr>
          <w:rFonts w:ascii="Times" w:hAnsi="Times" w:cs="Times"/>
          <w:color w:val="000000"/>
          <w:sz w:val="18"/>
          <w:szCs w:val="18"/>
        </w:rPr>
        <w:t>;</w:t>
      </w:r>
    </w:p>
    <w:p w14:paraId="5F71403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3.1.3. предоставления Абоненту Ключа разработчика для интеграции Продукта с информационными системами при помощи API.</w:t>
      </w:r>
    </w:p>
    <w:p w14:paraId="16B8965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Необходимым условием использования Продукта является наличие у Абонента:</w:t>
      </w:r>
    </w:p>
    <w:p w14:paraId="426CF2E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3.2.1. подключения к сети Интернет;</w:t>
      </w:r>
    </w:p>
    <w:p w14:paraId="68AE891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3.2.2. учетной записи на сервере Оператора;</w:t>
      </w:r>
    </w:p>
    <w:p w14:paraId="0ACD172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3.2.3. действующего Сертификата;</w:t>
      </w:r>
    </w:p>
    <w:p w14:paraId="78FE4C6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3.2.4. СКЗИ.</w:t>
      </w:r>
    </w:p>
    <w:p w14:paraId="4EC5A9F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Передача права использования Продукта осуществляется в момент открытия доступа Абоненту к серверу Продукта.</w:t>
      </w:r>
    </w:p>
    <w:p w14:paraId="10172CF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3.4. Техническая поддержка Продукта и СКЗИ осуществляется с момента открытия доступа к Продукту и до окончания срока действия выбранного Абонентом Тарифного плана в круглосуточном ежедневном режиме в виде абонентского обслуживания путем телефонных консультаций в Федеральном контакт-центре Оператора по телефону </w:t>
      </w:r>
      <w:r w:rsidR="00023A82">
        <w:rPr>
          <w:rFonts w:ascii="Times" w:hAnsi="Times" w:cs="Times"/>
          <w:b/>
          <w:bCs/>
          <w:color w:val="000000"/>
        </w:rPr>
        <w:t>____________</w:t>
      </w:r>
      <w:r>
        <w:rPr>
          <w:rFonts w:ascii="Times" w:hAnsi="Times" w:cs="Times"/>
          <w:color w:val="000000"/>
          <w:sz w:val="18"/>
          <w:szCs w:val="18"/>
        </w:rPr>
        <w:t xml:space="preserve"> без ограничения по времени и количеству обращений.</w:t>
      </w:r>
    </w:p>
    <w:p w14:paraId="6424182D"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ПРАВА И ОБЯЗАННОСТИ СТОРОН</w:t>
      </w:r>
    </w:p>
    <w:p w14:paraId="57C0758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Обязанности Оператора:</w:t>
      </w:r>
    </w:p>
    <w:p w14:paraId="0D6892B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соответствие Продукта заявленной функциональности, описанной в Пользовательской документации;</w:t>
      </w:r>
    </w:p>
    <w:p w14:paraId="7FD0F01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период с 1 по 10 число месяца, преимущественно в ночное время, с извещением Абонента о проводимых работах путем размещения информации в Продукте;</w:t>
      </w:r>
    </w:p>
    <w:p w14:paraId="0D98518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4.1.3. воздержание от каких-либо действий, способных воспрепятствовать нормальному использованию Абонентом Продукта;</w:t>
      </w:r>
    </w:p>
    <w:p w14:paraId="277C0BC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своевременное обновление программного обеспечения на сервере;</w:t>
      </w:r>
    </w:p>
    <w:p w14:paraId="5CDD589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защита информации, обрабатываемой на сервере Оператора, от несанкционированного доступа;</w:t>
      </w:r>
    </w:p>
    <w:p w14:paraId="329C7DA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4.1.6. наличие всех необходимых лицензий для исполнения обязательств по Контракту. Место публикации лицензий Оператора </w:t>
      </w:r>
      <w:r w:rsidR="00023A82">
        <w:rPr>
          <w:rFonts w:ascii="Times" w:hAnsi="Times" w:cs="Times"/>
          <w:b/>
          <w:bCs/>
          <w:color w:val="000000"/>
        </w:rPr>
        <w:t>____________</w:t>
      </w:r>
      <w:r>
        <w:rPr>
          <w:rFonts w:ascii="Times" w:hAnsi="Times" w:cs="Times"/>
          <w:color w:val="000000"/>
          <w:sz w:val="18"/>
          <w:szCs w:val="18"/>
        </w:rPr>
        <w:t>;</w:t>
      </w:r>
    </w:p>
    <w:p w14:paraId="388C957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4.1.7. обеспечение конфиденциальности данных, размещенных Абонентом в Продукте, на весь период их нахождения на сервере;</w:t>
      </w:r>
    </w:p>
    <w:p w14:paraId="044E68A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4.1.8. осуществление обязанностей Оператора электронного документооборота.</w:t>
      </w:r>
    </w:p>
    <w:p w14:paraId="4F1246A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Обязанности Абонента:</w:t>
      </w:r>
    </w:p>
    <w:p w14:paraId="0B2E63E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 своевременная оплата предоставленных прав использования, услуг, работ Оператора в порядке и сроки, установленные Контрактом;</w:t>
      </w:r>
    </w:p>
    <w:p w14:paraId="0DBB042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4.2.2. соблюдение требований Пользовательской документации при использовании Продукта и СКЗИ;</w:t>
      </w:r>
    </w:p>
    <w:p w14:paraId="5A9A722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14:paraId="721B22C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4.2.4. представление Оператору всех сведений и документов, необходимых для исполнения Оператором обязательств по Контракту;</w:t>
      </w:r>
    </w:p>
    <w:p w14:paraId="161224DB"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4.2.5. самостоятельное подключение компьютера к сети Интернет;</w:t>
      </w:r>
    </w:p>
    <w:p w14:paraId="511CA31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4.2.6. самостоятельная комплектация рабочего места в соответствии с требованиями, размещенными на сайте </w:t>
      </w:r>
      <w:r w:rsidR="00023A82">
        <w:rPr>
          <w:rFonts w:ascii="Times" w:hAnsi="Times" w:cs="Times"/>
          <w:b/>
          <w:bCs/>
          <w:color w:val="000000"/>
        </w:rPr>
        <w:t>____________</w:t>
      </w:r>
      <w:r>
        <w:rPr>
          <w:rFonts w:ascii="Times" w:hAnsi="Times" w:cs="Times"/>
          <w:color w:val="000000"/>
          <w:sz w:val="18"/>
          <w:szCs w:val="18"/>
        </w:rPr>
        <w:t>;</w:t>
      </w:r>
    </w:p>
    <w:p w14:paraId="52A8EE9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4.2.7. отказ от попыток копировать, модифицировать, декомпилировать, деассемблировать Продукт;</w:t>
      </w:r>
    </w:p>
    <w:p w14:paraId="35D6C74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4.2.8. отказ от попыток получения доступа к информации третьих лиц, хранящейся в Продукте;</w:t>
      </w:r>
    </w:p>
    <w:p w14:paraId="0BA83BF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4.2.9. передача контролирующим органам оформленной в соответствии с гражданским законодательством Российской Федерации доверенности, подтверждающей право уполномоченного представителя на передачу отчетности, а также совершение иных действий, необходимых для организации электронного документооборота с контролирующими органами;</w:t>
      </w:r>
    </w:p>
    <w:p w14:paraId="5010997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4.2.10. отказ от совершения недобросовестных действий с использованием Продукта, в том числе приводящих к повышенной загрузке вычислительных ресурсов и нарушению пропускной способности;</w:t>
      </w:r>
    </w:p>
    <w:p w14:paraId="27DD43C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4.2.11. самостоятельное осуществление интеграции информационных систем Абонента с Продуктом с использованием API.</w:t>
      </w:r>
    </w:p>
    <w:p w14:paraId="6E7EDED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Права Оператора:</w:t>
      </w:r>
    </w:p>
    <w:p w14:paraId="143705D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4.3.1. модификация или выпуск новой версии Продукта в любое время и по любой причине, в том числе в целях удовлетворения потребностей Абонента или требований конкурентоспособности, в целях соблюдения законодательства Российской Федерации. Оператор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14:paraId="1DE7E42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4.3.2. заключение с третьими лицами любых договоров о предоставлении права использования Продукта, в том числе на условиях, аналогичных условиям Контракта.</w:t>
      </w:r>
    </w:p>
    <w:p w14:paraId="64282D8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 Права Абонента:</w:t>
      </w:r>
    </w:p>
    <w:p w14:paraId="7467052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4.4.1. получение круглосуточного доступа к серверу с целью использования всех функциональных возможностей Продукта, за исключением времени проведения профилактических работ;</w:t>
      </w:r>
    </w:p>
    <w:p w14:paraId="2F3CBD9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4.4.2. внесение предложений по изменению функциональных возможностей Продукта;</w:t>
      </w:r>
    </w:p>
    <w:p w14:paraId="48416A2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4.4.3. непредставление отчетов об использовании Продукта Оператору.</w:t>
      </w:r>
    </w:p>
    <w:p w14:paraId="1092F58D"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ФИНАНСОВЫЕ УСЛОВИЯ И ПОРЯДОК СДАЧИ-ПРИЕМКИ</w:t>
      </w:r>
    </w:p>
    <w:p w14:paraId="70E2D45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Стоимость права использования программы для ЭВМ (лицензионное вознаграждение) определяется Прайс-листом Оператора и устанавливается в Спецификации.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14:paraId="48F9480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Стоимость услуг/работ определяется Прайс-листом Оператора и устанавливается в Спецификации, в том числе НДС, исчисленный по ставке, установленной п. 3 ст. 164 Налогового кодекса Российской Федерации.</w:t>
      </w:r>
    </w:p>
    <w:p w14:paraId="1E4D0B6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5.3. Абонент оплачивает выставленный Оператором счет в течение 10 (десяти) рабочих дней с момента подписания Сторонами акта сдачи-приемки или УПД.</w:t>
      </w:r>
    </w:p>
    <w:p w14:paraId="0CBA9C7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5.4. Все расчеты по Контракту осуществляются в российских рублях путем безналичного перечисления денежных средств на расчетный счет Оператора.</w:t>
      </w:r>
    </w:p>
    <w:p w14:paraId="6E10A63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5.5. Обязательство Абонента по оплате счета считается исполненным с момента поступления денежных средств на расчетный счет Оператора.</w:t>
      </w:r>
    </w:p>
    <w:p w14:paraId="0FC48B6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5.6. Счет может быть отправлен Абоненту электронной почтой, заказным почтовым отправлением, курьерской службой или в электронном виде, подписанный электронной подписью.</w:t>
      </w:r>
    </w:p>
    <w:p w14:paraId="0224D3F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5.7. Общая цена Контракта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14:paraId="59E3C97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5.8. Стороны подтверждают исполнение обязательств по Контракту путем подписания актов сдачи-приемки или УПД.</w:t>
      </w:r>
    </w:p>
    <w:p w14:paraId="12B509A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Абонент обязан вернуть Оператору подписанный экземпляр акта сдачи-приемки или УПД до момента окончания срока, установленного пп. 5.9-5.10 Контракта.</w:t>
      </w:r>
    </w:p>
    <w:p w14:paraId="463FAB86"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5.9. В случае отсутствия в течение 10 (десяти) рабочих дней с момента получения Оператором оплаты или начала использования Абонентом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API-лицензий, СКЗИ и права на получение услуг по сопровождению (технической поддержке в виде абонентского обслуживания) переданные права признаются принятыми Абонентом в полном объеме без замечаний.</w:t>
      </w:r>
    </w:p>
    <w:p w14:paraId="13A4107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5.10. В случае отсутствия в течение 10 (десяти) рабочих дней с момента получения Абонентом акта сдачи-приемки или УПД мотивированного отказа в письменном виде от приемки оказанных разовых услуг и/или выполненных работ оказанные Оператором услуги/выполненные работы признаются принятыми Абонентом в полном объеме без замечаний. При этом разовыми являются услуги, оказываемые не в виде абонентского обслуживания.</w:t>
      </w:r>
    </w:p>
    <w:p w14:paraId="181793F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5.11. Мотивированный отказ от приемки прав, услуг, работ может быть отправлен Оператору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Абонентом, возврату не подлежит.</w:t>
      </w:r>
    </w:p>
    <w:p w14:paraId="5B937D0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5.12. В соответствии с законодательством Российской Федерации для проверки предоставленных Оператором прав и оказанных услуг, выполненных работ, предусмотренных Контрактом, в части их соответствия его условиям Абонент по собственной инициативе и за свой счет может провести экспертизу.</w:t>
      </w:r>
    </w:p>
    <w:p w14:paraId="44309F1B"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КОНТРАКТА. ПОРЯДОК ИЗМЕНЕНИЯ, ДОПОЛНЕНИЯ И РАСТОРЖЕНИЯ. ПОРЯДОК РАЗРЕШЕНИЯ СПОРОВ</w:t>
      </w:r>
    </w:p>
    <w:p w14:paraId="1854AAA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Контракт вступает в силу с момента принятия его условий и действует до конца календарного года, а в части исполнения обязательств - до их полного исполнения Сторонами. Под принятием условий Контракта Стороны понимают: подписание Абонентом Контракта, фактическое начало использования Абонентом Продукта, оплату Абонентом выставленного Оператором счета, в зависимости от того, какое из этих событий наступит раньше.</w:t>
      </w:r>
    </w:p>
    <w:p w14:paraId="0324567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Любые изменения и/или дополнения к Контракту оформляются дополнительным соглашением, которое подписывается обеими Сторонами в том же порядке, что и Контракт.</w:t>
      </w:r>
    </w:p>
    <w:p w14:paraId="2416B04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В случае нарушения Абонентом условий Контракта Оператор вправе незамедлительно блокировать доступ к Продукту без предварительного уведомления Абонента, а также досрочно расторгнуть Контракт. Если нарушение условий связано с неоплатой лицензионного вознаграждения, Оператор блокирует доступ до полного погашения задолженности Абонентом.</w:t>
      </w:r>
    </w:p>
    <w:p w14:paraId="1574AC5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Контракт расторгается в случаях, предусмотренных законодательством Российской Федерации и Контрактом.</w:t>
      </w:r>
    </w:p>
    <w:p w14:paraId="3803963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Все споры и разногласия, возникающие в связи с исполнением и (или) толкованием Контракта,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14:paraId="7CA58574"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ОТВЕТСТВЕННОСТЬ СТОРОН</w:t>
      </w:r>
    </w:p>
    <w:p w14:paraId="74FDA10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За неисполнение или ненадлежащее исполнение обязательств по Контракту Стороны будут нести ответственность в соответствии с законодательством Российской Федерации и условиями Контракта.</w:t>
      </w:r>
    </w:p>
    <w:p w14:paraId="4118A84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Оператор не будет нести ответственность за невозможность использования Продукта по причинам, не зависящим от Оператора.</w:t>
      </w:r>
    </w:p>
    <w:p w14:paraId="69FC479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Оператор не будет нести ответственность за несоблюдение Абонентом технических требований к рабочему месту, Пользовательской документации, отсутствие у Абонента подключения к сети Интернет, за функционирование Продукта и СКЗИ на неисправном компьютере, либо компьютере, зараженном каким-либо компьютерным вирусом, использование несертифицированного СКЗИ, а также при использовании Абонентом нелицензионного программного обеспечения, а также в случае несвоевременного осуществления Абонентом интеграции Продукта со своей информационной системой с использованием API.</w:t>
      </w:r>
    </w:p>
    <w:p w14:paraId="0E53549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7.4. Оператор не будет нести ответственность за ущерб, понесенный Абонентом в результате несоблюдения им Положения ПКЗ-2005 и Правил по обеспечению информационной безопасности на рабочем месте.</w:t>
      </w:r>
    </w:p>
    <w:p w14:paraId="2DE1959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7.5. В случае возникновения у Абонента технических проблем, препятствующих нормальному использованию Продукта, Абонент обязуется незамедлительно обратиться в техническую поддержку Оператора. Оператор не будет нести ответственность за возникшие у Абонента убытки, вызванные техническими проблемами, в случае если Абонент нарушит обязательство, установленное настоящим пунктом.</w:t>
      </w:r>
    </w:p>
    <w:p w14:paraId="4234FFE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7.6. Совокупный размер ответственности Оператора, включая любые убытки (в случае если Абонент в конкретном случае имеет право на их возмещение), не может превышать стоимости прав, услуг и работ, которые были реализованы Оператором Абоненту по Контракту в течение одного года, предшествующего моменту возникновения убытков.</w:t>
      </w:r>
    </w:p>
    <w:p w14:paraId="0649006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7.7. Оператор будет нести ответственность за неисполнение обязанностей Оператора электронного документооборота в размере реально причиненного ущерба при наличии вины Оператора.</w:t>
      </w:r>
    </w:p>
    <w:p w14:paraId="39A23D7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7.8. Оператор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в размере причиненного ущерба при наличии вины Оператора.</w:t>
      </w:r>
    </w:p>
    <w:p w14:paraId="201C352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7.9. Оператор не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если будет доказано, что такое неисполнение или ненадлежащее исполнение обязательств произошло по вине Абонента или иного участника документооборота.</w:t>
      </w:r>
    </w:p>
    <w:p w14:paraId="7530D55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7.10. Оператор не будет нести ответственность за содержание и достоверность информации, циркулирующей в Продукте.</w:t>
      </w:r>
    </w:p>
    <w:p w14:paraId="6D763EB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7.11. Оператор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Контрактом.</w:t>
      </w:r>
    </w:p>
    <w:p w14:paraId="6C506B36"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7.12. Оператор не будет нести ответственность за неполное и/или несвоевременное представление Абонентом отчетности, а также совершение/не совершение Абонентом иных действий, необходимых для организации электронного документооборота по </w:t>
      </w:r>
      <w:r>
        <w:rPr>
          <w:rFonts w:ascii="Times" w:hAnsi="Times" w:cs="Times"/>
          <w:color w:val="000000"/>
          <w:sz w:val="18"/>
          <w:szCs w:val="18"/>
        </w:rPr>
        <w:lastRenderedPageBreak/>
        <w:t>телекоммуникационным каналам связи с контролирующими органами.</w:t>
      </w:r>
    </w:p>
    <w:p w14:paraId="642DDF2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7.13.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Контракта.</w:t>
      </w:r>
    </w:p>
    <w:p w14:paraId="4ED650E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7.14. Факт заключения Контракта не является конфиденциальной информацией.</w:t>
      </w:r>
    </w:p>
    <w:p w14:paraId="0EEA8C2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7.15.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Контракту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14:paraId="5710878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14:paraId="302BC5B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подтверждения факта нарушения одной Стороной положений настоящего пункта Контракта и/или неполучения другой Стороной информации об итогах рассмотрения уведомления о нарушении другая Сторона имеет право отказаться от Контракта, направив письменное уведомление. Сторона, по инициативе которой расторгнут Контракт, вправе требовать возмещения реального ущерба, возникшего в результате расторжения Контракта.</w:t>
      </w:r>
    </w:p>
    <w:p w14:paraId="1A4DEE5B"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Стороны гарантируют осуществление надлежащего разбирательства по фактам нарушения положений настоящего пункта Контракта и применение эффективных мер по предотвращению возможных конфликтных ситуаций.</w:t>
      </w:r>
    </w:p>
    <w:p w14:paraId="3ABDD4D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7.16. Стороны освобождаются от ответственности за неисполнение или ненадлежащее исполнение условий Контракта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Контракту. Такими доказательствами являются документы компетентных органов Российской Федерации. С момента устранения обстоятельств непреодолимой силы Контракт действует в обычном порядке.</w:t>
      </w:r>
    </w:p>
    <w:p w14:paraId="1F9B8717"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ЗАВЕРЕНИЯ ОБ ОБСТОЯТЕЛЬСТВАХ</w:t>
      </w:r>
    </w:p>
    <w:p w14:paraId="2C9A334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Каждая из Сторон заявляет и подтверждает другой Стороне, что на момент заключения Контракта:</w:t>
      </w:r>
    </w:p>
    <w:p w14:paraId="32AF08C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14:paraId="7FF0CB8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фактически находится по адресу, указанному в ЕГРЮЛ;</w:t>
      </w:r>
    </w:p>
    <w:p w14:paraId="53BBEE7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располагает полномочиями, денежными, материальными и трудовыми ресурсами, а также прочими условиями, необходимыми для заключения Контракта и исполнения обязательств по нему;</w:t>
      </w:r>
    </w:p>
    <w:p w14:paraId="6BB7A2D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все полномочия, необходимые для заключения Контракта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14:paraId="7EEF15F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Стороны подтверждают, что:</w:t>
      </w:r>
    </w:p>
    <w:p w14:paraId="352B0C0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Контракт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Контракта;</w:t>
      </w:r>
    </w:p>
    <w:p w14:paraId="4F79849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Контракт не нарушает каких-либо прав на объекты интеллектуальной собственности или иные имущественные права какого-либо третьего лица;</w:t>
      </w:r>
    </w:p>
    <w:p w14:paraId="03E188F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Контракт заключается в соответствии с законодательством Российской Федерации и не является сделкой, в совершении которой имеется заинтересованность;</w:t>
      </w:r>
    </w:p>
    <w:p w14:paraId="7E4FAD2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исполнение Контракта не влечет за собой нарушение или неисполнение положений каких-либо иных Контрактов, соглашений, судебных и иных запретов или постановлений.</w:t>
      </w:r>
    </w:p>
    <w:p w14:paraId="51B30AC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8.3. Сторона, полагавшаяся на недостоверные заверения другой Стороны, вправе досрочно расторгнуть Контракт, независимо от наличия или отсутствия у нее убытков, а также потребовать возмещения убытков, причиненных недостоверностью таких заверений.</w:t>
      </w:r>
    </w:p>
    <w:p w14:paraId="5CB0A0E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Контракта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14:paraId="7F196B0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8.5. Абонент заверяет, что при заключении договоров с лицами, обслуживание которых намеревается осуществлять с использованием Продукта, проявил должную осмотрительность, проверил правоспособность таких лиц и полномочия их представителей. Нарушение указанного заверения может привести к незамедлительному одностороннему отказу Оператора от Контракта и блокированию Абоненту доступа к Продукту.</w:t>
      </w:r>
    </w:p>
    <w:p w14:paraId="0D2BAC5C"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ОБЯЗАТЕЛЬСТВА СТОРОН В ОБЛАСТИ ОБРАБОТКИ ПЕРСОНАЛЬНЫХ ДАННЫХ</w:t>
      </w:r>
    </w:p>
    <w:p w14:paraId="5F7FFD8B"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Заключение Контракта рассматривается Сторонами как поручение Оператора персональных данных (Абонента по Контракту) другому лицу, предусмотренное частью 3 статьи 6 Федерального закона от 27.07.2006 № 152-ФЗ «О персональных данных». При этом Абонент поручает Оператору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Абонентом веб-форм Продукта, запись, систематизацию, накопление, хранение на сервере Оператора, уточнение (обновление, изменение) после внесения изменений Абонентом, извлечение, использование, передачу (предоставление, доступ) по телекоммуникационным каналам связи в контролирующие органы, обезличивание, блокирование, удаление, уничтожение персональных данных – исключительно с целью исполнения обязательств, предусмотренных Контрактом. Абонент дает поручение Оператору в отношении следующего перечня возможных персональных данных (включая, но не ограничиваясь ФИО, ИНН, СНИЛС, пол, дата и место рождения, сведения из документа, удостоверяющего личность, гражданство, место жительства, должность, контактные данные), которые Абонент может разместить в Продукте.</w:t>
      </w:r>
    </w:p>
    <w:p w14:paraId="4C2E993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Абонент гарантирует:</w:t>
      </w:r>
    </w:p>
    <w:p w14:paraId="32B86CA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14:paraId="682E34A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9.2.2. что им получено согласие субъектов персональных данных на обработку принадлежащих им персональных данных, в том числе на поручение такой обработки Оператору как третьему лицу;</w:t>
      </w:r>
    </w:p>
    <w:p w14:paraId="4FA7355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14:paraId="5CB67E2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 Оператор гарантирует:</w:t>
      </w:r>
    </w:p>
    <w:p w14:paraId="6011C04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9.3.1. соблюдение конфиденциальности и обеспечение безопасности обрабатываемых персональных данных;</w:t>
      </w:r>
    </w:p>
    <w:p w14:paraId="240A738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9.3.2. обработку персональных данных на территории Российской Федерации;</w:t>
      </w:r>
    </w:p>
    <w:p w14:paraId="3FFE048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9.3.3. принятие необходимых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отношении персональных данных, в частности:</w:t>
      </w:r>
    </w:p>
    <w:p w14:paraId="0F00F276"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определение угроз безопасности персональных данных при их обработке;</w:t>
      </w:r>
    </w:p>
    <w:p w14:paraId="3262418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установление правил доступа к обрабатываемым персональным данным;</w:t>
      </w:r>
    </w:p>
    <w:p w14:paraId="7E79B04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обнаружение фактов несанкционированного доступа к персональным данным и принятие мер по их пресечению;</w:t>
      </w:r>
    </w:p>
    <w:p w14:paraId="1D6BE5B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проведение оценки эффективности принимаемых мер по обеспечению безопасности персональных данных и контроля за принимаемыми мерами.</w:t>
      </w:r>
    </w:p>
    <w:p w14:paraId="4F585C3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9.4. Оператор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Оператором на сайте </w:t>
      </w:r>
      <w:r w:rsidR="00023A82">
        <w:rPr>
          <w:rFonts w:ascii="Times" w:hAnsi="Times" w:cs="Times"/>
          <w:b/>
          <w:bCs/>
          <w:color w:val="000000"/>
        </w:rPr>
        <w:t>____________</w:t>
      </w:r>
      <w:r>
        <w:rPr>
          <w:rFonts w:ascii="Times" w:hAnsi="Times" w:cs="Times"/>
          <w:color w:val="000000"/>
          <w:sz w:val="18"/>
          <w:szCs w:val="18"/>
        </w:rPr>
        <w:t>.</w:t>
      </w:r>
    </w:p>
    <w:p w14:paraId="0BD5C54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9.5. В случае прекращения действия Контракта и/или получения запроса субъекта персональных данных, содержащего отзыв согласия на обработку персональных данных, Абонент вправе направить уведомление Оператору о необходимости удаления персональных данных, размещенных в Продукте. Уведомление о необходимости удаления персональных данных по запросу субъекта, содержащего отзыв согласия на обработку персональных данных, должно быть направлено Оператору не позднее 5 (пяти) рабочих дней с момента получения такого запроса.</w:t>
      </w:r>
    </w:p>
    <w:p w14:paraId="22FE09D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9.6. По требованию Оператора Абонент обязан предоставить доказательства соблюдения прав субъекта персональных данных, предусмотренных законодательством в области обработки персональных данных.</w:t>
      </w:r>
    </w:p>
    <w:p w14:paraId="06CC36C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 Оператор обязуется:</w:t>
      </w:r>
    </w:p>
    <w:p w14:paraId="635F2B1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9.7.1. по письменному запросу Абонента в течение срока действия его поручения на обработку персональных данных, в том числе до обработки персональных данных, предоставлять Абоненту документы и иную информацию, подтверждающие принятие мер и соблюдение в целях исполнения поручения Абонента требований, установленных Федеральным законом Российской Федерации от 27.07.2006 № 152-ФЗ «О персональных данных»;</w:t>
      </w:r>
    </w:p>
    <w:p w14:paraId="550407C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9.7.2. своевременно уведомлять Абонента о случаях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w:t>
      </w:r>
    </w:p>
    <w:p w14:paraId="16AB9758"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10. ДОПОЛНИТЕЛЬНЫЕ УСЛОВИЯ</w:t>
      </w:r>
    </w:p>
    <w:p w14:paraId="4FD9BEF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10.1. Приложениями к Контракту являются:</w:t>
      </w:r>
    </w:p>
    <w:p w14:paraId="6F800C2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Спецификация;</w:t>
      </w:r>
    </w:p>
    <w:p w14:paraId="1E60239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w:t>
      </w:r>
    </w:p>
    <w:p w14:paraId="6943353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Сублицензионный договор.</w:t>
      </w:r>
    </w:p>
    <w:p w14:paraId="525E8B5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10.2. Стороны договорились о возможности использования факсимиле подписи уполномоченного лица Оператора для подписания Контракта и документов, необходимых для заключения и исполнения Контракта,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Оператора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«Контур.Диадок» (далее – Контур.Диадок), правообладателем которой является Оператор. Использование Контур.Диадока для целей обмена электронными документами с Оператором в рамках Контракта не будет тарифицироваться для Абонента.</w:t>
      </w:r>
    </w:p>
    <w:p w14:paraId="1014D0E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10.3. Стороны обязуются информировать друг друга в течение 15 (пятнадцати) календарных дней об изменении своих реквизитов, указанных в Контракте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14:paraId="099E827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10.4. Принимая условия Контракта, Абонент дает согласие на получение от Оператора и/или Сервисного центра дополнительной информации и информационных рассылок по указанному при регистрации, а также предоставленному Оператору и/или Сервисному центру в ходе исполнения Контракта адресу электронной почты и телефону.</w:t>
      </w:r>
    </w:p>
    <w:p w14:paraId="20FFB53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10.5. Принимая условия Контракта, Абонент подтверждает наличие у него законных оснований для обработки с использованием Продукта принадлежащей ему информации.</w:t>
      </w:r>
    </w:p>
    <w:p w14:paraId="0CD802B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 Принимая условия Контракта, Абонент соглашается на информирование по результату обращения в Федеральный контакт-центр Оператора, по результатам выполнения работ, оказания услуг, а также о необходимости обновления/проведения необходимых доработок интеграционных модулей путем отправки сообщения в мессенджер на номер подвижной мобильной связи, с которого произведено обращение, либо на иной номер подвижной мобильной связи, указанный уполномоченным лицом Абонента, а также путем отправки голосовых и текстовых сообщений с использованием голосовых роботов, чат-ботов и почтовых ботов Оператора.</w:t>
      </w:r>
    </w:p>
    <w:p w14:paraId="55EC99AB"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11. СВЕДЕНИЯ ОБ ОПЕРАТОРЕ</w:t>
      </w:r>
    </w:p>
    <w:tbl>
      <w:tblPr>
        <w:tblW w:w="0" w:type="auto"/>
        <w:tblLayout w:type="fixed"/>
        <w:tblCellMar>
          <w:left w:w="0" w:type="dxa"/>
          <w:right w:w="0" w:type="dxa"/>
        </w:tblCellMar>
        <w:tblLook w:val="0000" w:firstRow="0" w:lastRow="0" w:firstColumn="0" w:lastColumn="0" w:noHBand="0" w:noVBand="0"/>
      </w:tblPr>
      <w:tblGrid>
        <w:gridCol w:w="2593"/>
        <w:gridCol w:w="2593"/>
        <w:gridCol w:w="2593"/>
        <w:gridCol w:w="2593"/>
      </w:tblGrid>
      <w:tr w:rsidR="00C4512B" w14:paraId="7881A90C" w14:textId="77777777">
        <w:tblPrEx>
          <w:tblCellMar>
            <w:top w:w="0" w:type="dxa"/>
            <w:left w:w="0" w:type="dxa"/>
            <w:bottom w:w="0" w:type="dxa"/>
            <w:right w:w="0" w:type="dxa"/>
          </w:tblCellMar>
        </w:tblPrEx>
        <w:tc>
          <w:tcPr>
            <w:tcW w:w="10372" w:type="dxa"/>
            <w:gridSpan w:val="4"/>
            <w:tcBorders>
              <w:top w:val="nil"/>
              <w:left w:val="nil"/>
              <w:bottom w:val="nil"/>
              <w:right w:val="nil"/>
            </w:tcBorders>
          </w:tcPr>
          <w:p w14:paraId="70D00CA2"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p>
        </w:tc>
      </w:tr>
      <w:tr w:rsidR="00C4512B" w14:paraId="7AC4B4DA" w14:textId="77777777">
        <w:tblPrEx>
          <w:tblCellMar>
            <w:top w:w="0" w:type="dxa"/>
            <w:left w:w="0" w:type="dxa"/>
            <w:bottom w:w="0" w:type="dxa"/>
            <w:right w:w="0" w:type="dxa"/>
          </w:tblCellMar>
        </w:tblPrEx>
        <w:tc>
          <w:tcPr>
            <w:tcW w:w="10372" w:type="dxa"/>
            <w:gridSpan w:val="4"/>
            <w:tcBorders>
              <w:top w:val="nil"/>
              <w:left w:val="nil"/>
              <w:bottom w:val="nil"/>
              <w:right w:val="nil"/>
            </w:tcBorders>
          </w:tcPr>
          <w:p w14:paraId="213F177D" w14:textId="77777777" w:rsidR="00C4512B" w:rsidRDefault="00C4512B">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12. СВЕДЕНИЯ ОБ АБОНЕНТЕ</w:t>
            </w:r>
          </w:p>
          <w:p w14:paraId="0C74E011"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w:t>
            </w:r>
          </w:p>
        </w:tc>
      </w:tr>
      <w:tr w:rsidR="00C4512B" w14:paraId="2C844121" w14:textId="77777777">
        <w:tblPrEx>
          <w:tblCellMar>
            <w:top w:w="0" w:type="dxa"/>
            <w:left w:w="0" w:type="dxa"/>
            <w:bottom w:w="0" w:type="dxa"/>
            <w:right w:w="0" w:type="dxa"/>
          </w:tblCellMar>
        </w:tblPrEx>
        <w:trPr>
          <w:gridAfter w:val="3"/>
          <w:wAfter w:w="7779" w:type="dxa"/>
        </w:trPr>
        <w:tc>
          <w:tcPr>
            <w:tcW w:w="2593" w:type="dxa"/>
            <w:tcBorders>
              <w:top w:val="nil"/>
              <w:left w:val="nil"/>
              <w:bottom w:val="nil"/>
              <w:right w:val="nil"/>
            </w:tcBorders>
          </w:tcPr>
          <w:p w14:paraId="675B16BD" w14:textId="77777777" w:rsidR="00C4512B" w:rsidRDefault="00C4512B">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13. ПОДПИСИ СТОРОН</w:t>
            </w:r>
          </w:p>
        </w:tc>
      </w:tr>
      <w:tr w:rsidR="00C4512B" w14:paraId="617CAD55" w14:textId="77777777">
        <w:tblPrEx>
          <w:tblCellMar>
            <w:top w:w="0" w:type="dxa"/>
            <w:left w:w="0" w:type="dxa"/>
            <w:bottom w:w="0" w:type="dxa"/>
            <w:right w:w="0" w:type="dxa"/>
          </w:tblCellMar>
        </w:tblPrEx>
        <w:tc>
          <w:tcPr>
            <w:tcW w:w="5186" w:type="dxa"/>
            <w:gridSpan w:val="2"/>
            <w:tcBorders>
              <w:top w:val="nil"/>
              <w:left w:val="nil"/>
              <w:bottom w:val="nil"/>
              <w:right w:val="nil"/>
            </w:tcBorders>
          </w:tcPr>
          <w:p w14:paraId="68C35B1D"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ОПЕРАТОР</w:t>
            </w:r>
          </w:p>
        </w:tc>
        <w:tc>
          <w:tcPr>
            <w:tcW w:w="5186" w:type="dxa"/>
            <w:gridSpan w:val="2"/>
            <w:tcBorders>
              <w:top w:val="nil"/>
              <w:left w:val="nil"/>
              <w:bottom w:val="nil"/>
              <w:right w:val="nil"/>
            </w:tcBorders>
          </w:tcPr>
          <w:p w14:paraId="298B565B"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АБОНЕНТ</w:t>
            </w:r>
          </w:p>
        </w:tc>
      </w:tr>
      <w:tr w:rsidR="00C4512B" w14:paraId="751F75BC" w14:textId="77777777">
        <w:tblPrEx>
          <w:tblCellMar>
            <w:top w:w="0" w:type="dxa"/>
            <w:left w:w="0" w:type="dxa"/>
            <w:bottom w:w="0" w:type="dxa"/>
            <w:right w:w="0" w:type="dxa"/>
          </w:tblCellMar>
        </w:tblPrEx>
        <w:trPr>
          <w:trHeight w:val="170"/>
        </w:trPr>
        <w:tc>
          <w:tcPr>
            <w:tcW w:w="2593" w:type="dxa"/>
            <w:tcBorders>
              <w:top w:val="nil"/>
              <w:left w:val="nil"/>
              <w:bottom w:val="single" w:sz="6" w:space="0" w:color="000000"/>
              <w:right w:val="nil"/>
            </w:tcBorders>
          </w:tcPr>
          <w:p w14:paraId="071292A3"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14:paraId="6E903B3F"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single" w:sz="6" w:space="0" w:color="000000"/>
              <w:right w:val="nil"/>
            </w:tcBorders>
          </w:tcPr>
          <w:p w14:paraId="2E3DDD65"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14:paraId="166328C3" w14:textId="77777777" w:rsidR="00C4512B" w:rsidRDefault="00C4512B">
            <w:pPr>
              <w:widowControl w:val="0"/>
              <w:autoSpaceDE w:val="0"/>
              <w:autoSpaceDN w:val="0"/>
              <w:adjustRightInd w:val="0"/>
              <w:spacing w:after="0" w:line="240" w:lineRule="auto"/>
              <w:rPr>
                <w:rFonts w:ascii="Times" w:hAnsi="Times" w:cs="Times"/>
                <w:color w:val="000000"/>
                <w:sz w:val="18"/>
                <w:szCs w:val="18"/>
              </w:rPr>
            </w:pPr>
          </w:p>
        </w:tc>
      </w:tr>
      <w:tr w:rsidR="00C4512B" w14:paraId="1C199CE8" w14:textId="77777777">
        <w:tblPrEx>
          <w:tblCellMar>
            <w:top w:w="0" w:type="dxa"/>
            <w:left w:w="0" w:type="dxa"/>
            <w:bottom w:w="0" w:type="dxa"/>
            <w:right w:w="0" w:type="dxa"/>
          </w:tblCellMar>
        </w:tblPrEx>
        <w:trPr>
          <w:trHeight w:val="170"/>
        </w:trPr>
        <w:tc>
          <w:tcPr>
            <w:tcW w:w="5186" w:type="dxa"/>
            <w:gridSpan w:val="2"/>
            <w:tcBorders>
              <w:top w:val="nil"/>
              <w:left w:val="nil"/>
              <w:bottom w:val="nil"/>
              <w:right w:val="nil"/>
            </w:tcBorders>
          </w:tcPr>
          <w:p w14:paraId="52F4B6A4" w14:textId="77777777" w:rsidR="00C4512B" w:rsidRDefault="00C4512B">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c>
          <w:tcPr>
            <w:tcW w:w="5186" w:type="dxa"/>
            <w:gridSpan w:val="2"/>
            <w:tcBorders>
              <w:top w:val="nil"/>
              <w:left w:val="nil"/>
              <w:bottom w:val="nil"/>
              <w:right w:val="nil"/>
            </w:tcBorders>
          </w:tcPr>
          <w:p w14:paraId="110F8979" w14:textId="77777777" w:rsidR="00C4512B" w:rsidRDefault="00C4512B">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14:paraId="1DA541BB" w14:textId="77777777" w:rsidR="00C4512B" w:rsidRDefault="00C4512B">
      <w:pPr>
        <w:widowControl w:val="0"/>
        <w:autoSpaceDE w:val="0"/>
        <w:autoSpaceDN w:val="0"/>
        <w:adjustRightInd w:val="0"/>
        <w:spacing w:after="0" w:line="240" w:lineRule="auto"/>
        <w:rPr>
          <w:rFonts w:ascii="Arial" w:hAnsi="Arial" w:cs="Arial"/>
          <w:sz w:val="24"/>
          <w:szCs w:val="24"/>
        </w:rPr>
        <w:sectPr w:rsidR="00C4512B">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C4512B" w14:paraId="2A1A11AE" w14:textId="77777777">
        <w:tblPrEx>
          <w:tblCellMar>
            <w:top w:w="0" w:type="dxa"/>
            <w:left w:w="0" w:type="dxa"/>
            <w:bottom w:w="0" w:type="dxa"/>
            <w:right w:w="0" w:type="dxa"/>
          </w:tblCellMar>
        </w:tblPrEx>
        <w:tc>
          <w:tcPr>
            <w:tcW w:w="1133" w:type="dxa"/>
            <w:tcBorders>
              <w:top w:val="nil"/>
              <w:left w:val="nil"/>
              <w:bottom w:val="nil"/>
              <w:right w:val="nil"/>
            </w:tcBorders>
          </w:tcPr>
          <w:p w14:paraId="67D7676A"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14:paraId="4DA74E75" w14:textId="77777777" w:rsidR="00C4512B" w:rsidRDefault="00C4512B">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14:paraId="2679CF7F" w14:textId="77777777" w:rsidR="00C4512B" w:rsidRDefault="00C4512B" w:rsidP="00A77AC7">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Контракту № </w:t>
            </w:r>
            <w:r w:rsidR="00A77AC7">
              <w:rPr>
                <w:rFonts w:ascii="Times" w:hAnsi="Times" w:cs="Times"/>
                <w:color w:val="000000"/>
                <w:sz w:val="17"/>
                <w:szCs w:val="17"/>
              </w:rPr>
              <w:t>____________</w:t>
            </w:r>
            <w:r>
              <w:rPr>
                <w:rFonts w:ascii="Times" w:hAnsi="Times" w:cs="Times"/>
                <w:color w:val="000000"/>
                <w:sz w:val="17"/>
                <w:szCs w:val="17"/>
              </w:rPr>
              <w:t> от </w:t>
            </w:r>
            <w:r w:rsidR="00A77AC7">
              <w:rPr>
                <w:rFonts w:ascii="Times" w:hAnsi="Times" w:cs="Times"/>
                <w:color w:val="000000"/>
                <w:sz w:val="17"/>
                <w:szCs w:val="17"/>
              </w:rPr>
              <w:t>__.__.20__</w:t>
            </w:r>
          </w:p>
        </w:tc>
      </w:tr>
      <w:tr w:rsidR="00C4512B" w14:paraId="7A032B8F" w14:textId="77777777">
        <w:tblPrEx>
          <w:tblCellMar>
            <w:top w:w="0" w:type="dxa"/>
            <w:left w:w="0" w:type="dxa"/>
            <w:bottom w:w="0" w:type="dxa"/>
            <w:right w:w="0" w:type="dxa"/>
          </w:tblCellMar>
        </w:tblPrEx>
        <w:tc>
          <w:tcPr>
            <w:tcW w:w="10600" w:type="dxa"/>
            <w:gridSpan w:val="2"/>
            <w:tcBorders>
              <w:top w:val="nil"/>
              <w:left w:val="nil"/>
              <w:bottom w:val="nil"/>
              <w:right w:val="nil"/>
            </w:tcBorders>
          </w:tcPr>
          <w:p w14:paraId="4525122F" w14:textId="77777777" w:rsidR="00C4512B" w:rsidRDefault="00C4512B">
            <w:pPr>
              <w:widowControl w:val="0"/>
              <w:autoSpaceDE w:val="0"/>
              <w:autoSpaceDN w:val="0"/>
              <w:adjustRightInd w:val="0"/>
              <w:spacing w:after="0" w:line="240" w:lineRule="auto"/>
              <w:jc w:val="center"/>
              <w:rPr>
                <w:rFonts w:ascii="Times" w:hAnsi="Times" w:cs="Times"/>
                <w:b/>
                <w:bCs/>
                <w:color w:val="000000"/>
                <w:sz w:val="17"/>
                <w:szCs w:val="17"/>
              </w:rPr>
            </w:pPr>
            <w:r>
              <w:rPr>
                <w:rFonts w:ascii="Times" w:hAnsi="Times" w:cs="Times"/>
                <w:b/>
                <w:bCs/>
                <w:color w:val="000000"/>
                <w:sz w:val="17"/>
                <w:szCs w:val="17"/>
              </w:rPr>
              <w:t xml:space="preserve">Спецификация №1 от </w:t>
            </w:r>
            <w:r w:rsidR="00A77AC7">
              <w:rPr>
                <w:rFonts w:ascii="Times" w:hAnsi="Times" w:cs="Times"/>
                <w:b/>
                <w:bCs/>
                <w:color w:val="000000"/>
                <w:sz w:val="17"/>
                <w:szCs w:val="17"/>
              </w:rPr>
              <w:t>__.__.20__</w:t>
            </w:r>
          </w:p>
          <w:p w14:paraId="3A3763F9" w14:textId="77777777" w:rsidR="00C4512B" w:rsidRDefault="00C4512B">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color w:val="000000"/>
                <w:sz w:val="17"/>
                <w:szCs w:val="17"/>
              </w:rPr>
              <w:t xml:space="preserve">с </w:t>
            </w:r>
            <w:r w:rsidR="00A77AC7" w:rsidRPr="00A77AC7">
              <w:rPr>
                <w:rFonts w:ascii="Times" w:hAnsi="Times" w:cs="Times"/>
                <w:color w:val="000000"/>
                <w:sz w:val="17"/>
                <w:szCs w:val="17"/>
              </w:rPr>
              <w:t>____________</w:t>
            </w:r>
            <w:r>
              <w:rPr>
                <w:rFonts w:ascii="Times" w:hAnsi="Times" w:cs="Times"/>
                <w:color w:val="000000"/>
                <w:sz w:val="17"/>
                <w:szCs w:val="17"/>
              </w:rPr>
              <w:t xml:space="preserve"> (ИНН </w:t>
            </w:r>
            <w:r w:rsidR="00A77AC7" w:rsidRPr="00A77AC7">
              <w:rPr>
                <w:rFonts w:ascii="Times" w:hAnsi="Times" w:cs="Times"/>
                <w:color w:val="000000"/>
                <w:sz w:val="17"/>
                <w:szCs w:val="17"/>
              </w:rPr>
              <w:t>____________</w:t>
            </w:r>
            <w:r>
              <w:rPr>
                <w:rFonts w:ascii="Times" w:hAnsi="Times" w:cs="Times"/>
                <w:color w:val="000000"/>
                <w:sz w:val="17"/>
                <w:szCs w:val="17"/>
              </w:rPr>
              <w:t xml:space="preserve">; КПП </w:t>
            </w:r>
            <w:r w:rsidR="00A77AC7" w:rsidRPr="00A77AC7">
              <w:rPr>
                <w:rFonts w:ascii="Times" w:hAnsi="Times" w:cs="Times"/>
                <w:color w:val="000000"/>
                <w:sz w:val="17"/>
                <w:szCs w:val="17"/>
              </w:rPr>
              <w:t>____________</w:t>
            </w:r>
            <w:r>
              <w:rPr>
                <w:rFonts w:ascii="Times" w:hAnsi="Times" w:cs="Times"/>
                <w:color w:val="000000"/>
                <w:sz w:val="17"/>
                <w:szCs w:val="17"/>
              </w:rPr>
              <w:t>)</w:t>
            </w:r>
          </w:p>
        </w:tc>
      </w:tr>
    </w:tbl>
    <w:p w14:paraId="66AB0090" w14:textId="77777777" w:rsidR="00C4512B" w:rsidRDefault="00C4512B">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566"/>
        <w:gridCol w:w="907"/>
        <w:gridCol w:w="1247"/>
        <w:gridCol w:w="1190"/>
        <w:gridCol w:w="850"/>
        <w:gridCol w:w="1247"/>
      </w:tblGrid>
      <w:tr w:rsidR="00C4512B" w14:paraId="6BADD86E" w14:textId="77777777">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94178A4"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FBE0DBB"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921BD30"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E63B6D3"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2699511"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8893E8"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D9EDFE2"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2FFA835"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4E4E18E"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C4512B" w14:paraId="6F0DB1BD" w14:textId="77777777">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754D79F"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CE0925A" w14:textId="77777777" w:rsidR="00C4512B" w:rsidRDefault="00CE1A0F">
            <w:pPr>
              <w:widowControl w:val="0"/>
              <w:autoSpaceDE w:val="0"/>
              <w:autoSpaceDN w:val="0"/>
              <w:adjustRightInd w:val="0"/>
              <w:spacing w:after="0" w:line="240" w:lineRule="auto"/>
              <w:rPr>
                <w:rFonts w:ascii="Times" w:hAnsi="Times" w:cs="Times"/>
                <w:color w:val="000000"/>
                <w:sz w:val="16"/>
                <w:szCs w:val="16"/>
              </w:rPr>
            </w:pPr>
            <w:r w:rsidRPr="00CE1A0F">
              <w:rPr>
                <w:rFonts w:ascii="Times" w:hAnsi="Times" w:cs="Times"/>
                <w:color w:val="000000"/>
                <w:sz w:val="16"/>
                <w:szCs w:val="16"/>
              </w:rPr>
              <w:t xml:space="preserve">Право использования программы для ЭВМ «Контур.Экстерн» по тарифному плану «Бюджетник плюс» на </w:t>
            </w:r>
            <w:r w:rsidR="00AF7295">
              <w:rPr>
                <w:rFonts w:ascii="Times" w:hAnsi="Times" w:cs="Times"/>
                <w:color w:val="000000"/>
                <w:sz w:val="16"/>
                <w:szCs w:val="16"/>
              </w:rPr>
              <w:t>2</w:t>
            </w:r>
            <w:r w:rsidR="00AF7295" w:rsidRPr="00CE1A0F">
              <w:rPr>
                <w:rFonts w:ascii="Times" w:hAnsi="Times" w:cs="Times"/>
                <w:color w:val="000000"/>
                <w:sz w:val="16"/>
                <w:szCs w:val="16"/>
              </w:rPr>
              <w:t xml:space="preserve"> </w:t>
            </w:r>
            <w:r w:rsidRPr="00CE1A0F">
              <w:rPr>
                <w:rFonts w:ascii="Times" w:hAnsi="Times" w:cs="Times"/>
                <w:color w:val="000000"/>
                <w:sz w:val="16"/>
                <w:szCs w:val="16"/>
              </w:rPr>
              <w:t>год</w:t>
            </w:r>
            <w:r w:rsidR="00AF7295">
              <w:rPr>
                <w:rFonts w:ascii="Times" w:hAnsi="Times" w:cs="Times"/>
                <w:color w:val="000000"/>
                <w:sz w:val="16"/>
                <w:szCs w:val="16"/>
              </w:rPr>
              <w:t>а</w:t>
            </w:r>
            <w:r w:rsidRPr="00CE1A0F">
              <w:rPr>
                <w:rFonts w:ascii="Times" w:hAnsi="Times" w:cs="Times"/>
                <w:color w:val="000000"/>
                <w:sz w:val="16"/>
                <w:szCs w:val="16"/>
              </w:rPr>
              <w:t>, с применением встроенных в сертификат/ключевой контейнер СКЗИ «КриптоПро CSP» – продление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E5B6B40"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42E46F4"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E64A3CD" w14:textId="77777777" w:rsidR="00C4512B" w:rsidRDefault="00C4512B">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5ECF345" w14:textId="77777777" w:rsidR="00C4512B" w:rsidRDefault="00C4512B">
            <w:pPr>
              <w:widowControl w:val="0"/>
              <w:autoSpaceDE w:val="0"/>
              <w:autoSpaceDN w:val="0"/>
              <w:adjustRightInd w:val="0"/>
              <w:spacing w:after="0" w:line="240" w:lineRule="auto"/>
              <w:jc w:val="right"/>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E3D8B64"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A192F67"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33C6578" w14:textId="77777777" w:rsidR="00C4512B" w:rsidRDefault="00C4512B">
            <w:pPr>
              <w:widowControl w:val="0"/>
              <w:autoSpaceDE w:val="0"/>
              <w:autoSpaceDN w:val="0"/>
              <w:adjustRightInd w:val="0"/>
              <w:spacing w:after="0" w:line="240" w:lineRule="auto"/>
              <w:jc w:val="right"/>
              <w:rPr>
                <w:rFonts w:ascii="Times" w:hAnsi="Times" w:cs="Times"/>
                <w:color w:val="000000"/>
                <w:sz w:val="16"/>
                <w:szCs w:val="16"/>
              </w:rPr>
            </w:pPr>
          </w:p>
        </w:tc>
      </w:tr>
      <w:tr w:rsidR="00C4512B" w14:paraId="119195A4" w14:textId="77777777">
        <w:tblPrEx>
          <w:tblCellMar>
            <w:top w:w="0" w:type="dxa"/>
            <w:left w:w="0" w:type="dxa"/>
            <w:bottom w:w="0" w:type="dxa"/>
            <w:right w:w="0" w:type="dxa"/>
          </w:tblCellMar>
        </w:tblPrEx>
        <w:tc>
          <w:tcPr>
            <w:tcW w:w="8104"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B689751" w14:textId="77777777" w:rsidR="00C4512B" w:rsidRDefault="00C4512B">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68201C6" w14:textId="77777777" w:rsidR="00C4512B" w:rsidRDefault="00C4512B">
            <w:pPr>
              <w:widowControl w:val="0"/>
              <w:autoSpaceDE w:val="0"/>
              <w:autoSpaceDN w:val="0"/>
              <w:adjustRightInd w:val="0"/>
              <w:spacing w:after="0" w:line="240" w:lineRule="auto"/>
              <w:jc w:val="right"/>
              <w:rPr>
                <w:rFonts w:ascii="Times" w:hAnsi="Times" w:cs="Times"/>
                <w:b/>
                <w:bC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48AF2CD" w14:textId="77777777" w:rsidR="00C4512B" w:rsidRDefault="00C4512B">
            <w:pPr>
              <w:widowControl w:val="0"/>
              <w:autoSpaceDE w:val="0"/>
              <w:autoSpaceDN w:val="0"/>
              <w:adjustRightInd w:val="0"/>
              <w:spacing w:after="0" w:line="240" w:lineRule="auto"/>
              <w:jc w:val="right"/>
              <w:rPr>
                <w:rFonts w:ascii="Times" w:hAnsi="Times" w:cs="Times"/>
                <w:b/>
                <w:bCs/>
                <w:color w:val="000000"/>
                <w:sz w:val="16"/>
                <w:szCs w:val="16"/>
              </w:rPr>
            </w:pPr>
          </w:p>
        </w:tc>
      </w:tr>
    </w:tbl>
    <w:p w14:paraId="19266F1A" w14:textId="77777777" w:rsidR="00C4512B" w:rsidRDefault="00C4512B">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1.2. Оказание услуг/выполнение работ/передача ТМЦ</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566"/>
        <w:gridCol w:w="907"/>
        <w:gridCol w:w="1247"/>
        <w:gridCol w:w="1190"/>
        <w:gridCol w:w="850"/>
        <w:gridCol w:w="1247"/>
      </w:tblGrid>
      <w:tr w:rsidR="00C4512B" w14:paraId="2D3023E5" w14:textId="77777777">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280E699"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61B7796"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6C7A701"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645ED8AF"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5AB8D37"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1553013"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C223279"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6F74989"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7CCF718"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C4512B" w14:paraId="3D1A3AE1" w14:textId="77777777">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ADDC94E"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19808942" w14:textId="77777777" w:rsidR="00C4512B" w:rsidRDefault="00CE1A0F">
            <w:pPr>
              <w:widowControl w:val="0"/>
              <w:autoSpaceDE w:val="0"/>
              <w:autoSpaceDN w:val="0"/>
              <w:adjustRightInd w:val="0"/>
              <w:spacing w:after="0" w:line="240" w:lineRule="auto"/>
              <w:rPr>
                <w:rFonts w:ascii="Times" w:hAnsi="Times" w:cs="Times"/>
                <w:color w:val="000000"/>
                <w:sz w:val="16"/>
                <w:szCs w:val="16"/>
              </w:rPr>
            </w:pPr>
            <w:r w:rsidRPr="00CE1A0F">
              <w:rPr>
                <w:rFonts w:ascii="Times" w:hAnsi="Times" w:cs="Times"/>
                <w:color w:val="000000"/>
                <w:sz w:val="16"/>
                <w:szCs w:val="16"/>
              </w:rPr>
              <w:t xml:space="preserve">Услуги по сопровождению программы для ЭВМ «Контур.Экстерн» (техническая поддержка в виде абонентского обслуживания) по тарифному плану «Бюджетник плюс» на </w:t>
            </w:r>
            <w:r w:rsidR="00AF7295">
              <w:rPr>
                <w:rFonts w:ascii="Times" w:hAnsi="Times" w:cs="Times"/>
                <w:color w:val="000000"/>
                <w:sz w:val="16"/>
                <w:szCs w:val="16"/>
              </w:rPr>
              <w:t>2</w:t>
            </w:r>
            <w:r w:rsidR="00AF7295" w:rsidRPr="00CE1A0F">
              <w:rPr>
                <w:rFonts w:ascii="Times" w:hAnsi="Times" w:cs="Times"/>
                <w:color w:val="000000"/>
                <w:sz w:val="16"/>
                <w:szCs w:val="16"/>
              </w:rPr>
              <w:t xml:space="preserve"> </w:t>
            </w:r>
            <w:r w:rsidRPr="00CE1A0F">
              <w:rPr>
                <w:rFonts w:ascii="Times" w:hAnsi="Times" w:cs="Times"/>
                <w:color w:val="000000"/>
                <w:sz w:val="16"/>
                <w:szCs w:val="16"/>
              </w:rPr>
              <w:t>год</w:t>
            </w:r>
            <w:r w:rsidR="00AF7295">
              <w:rPr>
                <w:rFonts w:ascii="Times" w:hAnsi="Times" w:cs="Times"/>
                <w:color w:val="000000"/>
                <w:sz w:val="16"/>
                <w:szCs w:val="16"/>
              </w:rPr>
              <w:t>а</w:t>
            </w:r>
            <w:r w:rsidRPr="00CE1A0F">
              <w:rPr>
                <w:rFonts w:ascii="Times" w:hAnsi="Times" w:cs="Times"/>
                <w:color w:val="000000"/>
                <w:sz w:val="16"/>
                <w:szCs w:val="16"/>
              </w:rPr>
              <w:t xml:space="preserve"> – продление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31E6D3C"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15182D7"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F156F9C" w14:textId="77777777" w:rsidR="00C4512B" w:rsidRDefault="00C4512B">
            <w:pPr>
              <w:widowControl w:val="0"/>
              <w:autoSpaceDE w:val="0"/>
              <w:autoSpaceDN w:val="0"/>
              <w:adjustRightInd w:val="0"/>
              <w:spacing w:after="0" w:line="240" w:lineRule="auto"/>
              <w:jc w:val="right"/>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467971A" w14:textId="77777777" w:rsidR="00C4512B" w:rsidRDefault="00C4512B">
            <w:pPr>
              <w:widowControl w:val="0"/>
              <w:autoSpaceDE w:val="0"/>
              <w:autoSpaceDN w:val="0"/>
              <w:adjustRightInd w:val="0"/>
              <w:spacing w:after="0" w:line="240" w:lineRule="auto"/>
              <w:jc w:val="right"/>
              <w:rPr>
                <w:rFonts w:ascii="Times" w:hAnsi="Times" w:cs="Times"/>
                <w:color w:val="00000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251C9BB6"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558E51BC" w14:textId="77777777" w:rsidR="00C4512B" w:rsidRDefault="00C4512B">
            <w:pPr>
              <w:widowControl w:val="0"/>
              <w:autoSpaceDE w:val="0"/>
              <w:autoSpaceDN w:val="0"/>
              <w:adjustRightInd w:val="0"/>
              <w:spacing w:after="0" w:line="240" w:lineRule="auto"/>
              <w:jc w:val="center"/>
              <w:rPr>
                <w:rFonts w:ascii="Times" w:hAnsi="Times" w:cs="Time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4FE2711D" w14:textId="77777777" w:rsidR="00C4512B" w:rsidRDefault="00C4512B">
            <w:pPr>
              <w:widowControl w:val="0"/>
              <w:autoSpaceDE w:val="0"/>
              <w:autoSpaceDN w:val="0"/>
              <w:adjustRightInd w:val="0"/>
              <w:spacing w:after="0" w:line="240" w:lineRule="auto"/>
              <w:jc w:val="right"/>
              <w:rPr>
                <w:rFonts w:ascii="Times" w:hAnsi="Times" w:cs="Times"/>
                <w:color w:val="000000"/>
                <w:sz w:val="16"/>
                <w:szCs w:val="16"/>
              </w:rPr>
            </w:pPr>
          </w:p>
        </w:tc>
      </w:tr>
      <w:tr w:rsidR="00C4512B" w14:paraId="208F31F0" w14:textId="77777777">
        <w:tblPrEx>
          <w:tblCellMar>
            <w:top w:w="0" w:type="dxa"/>
            <w:left w:w="0" w:type="dxa"/>
            <w:bottom w:w="0" w:type="dxa"/>
            <w:right w:w="0" w:type="dxa"/>
          </w:tblCellMar>
        </w:tblPrEx>
        <w:tc>
          <w:tcPr>
            <w:tcW w:w="8104"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32519F4F" w14:textId="77777777" w:rsidR="00C4512B" w:rsidRDefault="00C4512B">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00595DD0" w14:textId="77777777" w:rsidR="00C4512B" w:rsidRDefault="00C4512B">
            <w:pPr>
              <w:widowControl w:val="0"/>
              <w:autoSpaceDE w:val="0"/>
              <w:autoSpaceDN w:val="0"/>
              <w:adjustRightInd w:val="0"/>
              <w:spacing w:after="0" w:line="240" w:lineRule="auto"/>
              <w:jc w:val="right"/>
              <w:rPr>
                <w:rFonts w:ascii="Times" w:hAnsi="Times" w:cs="Times"/>
                <w:b/>
                <w:bC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14:paraId="7F70AC4E" w14:textId="77777777" w:rsidR="00C4512B" w:rsidRDefault="00C4512B">
            <w:pPr>
              <w:widowControl w:val="0"/>
              <w:autoSpaceDE w:val="0"/>
              <w:autoSpaceDN w:val="0"/>
              <w:adjustRightInd w:val="0"/>
              <w:spacing w:after="0" w:line="240" w:lineRule="auto"/>
              <w:jc w:val="right"/>
              <w:rPr>
                <w:rFonts w:ascii="Times" w:hAnsi="Times" w:cs="Times"/>
                <w:b/>
                <w:bCs/>
                <w:color w:val="000000"/>
                <w:sz w:val="16"/>
                <w:szCs w:val="16"/>
              </w:rPr>
            </w:pPr>
          </w:p>
        </w:tc>
      </w:tr>
    </w:tbl>
    <w:p w14:paraId="307B80F5" w14:textId="77777777" w:rsidR="00C4512B" w:rsidRDefault="00C4512B">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 </w:t>
      </w:r>
      <w:r w:rsidR="00A77AC7" w:rsidRPr="00A77AC7">
        <w:rPr>
          <w:rFonts w:ascii="Times" w:hAnsi="Times" w:cs="Times"/>
          <w:color w:val="000000"/>
          <w:sz w:val="17"/>
          <w:szCs w:val="17"/>
        </w:rPr>
        <w:t>____________</w:t>
      </w:r>
      <w:r>
        <w:rPr>
          <w:rFonts w:ascii="Times" w:hAnsi="Times" w:cs="Times"/>
          <w:color w:val="000000"/>
          <w:sz w:val="17"/>
          <w:szCs w:val="17"/>
        </w:rPr>
        <w:t> руб. (</w:t>
      </w:r>
      <w:r w:rsidR="00A77AC7" w:rsidRPr="00A77AC7">
        <w:rPr>
          <w:rFonts w:ascii="Times" w:hAnsi="Times" w:cs="Times"/>
          <w:color w:val="000000"/>
          <w:sz w:val="17"/>
          <w:szCs w:val="17"/>
        </w:rPr>
        <w:t>____________</w:t>
      </w:r>
      <w:r>
        <w:rPr>
          <w:rFonts w:ascii="Times" w:hAnsi="Times" w:cs="Times"/>
          <w:color w:val="000000"/>
          <w:sz w:val="17"/>
          <w:szCs w:val="17"/>
        </w:rPr>
        <w:t xml:space="preserve"> рублей </w:t>
      </w:r>
      <w:r w:rsidR="00A77AC7" w:rsidRPr="00A77AC7">
        <w:rPr>
          <w:rFonts w:ascii="Times" w:hAnsi="Times" w:cs="Times"/>
          <w:color w:val="000000"/>
          <w:sz w:val="17"/>
          <w:szCs w:val="17"/>
        </w:rPr>
        <w:t>____________</w:t>
      </w:r>
      <w:r>
        <w:rPr>
          <w:rFonts w:ascii="Times" w:hAnsi="Times" w:cs="Times"/>
          <w:color w:val="000000"/>
          <w:sz w:val="17"/>
          <w:szCs w:val="17"/>
        </w:rPr>
        <w:t xml:space="preserve">копеек), в том числе НДС, исчисленный по ставке, установленной п. 3 ст. 164 Налогового кодекса Российской Федерации: </w:t>
      </w:r>
      <w:r w:rsidR="00A77AC7" w:rsidRPr="00A77AC7">
        <w:rPr>
          <w:rFonts w:ascii="Times" w:hAnsi="Times" w:cs="Times"/>
          <w:color w:val="000000"/>
          <w:sz w:val="17"/>
          <w:szCs w:val="17"/>
        </w:rPr>
        <w:t>____________</w:t>
      </w:r>
      <w:r>
        <w:rPr>
          <w:rFonts w:ascii="Times" w:hAnsi="Times" w:cs="Times"/>
          <w:color w:val="000000"/>
          <w:sz w:val="17"/>
          <w:szCs w:val="17"/>
        </w:rPr>
        <w:t xml:space="preserve"> рублей </w:t>
      </w:r>
      <w:r w:rsidR="00A77AC7" w:rsidRPr="00A77AC7">
        <w:rPr>
          <w:rFonts w:ascii="Times" w:hAnsi="Times" w:cs="Times"/>
          <w:color w:val="000000"/>
          <w:sz w:val="17"/>
          <w:szCs w:val="17"/>
        </w:rPr>
        <w:t>____________</w:t>
      </w:r>
      <w:r>
        <w:rPr>
          <w:rFonts w:ascii="Times" w:hAnsi="Times" w:cs="Times"/>
          <w:color w:val="000000"/>
          <w:sz w:val="17"/>
          <w:szCs w:val="17"/>
        </w:rPr>
        <w:t>копеек</w:t>
      </w:r>
    </w:p>
    <w:p w14:paraId="0D0EF666"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14:paraId="120F4DCC" w14:textId="77777777" w:rsidR="00C4512B" w:rsidRDefault="00C4512B">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включает в себя НДС по ставке, установленной пунктом 3 статьи 164 Налогового кодекса Российской Федерации.</w:t>
      </w:r>
    </w:p>
    <w:p w14:paraId="70283B10"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C4512B" w14:paraId="7A7DCADE" w14:textId="77777777">
        <w:tblPrEx>
          <w:tblCellMar>
            <w:top w:w="0" w:type="dxa"/>
            <w:left w:w="0" w:type="dxa"/>
            <w:bottom w:w="0" w:type="dxa"/>
            <w:right w:w="0" w:type="dxa"/>
          </w:tblCellMar>
        </w:tblPrEx>
        <w:tc>
          <w:tcPr>
            <w:tcW w:w="5300" w:type="dxa"/>
            <w:gridSpan w:val="2"/>
            <w:tcBorders>
              <w:top w:val="nil"/>
              <w:left w:val="nil"/>
              <w:bottom w:val="nil"/>
              <w:right w:val="nil"/>
            </w:tcBorders>
          </w:tcPr>
          <w:p w14:paraId="526EB83E" w14:textId="77777777" w:rsidR="00C4512B" w:rsidRDefault="00C4512B">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ОПЕРАТОР</w:t>
            </w:r>
          </w:p>
        </w:tc>
        <w:tc>
          <w:tcPr>
            <w:tcW w:w="5300" w:type="dxa"/>
            <w:gridSpan w:val="2"/>
            <w:tcBorders>
              <w:top w:val="nil"/>
              <w:left w:val="nil"/>
              <w:bottom w:val="nil"/>
              <w:right w:val="nil"/>
            </w:tcBorders>
          </w:tcPr>
          <w:p w14:paraId="7C9EFDDC" w14:textId="77777777" w:rsidR="00C4512B" w:rsidRDefault="00C4512B">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АБОНЕНТ</w:t>
            </w:r>
          </w:p>
        </w:tc>
      </w:tr>
      <w:tr w:rsidR="00C4512B" w14:paraId="28EA48A8" w14:textId="77777777">
        <w:tblPrEx>
          <w:tblCellMar>
            <w:top w:w="0" w:type="dxa"/>
            <w:left w:w="0" w:type="dxa"/>
            <w:bottom w:w="0" w:type="dxa"/>
            <w:right w:w="0" w:type="dxa"/>
          </w:tblCellMar>
        </w:tblPrEx>
        <w:tc>
          <w:tcPr>
            <w:tcW w:w="5300" w:type="dxa"/>
            <w:gridSpan w:val="2"/>
            <w:tcBorders>
              <w:top w:val="nil"/>
              <w:left w:val="nil"/>
              <w:bottom w:val="nil"/>
              <w:right w:val="nil"/>
            </w:tcBorders>
          </w:tcPr>
          <w:p w14:paraId="46DCA0DB"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14:paraId="1913D54A"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r>
      <w:tr w:rsidR="00C4512B" w14:paraId="2B0273AE" w14:textId="77777777">
        <w:tblPrEx>
          <w:tblCellMar>
            <w:top w:w="0" w:type="dxa"/>
            <w:left w:w="0" w:type="dxa"/>
            <w:bottom w:w="0" w:type="dxa"/>
            <w:right w:w="0" w:type="dxa"/>
          </w:tblCellMar>
        </w:tblPrEx>
        <w:tc>
          <w:tcPr>
            <w:tcW w:w="5300" w:type="dxa"/>
            <w:gridSpan w:val="2"/>
            <w:tcBorders>
              <w:top w:val="nil"/>
              <w:left w:val="nil"/>
              <w:bottom w:val="nil"/>
              <w:right w:val="nil"/>
            </w:tcBorders>
          </w:tcPr>
          <w:p w14:paraId="3EF22787"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14:paraId="6AE33F5B"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r>
      <w:tr w:rsidR="00C4512B" w14:paraId="31657B9B" w14:textId="77777777">
        <w:tblPrEx>
          <w:tblCellMar>
            <w:top w:w="0" w:type="dxa"/>
            <w:left w:w="0" w:type="dxa"/>
            <w:bottom w:w="0" w:type="dxa"/>
            <w:right w:w="0" w:type="dxa"/>
          </w:tblCellMar>
        </w:tblPrEx>
        <w:tc>
          <w:tcPr>
            <w:tcW w:w="2650" w:type="dxa"/>
            <w:tcBorders>
              <w:top w:val="nil"/>
              <w:left w:val="nil"/>
              <w:bottom w:val="single" w:sz="6" w:space="0" w:color="000000"/>
              <w:right w:val="nil"/>
            </w:tcBorders>
          </w:tcPr>
          <w:p w14:paraId="181CAA2A"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1EB8B978"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single" w:sz="6" w:space="0" w:color="000000"/>
              <w:right w:val="nil"/>
            </w:tcBorders>
          </w:tcPr>
          <w:p w14:paraId="2FAFEA84"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0AC48D18"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r>
      <w:tr w:rsidR="00C4512B" w14:paraId="2D038845" w14:textId="77777777">
        <w:tblPrEx>
          <w:tblCellMar>
            <w:top w:w="0" w:type="dxa"/>
            <w:left w:w="0" w:type="dxa"/>
            <w:bottom w:w="0" w:type="dxa"/>
            <w:right w:w="0" w:type="dxa"/>
          </w:tblCellMar>
        </w:tblPrEx>
        <w:tc>
          <w:tcPr>
            <w:tcW w:w="2650" w:type="dxa"/>
            <w:tcBorders>
              <w:top w:val="nil"/>
              <w:left w:val="nil"/>
              <w:bottom w:val="nil"/>
              <w:right w:val="nil"/>
            </w:tcBorders>
          </w:tcPr>
          <w:p w14:paraId="1D43B164" w14:textId="77777777" w:rsidR="00C4512B" w:rsidRDefault="00C4512B">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48F91920"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14:paraId="1745CBA0" w14:textId="77777777" w:rsidR="00C4512B" w:rsidRDefault="00C4512B">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14:paraId="6BA17B49" w14:textId="77777777" w:rsidR="00C4512B" w:rsidRDefault="00C4512B">
            <w:pPr>
              <w:widowControl w:val="0"/>
              <w:autoSpaceDE w:val="0"/>
              <w:autoSpaceDN w:val="0"/>
              <w:adjustRightInd w:val="0"/>
              <w:spacing w:after="0" w:line="240" w:lineRule="auto"/>
              <w:rPr>
                <w:rFonts w:ascii="Times" w:hAnsi="Times" w:cs="Times"/>
                <w:color w:val="000000"/>
                <w:sz w:val="17"/>
                <w:szCs w:val="17"/>
              </w:rPr>
            </w:pPr>
          </w:p>
        </w:tc>
      </w:tr>
    </w:tbl>
    <w:p w14:paraId="7B8F9681" w14:textId="77777777" w:rsidR="00C4512B" w:rsidRDefault="00C4512B">
      <w:pPr>
        <w:widowControl w:val="0"/>
        <w:autoSpaceDE w:val="0"/>
        <w:autoSpaceDN w:val="0"/>
        <w:adjustRightInd w:val="0"/>
        <w:spacing w:after="0" w:line="240" w:lineRule="auto"/>
        <w:rPr>
          <w:rFonts w:ascii="Arial" w:hAnsi="Arial" w:cs="Arial"/>
          <w:sz w:val="24"/>
          <w:szCs w:val="24"/>
        </w:rPr>
        <w:sectPr w:rsidR="00C4512B">
          <w:pgSz w:w="11905" w:h="16837"/>
          <w:pgMar w:top="623" w:right="623" w:bottom="623" w:left="907" w:header="720" w:footer="720" w:gutter="0"/>
          <w:cols w:space="720"/>
          <w:noEndnote/>
        </w:sectPr>
      </w:pPr>
    </w:p>
    <w:p w14:paraId="4E8DD217" w14:textId="77777777" w:rsidR="00C4512B" w:rsidRDefault="00C4512B">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2</w:t>
      </w:r>
    </w:p>
    <w:p w14:paraId="31C1A6AE"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ЛИЦЕНЗИОННЫЙ ДОГОВОР № </w:t>
      </w:r>
      <w:r w:rsidR="00A77AC7">
        <w:rPr>
          <w:rFonts w:ascii="Times" w:hAnsi="Times" w:cs="Times"/>
          <w:b/>
          <w:bCs/>
          <w:color w:val="000000"/>
          <w:sz w:val="18"/>
          <w:szCs w:val="18"/>
        </w:rPr>
        <w:t>____________</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C4512B" w14:paraId="05172744" w14:textId="77777777">
        <w:tblPrEx>
          <w:tblCellMar>
            <w:top w:w="0" w:type="dxa"/>
            <w:left w:w="0" w:type="dxa"/>
            <w:bottom w:w="0" w:type="dxa"/>
            <w:right w:w="0" w:type="dxa"/>
          </w:tblCellMar>
        </w:tblPrEx>
        <w:tc>
          <w:tcPr>
            <w:tcW w:w="8277" w:type="dxa"/>
            <w:tcBorders>
              <w:top w:val="nil"/>
              <w:left w:val="nil"/>
              <w:bottom w:val="nil"/>
              <w:right w:val="nil"/>
            </w:tcBorders>
          </w:tcPr>
          <w:p w14:paraId="6D243162" w14:textId="77777777" w:rsidR="00C4512B" w:rsidRDefault="00A77AC7">
            <w:pPr>
              <w:widowControl w:val="0"/>
              <w:autoSpaceDE w:val="0"/>
              <w:autoSpaceDN w:val="0"/>
              <w:adjustRightInd w:val="0"/>
              <w:spacing w:after="0" w:line="240" w:lineRule="auto"/>
              <w:rPr>
                <w:rFonts w:ascii="Times" w:hAnsi="Times" w:cs="Times"/>
                <w:color w:val="000000"/>
                <w:sz w:val="16"/>
                <w:szCs w:val="16"/>
              </w:rPr>
            </w:pPr>
            <w:r w:rsidRPr="00A77AC7">
              <w:rPr>
                <w:rFonts w:ascii="Times" w:hAnsi="Times" w:cs="Times"/>
                <w:color w:val="000000"/>
                <w:sz w:val="16"/>
                <w:szCs w:val="16"/>
              </w:rPr>
              <w:t>____________</w:t>
            </w:r>
          </w:p>
        </w:tc>
        <w:tc>
          <w:tcPr>
            <w:tcW w:w="2097" w:type="dxa"/>
            <w:tcBorders>
              <w:top w:val="nil"/>
              <w:left w:val="nil"/>
              <w:bottom w:val="nil"/>
              <w:right w:val="nil"/>
            </w:tcBorders>
          </w:tcPr>
          <w:p w14:paraId="20876414" w14:textId="77777777" w:rsidR="00C4512B" w:rsidRDefault="00A77AC7">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__.__.20__</w:t>
            </w:r>
          </w:p>
        </w:tc>
      </w:tr>
    </w:tbl>
    <w:p w14:paraId="644A009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Лицензионный договор является офертой </w:t>
      </w:r>
      <w:r w:rsidR="00023A82">
        <w:rPr>
          <w:rFonts w:ascii="Times" w:hAnsi="Times" w:cs="Times"/>
          <w:b/>
          <w:bCs/>
          <w:color w:val="000000"/>
        </w:rPr>
        <w:t>____________</w:t>
      </w:r>
      <w:r>
        <w:rPr>
          <w:rFonts w:ascii="Times" w:hAnsi="Times" w:cs="Times"/>
          <w:color w:val="000000"/>
          <w:sz w:val="18"/>
          <w:szCs w:val="18"/>
        </w:rPr>
        <w:t xml:space="preserve">, именуемого в дальнейшем Лицензиар, Пользователю − юридическому лицу, именуемому в дальнейшем Лицензиат, заключающему с </w:t>
      </w:r>
      <w:r w:rsidR="00023A82">
        <w:rPr>
          <w:rFonts w:ascii="Times" w:hAnsi="Times" w:cs="Times"/>
          <w:b/>
          <w:bCs/>
          <w:color w:val="000000"/>
        </w:rPr>
        <w:t xml:space="preserve">____________ </w:t>
      </w:r>
      <w:r>
        <w:rPr>
          <w:rFonts w:ascii="Times" w:hAnsi="Times" w:cs="Times"/>
          <w:color w:val="000000"/>
          <w:sz w:val="18"/>
          <w:szCs w:val="18"/>
        </w:rPr>
        <w:t>Контракт на право использования программы для ЭВМ «Контур.Экстерн» и оказание услуг по сопровождению (технической поддержке) (далее – Контракт). Лицензионный договор признается заключенным с момента его акцепта Лицензиатом. Под акцептом в целях Лицензионного договора признается факт начала использования Продукта или факт оплаты вознаграждения по Контракту, в зависимости от того, какое событие наступит раньше.</w:t>
      </w:r>
    </w:p>
    <w:p w14:paraId="0604A29B"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7ADEC54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Лицензиату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14:paraId="4F445FF5"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Лицензионного договора</w:t>
      </w:r>
    </w:p>
    <w:p w14:paraId="0D22286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Лицензиар предоставляет Лицензиату право использования Продукта на условиях простой (неисключительной) лицензии.</w:t>
      </w:r>
    </w:p>
    <w:p w14:paraId="7273B3B4"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14:paraId="5BC1EF8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Исключительные права на Продукт принадлежат Лицензиару и охраняются как объект интеллектуальной собственности.</w:t>
      </w:r>
    </w:p>
    <w:p w14:paraId="3A0E367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14:paraId="4E4BCD0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3.3. Свидетельство о государственной регистрации прав на Продукт официально публикуется на сайте Лицензиара </w:t>
      </w:r>
      <w:r w:rsidR="00023A82">
        <w:rPr>
          <w:rFonts w:ascii="Times" w:hAnsi="Times" w:cs="Times"/>
          <w:b/>
          <w:bCs/>
          <w:color w:val="000000"/>
        </w:rPr>
        <w:t>____________</w:t>
      </w:r>
      <w:r>
        <w:rPr>
          <w:rFonts w:ascii="Times" w:hAnsi="Times" w:cs="Times"/>
          <w:color w:val="000000"/>
          <w:sz w:val="18"/>
          <w:szCs w:val="18"/>
        </w:rPr>
        <w:t>.</w:t>
      </w:r>
    </w:p>
    <w:p w14:paraId="4D04FA3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Продукт внесен в единый реестр российских программ для электронных вычислительных машин и баз данных 29.04.2016, регистрационный номер 523.</w:t>
      </w:r>
    </w:p>
    <w:p w14:paraId="530072D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14:paraId="5343626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14:paraId="5B23B6C7"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Гарантии Лицензиара. Условия использования (объем предоставляемых прав)</w:t>
      </w:r>
    </w:p>
    <w:p w14:paraId="0427DF9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Лицензиар гарантирует:</w:t>
      </w:r>
    </w:p>
    <w:p w14:paraId="08B8670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14:paraId="2555A84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4.1.2. что Продукт сертифицирован в соответствии с законодательством Российской Федерации. Данные по сертификации расположены на сайте по адресу </w:t>
      </w:r>
      <w:r w:rsidR="00023A82">
        <w:rPr>
          <w:rFonts w:ascii="Times" w:hAnsi="Times" w:cs="Times"/>
          <w:b/>
          <w:bCs/>
          <w:color w:val="000000"/>
        </w:rPr>
        <w:t>____________</w:t>
      </w:r>
      <w:r>
        <w:rPr>
          <w:rFonts w:ascii="Times" w:hAnsi="Times" w:cs="Times"/>
          <w:color w:val="000000"/>
          <w:sz w:val="18"/>
          <w:szCs w:val="18"/>
        </w:rPr>
        <w:t>;</w:t>
      </w:r>
    </w:p>
    <w:p w14:paraId="6226584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4.1.3. что Продукт будет соответствовать функциональности, описанной в Пользовательской документации, публикуемой на сайте </w:t>
      </w:r>
      <w:r w:rsidR="00023A82">
        <w:rPr>
          <w:rFonts w:ascii="Times" w:hAnsi="Times" w:cs="Times"/>
          <w:b/>
          <w:bCs/>
          <w:color w:val="000000"/>
        </w:rPr>
        <w:t>____________</w:t>
      </w:r>
      <w:r>
        <w:rPr>
          <w:rFonts w:ascii="Times" w:hAnsi="Times" w:cs="Times"/>
          <w:color w:val="000000"/>
          <w:sz w:val="18"/>
          <w:szCs w:val="18"/>
        </w:rPr>
        <w:t>;</w:t>
      </w:r>
    </w:p>
    <w:p w14:paraId="74149DF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защиту информации, обрабатываемой на сервере Лицензиара, от несанкционированного доступа;</w:t>
      </w:r>
    </w:p>
    <w:p w14:paraId="55FDCDB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своевременное обновление вспомогательного программного обеспечения на сервере Лицензиара;</w:t>
      </w:r>
    </w:p>
    <w:p w14:paraId="04CA11B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4.1.6. круглосуточную доступность сервера Лицензиара, за исключением времени проведения профилактических работ.</w:t>
      </w:r>
    </w:p>
    <w:p w14:paraId="5717703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Лицензиату предоставляется право не отправлять отчеты об использовании Продукта Лицензиару.</w:t>
      </w:r>
    </w:p>
    <w:p w14:paraId="39384DFD"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Порядок предоставления доступа и способы использования</w:t>
      </w:r>
    </w:p>
    <w:p w14:paraId="4014A73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14:paraId="7360E88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При этом Лицензиат может использовать Продукт следующими способами:</w:t>
      </w:r>
    </w:p>
    <w:p w14:paraId="67C5C90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14:paraId="29BD014F"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самостоятельно осуществлять интеграцию информационных систем Лицензиата с Продуктом с использованием API;</w:t>
      </w:r>
    </w:p>
    <w:p w14:paraId="52E7F44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все функциональные возможности Продукта, описанные Тарифным планом в Прайс-листе Лицензиара;</w:t>
      </w:r>
    </w:p>
    <w:p w14:paraId="2793846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размножать Пользовательскую документацию Продукта для личного использования;</w:t>
      </w:r>
    </w:p>
    <w:p w14:paraId="614AAB1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14:paraId="0891BAF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Лицензиат не вправе:</w:t>
      </w:r>
    </w:p>
    <w:p w14:paraId="59BE5F0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законодательства;</w:t>
      </w:r>
    </w:p>
    <w:p w14:paraId="774FC24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копировать, модифицировать, декомпилировать, деассемблировать Продукт;</w:t>
      </w:r>
    </w:p>
    <w:p w14:paraId="49DD86AB"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Пользовательской документации;</w:t>
      </w:r>
    </w:p>
    <w:p w14:paraId="52843CA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14:paraId="36173659"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Территория действия Лицензионного договора</w:t>
      </w:r>
    </w:p>
    <w:p w14:paraId="338CB4D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Лицензионный договор действует на всей территории Российской Федерации.</w:t>
      </w:r>
    </w:p>
    <w:p w14:paraId="3802AB5F"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Срок действия Лицензионного договора</w:t>
      </w:r>
    </w:p>
    <w:p w14:paraId="59751A6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Лицензионный договор действует с момента его акцепта Лицензиатом в течение срока действия Контракта на право использования программы для ЭВМ «Контур.Экстерн» и оказание услуг по сопровождению (технической поддержке).</w:t>
      </w:r>
    </w:p>
    <w:p w14:paraId="7C81BDEC"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Вознаграждение</w:t>
      </w:r>
    </w:p>
    <w:p w14:paraId="185FF9E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Лицензиат уплачивает по Лицензионному договору вознаграждение Лицензиару в размере и на условиях согласно Контракту на право использования программы для ЭВМ «Контур.Экстерн» и оказание услуг по сопровождению (технической поддержке).</w:t>
      </w:r>
    </w:p>
    <w:p w14:paraId="3502CD70"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Прочие условия</w:t>
      </w:r>
    </w:p>
    <w:p w14:paraId="4790163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Все иные условия, не урегулированные Лицензионным договором, регулируются Контрактом на право использования программы для ЭВМ «Контур.Экстерн» и оказание услуг по сопровождению (технической поддержке).</w:t>
      </w:r>
    </w:p>
    <w:p w14:paraId="7DB0C4E5" w14:textId="77777777" w:rsidR="00C4512B" w:rsidRDefault="00C4512B">
      <w:pPr>
        <w:widowControl w:val="0"/>
        <w:autoSpaceDE w:val="0"/>
        <w:autoSpaceDN w:val="0"/>
        <w:adjustRightInd w:val="0"/>
        <w:spacing w:after="0" w:line="240" w:lineRule="auto"/>
        <w:rPr>
          <w:rFonts w:ascii="Arial" w:hAnsi="Arial" w:cs="Arial"/>
          <w:sz w:val="24"/>
          <w:szCs w:val="24"/>
        </w:rPr>
        <w:sectPr w:rsidR="00C4512B">
          <w:pgSz w:w="11905" w:h="16837"/>
          <w:pgMar w:top="623" w:right="623" w:bottom="623" w:left="907" w:header="720" w:footer="720" w:gutter="0"/>
          <w:cols w:space="720"/>
          <w:noEndnote/>
        </w:sectPr>
      </w:pPr>
    </w:p>
    <w:p w14:paraId="017E76A3" w14:textId="77777777" w:rsidR="00C4512B" w:rsidRDefault="00C4512B">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3</w:t>
      </w:r>
    </w:p>
    <w:p w14:paraId="6B99FEFD"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СУБЛИЦЕНЗИОННЫЙ ДОГОВОР № </w:t>
      </w:r>
      <w:r w:rsidR="00A77AC7">
        <w:rPr>
          <w:rFonts w:ascii="Times" w:hAnsi="Times" w:cs="Times"/>
          <w:b/>
          <w:bCs/>
          <w:color w:val="000000"/>
          <w:sz w:val="18"/>
          <w:szCs w:val="18"/>
        </w:rPr>
        <w:t>____________</w:t>
      </w:r>
    </w:p>
    <w:p w14:paraId="0DD81D76" w14:textId="77777777" w:rsidR="00C4512B" w:rsidRDefault="00C4512B">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использование программы для ЭВМ СКЗИ «КриптоПро»</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C4512B" w14:paraId="260584D7" w14:textId="77777777">
        <w:tblPrEx>
          <w:tblCellMar>
            <w:top w:w="0" w:type="dxa"/>
            <w:left w:w="0" w:type="dxa"/>
            <w:bottom w:w="0" w:type="dxa"/>
            <w:right w:w="0" w:type="dxa"/>
          </w:tblCellMar>
        </w:tblPrEx>
        <w:tc>
          <w:tcPr>
            <w:tcW w:w="8277" w:type="dxa"/>
            <w:tcBorders>
              <w:top w:val="nil"/>
              <w:left w:val="nil"/>
              <w:bottom w:val="nil"/>
              <w:right w:val="nil"/>
            </w:tcBorders>
          </w:tcPr>
          <w:p w14:paraId="36EEE5F3" w14:textId="77777777" w:rsidR="00C4512B" w:rsidRDefault="00A77AC7">
            <w:pPr>
              <w:widowControl w:val="0"/>
              <w:autoSpaceDE w:val="0"/>
              <w:autoSpaceDN w:val="0"/>
              <w:adjustRightInd w:val="0"/>
              <w:spacing w:after="0" w:line="240" w:lineRule="auto"/>
              <w:rPr>
                <w:rFonts w:ascii="Times" w:hAnsi="Times" w:cs="Times"/>
                <w:color w:val="000000"/>
                <w:sz w:val="16"/>
                <w:szCs w:val="16"/>
              </w:rPr>
            </w:pPr>
            <w:r w:rsidRPr="00A77AC7">
              <w:rPr>
                <w:rFonts w:ascii="Times" w:hAnsi="Times" w:cs="Times"/>
                <w:color w:val="000000"/>
                <w:sz w:val="16"/>
                <w:szCs w:val="16"/>
              </w:rPr>
              <w:t>____________</w:t>
            </w:r>
          </w:p>
        </w:tc>
        <w:tc>
          <w:tcPr>
            <w:tcW w:w="2097" w:type="dxa"/>
            <w:tcBorders>
              <w:top w:val="nil"/>
              <w:left w:val="nil"/>
              <w:bottom w:val="nil"/>
              <w:right w:val="nil"/>
            </w:tcBorders>
          </w:tcPr>
          <w:p w14:paraId="05F869F5" w14:textId="77777777" w:rsidR="00C4512B" w:rsidRDefault="00A77AC7">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__.__.20__</w:t>
            </w:r>
          </w:p>
        </w:tc>
      </w:tr>
    </w:tbl>
    <w:p w14:paraId="3CC605B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Сублицензионный договор является офертой </w:t>
      </w:r>
      <w:r w:rsidR="00023A82">
        <w:rPr>
          <w:rFonts w:ascii="Times" w:hAnsi="Times" w:cs="Times"/>
          <w:b/>
          <w:bCs/>
          <w:color w:val="000000"/>
        </w:rPr>
        <w:t>____________</w:t>
      </w:r>
      <w:r>
        <w:rPr>
          <w:rFonts w:ascii="Times" w:hAnsi="Times" w:cs="Times"/>
          <w:color w:val="000000"/>
          <w:sz w:val="18"/>
          <w:szCs w:val="18"/>
        </w:rPr>
        <w:t xml:space="preserve"> именуемого в дальнейшем Лицензиат, Пользователю − физическому или юридическому лицу, именуемому в дальнейшем Сублицензиат, заключающему с </w:t>
      </w:r>
      <w:r w:rsidR="00023A82">
        <w:rPr>
          <w:rFonts w:ascii="Times" w:hAnsi="Times" w:cs="Times"/>
          <w:b/>
          <w:bCs/>
          <w:color w:val="000000"/>
        </w:rPr>
        <w:t>____________</w:t>
      </w:r>
      <w:r>
        <w:rPr>
          <w:rFonts w:ascii="Times" w:hAnsi="Times" w:cs="Times"/>
          <w:color w:val="000000"/>
          <w:sz w:val="18"/>
          <w:szCs w:val="18"/>
        </w:rPr>
        <w:t xml:space="preserve"> Контракт на право использования программы для ЭВМ «Контур.Экстерн» и оказание услуг по сопровождению (технической поддержке) (далее – Контракт). Сублицензионный договор признается заключенным с момента его акцепта Сублицензиатом. Под акцептом в целях Сублицензионного договора признается факт оплаты вознаграждения по Контракту,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
    <w:p w14:paraId="13D646FA"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14:paraId="1E6DA436"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Контракта Стороны согласовывают финансовые условия путем подписания Спецификаций, и/или в выставленном Лицензиатом счете.</w:t>
      </w:r>
    </w:p>
    <w:p w14:paraId="6F4178B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14:paraId="3DC1012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Сертификат ключа – сертификат ключа проверки электронной подписи.</w:t>
      </w:r>
    </w:p>
    <w:p w14:paraId="3056655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14:paraId="7D79FC6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Лицензия в составе сертификата ключа – программные алгоритмы, встроенные в сертификат ключа, позволяющие активировать СКЗИ, установленное на рабочем месте. Не сопровождается бланком лицензии.</w:t>
      </w:r>
    </w:p>
    <w:p w14:paraId="4BD5517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Лицензия, встроенная в ключевой контейнер, − серийный номер, привязанный к ключевому контейнеру, позволяющий активировать СКЗИ, установленные на рабочем месте. Не сопровождается бланком лицензии.</w:t>
      </w:r>
    </w:p>
    <w:p w14:paraId="51A4004D"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Сублицензионного договора</w:t>
      </w:r>
    </w:p>
    <w:p w14:paraId="1BAC6649"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Предметом Сублицензионного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Сублицензионного договора.</w:t>
      </w:r>
    </w:p>
    <w:p w14:paraId="3FDCCFF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Право использования СКЗИ предоставляется только Сублицензиату (и никаким иным третьим лицам), за исключением случаев, когда Контрактом предусмотрено наличие Конечных пользователей, список которых устанавливается в указанном Контракте или приложении к нему. В таких случаях право использования СКЗИ предоставляется также Конечным пользователям.</w:t>
      </w:r>
    </w:p>
    <w:p w14:paraId="15232195"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14:paraId="7FCC055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14:paraId="50F63EB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Средство криптографической защиты информации «КриптоПро CSP» (версия 4.0) внесено в единый реестр российских программ для электронных вычислительных машин и баз данных 29.04.2016, регистрационный номер 515.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4.0 либо версии 5.0, установленное на рабочем месте Сублицензиата.</w:t>
      </w:r>
    </w:p>
    <w:p w14:paraId="11CFBC7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Право использования СКЗИ предоставляется Сублицензиату исключительно в объеме, оговоренном Сублицензионным договором, если нет письменного согласия Правообладателя на иное.</w:t>
      </w:r>
    </w:p>
    <w:p w14:paraId="697E8CA7"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Условия использования СКЗИ</w:t>
      </w:r>
    </w:p>
    <w:p w14:paraId="36E6D7E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14:paraId="50F6A99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14:paraId="21D3ECE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Сублицензиат не имеет права осуществлять следующую деятельность:</w:t>
      </w:r>
    </w:p>
    <w:p w14:paraId="5A35245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допускать использование СКЗИ лицами, не имеющими прав на такое использование;</w:t>
      </w:r>
    </w:p>
    <w:p w14:paraId="43C06BE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дизассемблировать (анализировать и исследовать объектный код), декомпилировать (преобразовывать объектный код в исходный текст), адаптировать и модифицировать СКЗИ;</w:t>
      </w:r>
    </w:p>
    <w:p w14:paraId="47F7991D"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14:paraId="00B9C97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14:paraId="7272FBEC"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Территория действия Сублицензионного договора</w:t>
      </w:r>
    </w:p>
    <w:p w14:paraId="40378C3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Сублицензионный договор действует на территории всего мира.</w:t>
      </w:r>
    </w:p>
    <w:p w14:paraId="2E09F1C5"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Сублицензионного договора и передаваемых прав использования (лицензии)</w:t>
      </w:r>
    </w:p>
    <w:p w14:paraId="4E8CCE5C"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Сублицензионный договор вступает в силу с момента его акцепта Сублицензиатом и действует в течение срока, установленного заключенным между Лицензиатом и Сублицензиатом Контрактом и автоматически пролонгируется на срок и по условиям пролонгации Контракта.</w:t>
      </w:r>
    </w:p>
    <w:p w14:paraId="0AD57751"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Передача бессрочных лицензий осуществляется на весь период действия исключительного права Правообладателя.</w:t>
      </w:r>
    </w:p>
    <w:p w14:paraId="3A4F1460"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Передача лицензий в составе сертификата ключа осуществляется на срок, указанный в таком сертификате. В случае досрочного прекращения срока действия сертификата ключа по любой причине – досрочно прекращается срок действия лицензии.</w:t>
      </w:r>
    </w:p>
    <w:p w14:paraId="06CD785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14:paraId="138DCCA4"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прекращения срока действия сертификата ключа по любой причине – досрочно прекращается срок действия лицензии.</w:t>
      </w:r>
    </w:p>
    <w:p w14:paraId="41F063CE"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14:paraId="3E31A077"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6.7. В случае нарушения условий Сублицензионного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14:paraId="10E5CBC7"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Вознаграждение</w:t>
      </w:r>
    </w:p>
    <w:p w14:paraId="5AC73CE6"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Сублицензиат уплачивает Лицензиату по Сублицензионному договору вознаграждение в размере и на условиях согласно заключенному между Лицензиатом и Сублицензиатом Контракту.</w:t>
      </w:r>
    </w:p>
    <w:p w14:paraId="287838D2"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14:paraId="27288E08"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Количество лицензий и общий размер лицензионного вознаграждения устанавливаются Лицензиатом в Контракте.</w:t>
      </w:r>
    </w:p>
    <w:p w14:paraId="59DD9628"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Ответственность</w:t>
      </w:r>
    </w:p>
    <w:p w14:paraId="24D660CA"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Сублицензиат приобретает право использования СКЗИ в объеме, оговоренном Сублицензионным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14:paraId="4F4BDA35"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Незаконное использование СКЗИ является нарушением законодательства Российской Федерации и преследуется по закону.</w:t>
      </w:r>
    </w:p>
    <w:p w14:paraId="2BFEFF44" w14:textId="77777777" w:rsidR="00C4512B" w:rsidRDefault="00C4512B">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Гарантии изготовителя (Правообладателя)</w:t>
      </w:r>
    </w:p>
    <w:p w14:paraId="7093AFA3"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14:paraId="6CC5FB8B" w14:textId="77777777" w:rsidR="00C4512B" w:rsidRDefault="00C4512B">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sectPr w:rsidR="00C4512B">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Segoe UI">
    <w:altName w:val="Segoe UI"/>
    <w:panose1 w:val="020B0502040204020203"/>
    <w:charset w:val="CC"/>
    <w:family w:val="swiss"/>
    <w:pitch w:val="variable"/>
    <w:sig w:usb0="E4002EFF" w:usb1="C000E47F" w:usb2="00000009" w:usb3="00000000" w:csb0="000001FF" w:csb1="00000000"/>
  </w:font>
  <w:font w:name="Times">
    <w:altName w:val="Times New Roman"/>
    <w:panose1 w:val="02020603050405020304"/>
    <w:charset w:val="CC"/>
    <w:family w:val="roman"/>
    <w:pitch w:val="variable"/>
    <w:sig w:usb0="00000201" w:usb1="00000000" w:usb2="00000000" w:usb3="00000000" w:csb0="00000004" w:csb1="00000000"/>
  </w:font>
  <w:font w:name="Arial">
    <w:altName w:val="Univers"/>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AC7"/>
    <w:rsid w:val="00023A82"/>
    <w:rsid w:val="00125B87"/>
    <w:rsid w:val="009D20AB"/>
    <w:rsid w:val="009D6A5B"/>
    <w:rsid w:val="00A77AC7"/>
    <w:rsid w:val="00AF7295"/>
    <w:rsid w:val="00C4512B"/>
    <w:rsid w:val="00CE1A0F"/>
    <w:rsid w:val="00F24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93BCCF"/>
  <w14:defaultImageDpi w14:val="0"/>
  <w15:docId w15:val="{4C40715A-8AAF-4C66-9CAF-D812EC8FA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77AC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A77AC7"/>
    <w:rPr>
      <w:rFonts w:ascii="Segoe UI" w:hAnsi="Segoe UI" w:cs="Segoe UI"/>
      <w:sz w:val="18"/>
      <w:szCs w:val="18"/>
    </w:rPr>
  </w:style>
  <w:style w:type="paragraph" w:styleId="a5">
    <w:name w:val="Revision"/>
    <w:hidden/>
    <w:uiPriority w:val="99"/>
    <w:semiHidden/>
    <w:rsid w:val="00A77AC7"/>
    <w:pPr>
      <w:spacing w:after="0" w:line="240" w:lineRule="auto"/>
    </w:pPr>
  </w:style>
  <w:style w:type="character" w:styleId="a6">
    <w:name w:val="annotation reference"/>
    <w:basedOn w:val="a0"/>
    <w:uiPriority w:val="99"/>
    <w:semiHidden/>
    <w:unhideWhenUsed/>
    <w:rsid w:val="009D6A5B"/>
    <w:rPr>
      <w:rFonts w:cs="Times New Roman"/>
      <w:sz w:val="16"/>
      <w:szCs w:val="16"/>
    </w:rPr>
  </w:style>
  <w:style w:type="paragraph" w:styleId="a7">
    <w:name w:val="annotation text"/>
    <w:basedOn w:val="a"/>
    <w:link w:val="a8"/>
    <w:uiPriority w:val="99"/>
    <w:semiHidden/>
    <w:unhideWhenUsed/>
    <w:rsid w:val="009D6A5B"/>
    <w:rPr>
      <w:sz w:val="20"/>
      <w:szCs w:val="20"/>
    </w:rPr>
  </w:style>
  <w:style w:type="character" w:customStyle="1" w:styleId="a8">
    <w:name w:val="Текст примечания Знак"/>
    <w:basedOn w:val="a0"/>
    <w:link w:val="a7"/>
    <w:uiPriority w:val="99"/>
    <w:semiHidden/>
    <w:locked/>
    <w:rsid w:val="009D6A5B"/>
    <w:rPr>
      <w:rFonts w:cs="Times New Roman"/>
      <w:sz w:val="20"/>
      <w:szCs w:val="20"/>
    </w:rPr>
  </w:style>
  <w:style w:type="paragraph" w:styleId="a9">
    <w:name w:val="annotation subject"/>
    <w:basedOn w:val="a7"/>
    <w:next w:val="a7"/>
    <w:link w:val="aa"/>
    <w:uiPriority w:val="99"/>
    <w:semiHidden/>
    <w:unhideWhenUsed/>
    <w:rsid w:val="009D6A5B"/>
    <w:rPr>
      <w:b/>
      <w:bCs/>
    </w:rPr>
  </w:style>
  <w:style w:type="character" w:customStyle="1" w:styleId="aa">
    <w:name w:val="Тема примечания Знак"/>
    <w:basedOn w:val="a8"/>
    <w:link w:val="a9"/>
    <w:uiPriority w:val="99"/>
    <w:semiHidden/>
    <w:locked/>
    <w:rsid w:val="009D6A5B"/>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7256</Words>
  <Characters>41365</Characters>
  <Application>Microsoft Office Word</Application>
  <DocSecurity>0</DocSecurity>
  <Lines>344</Lines>
  <Paragraphs>97</Paragraphs>
  <ScaleCrop>false</ScaleCrop>
  <Company/>
  <LinksUpToDate>false</LinksUpToDate>
  <CharactersWithSpaces>48524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Артемьева Наталья Алексеевна</dc:creator>
  <cp:keywords/>
  <dc:description/>
  <cp:lastModifiedBy>Салмина Ю.О.</cp:lastModifiedBy>
  <cp:revision>2</cp:revision>
  <dcterms:created xsi:type="dcterms:W3CDTF">2026-10-26T05:58:00Z</dcterms:created>
  <dcterms:modified xsi:type="dcterms:W3CDTF">2026-10-26T05:58:00Z</dcterms:modified>
</cp:coreProperties>
</file>