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06"/>
        <w:rPr>
          <w:bCs/>
        </w:rPr>
      </w:pPr>
      <w:r>
        <w:rPr>
          <w:bCs/>
        </w:rPr>
        <w:t xml:space="preserve"> Государственный контракт № </w:t>
      </w:r>
      <w:r>
        <w:rPr>
          <w:bCs/>
        </w:rPr>
        <w:t xml:space="preserve">100201966126100166</w:t>
      </w:r>
      <w:r>
        <w:rPr>
          <w:bCs/>
        </w:rPr>
      </w:r>
      <w:r>
        <w:rPr>
          <w:bCs/>
        </w:rPr>
      </w:r>
    </w:p>
    <w:p>
      <w:pPr>
        <w:pStyle w:val="806"/>
      </w:pPr>
      <w:r>
        <w:t xml:space="preserve">на поставку IP‑видеокамер</w:t>
      </w:r>
      <w:r/>
    </w:p>
    <w:p>
      <w:r/>
      <w:r/>
    </w:p>
    <w:tbl>
      <w:tblPr>
        <w:tblStyle w:val="977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7"/>
        <w:gridCol w:w="5098"/>
      </w:tblGrid>
      <w:tr>
        <w:tblPrEx/>
        <w:trPr>
          <w:trHeight w:val="302"/>
        </w:trPr>
        <w:tc>
          <w:tcPr>
            <w:tcW w:w="5097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t xml:space="preserve">г. Москва</w:t>
            </w:r>
            <w:r/>
          </w:p>
        </w:tc>
        <w:tc>
          <w:tcPr>
            <w:tcW w:w="5098" w:type="dxa"/>
            <w:vAlign w:val="center"/>
            <w:textDirection w:val="lrTb"/>
            <w:noWrap w:val="false"/>
          </w:tcPr>
          <w:p>
            <w:pPr>
              <w:jc w:val="right"/>
            </w:pPr>
            <w:r>
              <w:t xml:space="preserve">«___» ________ 2026 г.</w:t>
            </w:r>
            <w:r/>
          </w:p>
        </w:tc>
      </w:tr>
      <w:tr>
        <w:tblPrEx/>
        <w:trPr>
          <w:trHeight w:val="302"/>
        </w:trPr>
        <w:tc>
          <w:tcPr>
            <w:tcW w:w="5097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W w:w="5098" w:type="dxa"/>
            <w:vAlign w:val="center"/>
            <w:textDirection w:val="lrTb"/>
            <w:noWrap w:val="false"/>
          </w:tcPr>
          <w:p>
            <w:pPr>
              <w:jc w:val="right"/>
            </w:pPr>
            <w:r/>
            <w:r/>
          </w:p>
        </w:tc>
      </w:tr>
    </w:tbl>
    <w:p>
      <w:pPr>
        <w:rPr>
          <w:highlight w:val="none"/>
        </w:rPr>
      </w:pPr>
      <w:r>
        <w:rPr>
          <w:sz w:val="24"/>
          <w:szCs w:val="26"/>
        </w:rPr>
        <w:t xml:space="preserve">Министерство энергетики Российской Федерации (Минэнерго России), именуемое </w:t>
      </w:r>
      <w:r>
        <w:rPr>
          <w:sz w:val="24"/>
          <w:szCs w:val="26"/>
        </w:rPr>
        <w:br/>
        <w:t xml:space="preserve">в дальнейшем «Заказчик», в лице директора Департамента цифровой трансформации Мицкевича Феликса Владимировича, действующего на основании приказа Минэнерго России от 24.11.2021 </w:t>
        <w:br/>
        <w:t xml:space="preserve">№ 1286 и доверенности от 03.03.2025 № СЦ-3295/14</w:t>
      </w:r>
      <w:r>
        <w:t xml:space="preserve">, с одной стороны, </w:t>
      </w:r>
      <w:r>
        <w:t xml:space="preserve">и </w:t>
      </w:r>
      <w:r>
        <w:t xml:space="preserve">общество с ограниченной ответственностью «АЛЬФАКОМ» (ООО «</w:t>
      </w:r>
      <w:r>
        <w:t xml:space="preserve">АЛЬФАКОМ</w:t>
      </w:r>
      <w:r>
        <w:t xml:space="preserve">»)</w:t>
      </w:r>
      <w:r>
        <w:t xml:space="preserve">, именуемое в дальнейшем «Поставщик», в лице </w:t>
      </w:r>
      <w:r>
        <w:t xml:space="preserve">генерального директора </w:t>
      </w:r>
      <w:r>
        <w:t xml:space="preserve">Балобановой Эллы Андреевны</w:t>
      </w:r>
      <w:r>
        <w:t xml:space="preserve">, действующего </w:t>
        <w:br/>
        <w:t xml:space="preserve">на основании Устава, с другой стороны, в дальнейшем именуемые «Стороны», а по отдельности </w:t>
        <w:br/>
        <w:t xml:space="preserve">– «Сторона», в соответствии</w:t>
      </w:r>
      <w:r>
        <w:t xml:space="preserve"> с пунктом 4 части 1 статьи 93 Федерального закона от 05.04.2013 </w:t>
        <w:br/>
        <w:t xml:space="preserve">№ 44-ФЗ «О контрактной системе в сфере закупок товаров, работ, услуг для обеспечения государственных и муниципальных нужд» (далее – Закон </w:t>
      </w:r>
      <w:r>
        <w:t xml:space="preserve">о контрактной системе) заключили настоящий государственный контракт (далее – Контракт) </w:t>
      </w:r>
      <w:r>
        <w:t xml:space="preserve">о нижеследующем:</w:t>
      </w:r>
      <w:r>
        <w:rPr>
          <w:highlight w:val="none"/>
        </w:rPr>
      </w:r>
      <w:r>
        <w:rPr>
          <w:highlight w:val="none"/>
        </w:rPr>
      </w:r>
    </w:p>
    <w:p>
      <w:pPr>
        <w:ind w:firstLine="0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07"/>
        <w:ind w:left="357" w:hanging="357"/>
        <w:spacing w:before="120" w:after="120"/>
      </w:pPr>
      <w:r>
        <w:t xml:space="preserve">Предмет Контракта</w:t>
      </w:r>
      <w:r/>
    </w:p>
    <w:p>
      <w:pPr>
        <w:numPr>
          <w:ilvl w:val="0"/>
          <w:numId w:val="13"/>
        </w:numPr>
        <w:contextualSpacing/>
        <w:ind w:left="0" w:right="19" w:firstLine="567"/>
        <w:tabs>
          <w:tab w:val="left" w:pos="993" w:leader="none"/>
        </w:tabs>
        <w:outlineLvl w:val="9"/>
      </w:pPr>
      <w:r>
        <w:t xml:space="preserve">Поставщик обязуется поставить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IP‑видеокамеры </w:t>
      </w:r>
      <w:r>
        <w:t xml:space="preserve">(далее – Товар), а Заказчик принять и оплатить Товар.</w:t>
      </w:r>
      <w:r/>
    </w:p>
    <w:p>
      <w:pPr>
        <w:numPr>
          <w:ilvl w:val="0"/>
          <w:numId w:val="13"/>
        </w:numPr>
        <w:contextualSpacing/>
        <w:ind w:left="0" w:right="19" w:firstLine="567"/>
        <w:spacing w:line="100" w:lineRule="atLeast"/>
        <w:tabs>
          <w:tab w:val="left" w:pos="993" w:leader="none"/>
        </w:tabs>
        <w:rPr>
          <w:highlight w:val="white"/>
        </w:rPr>
        <w:outlineLvl w:val="9"/>
      </w:pPr>
      <w:r>
        <w:rPr>
          <w:lang w:eastAsia="ar-SA"/>
        </w:rPr>
        <w:t xml:space="preserve">Наименование, характеристики, стоимость и количество Товара указаны </w:t>
      </w:r>
      <w:r>
        <w:rPr>
          <w:lang w:eastAsia="ar-SA"/>
        </w:rPr>
        <w:br/>
        <w:t xml:space="preserve">в Техническом задании (</w:t>
      </w:r>
      <w:bookmarkStart w:id="0" w:name="_Hlk110243451"/>
      <w:r>
        <w:rPr>
          <w:lang w:eastAsia="ar-SA"/>
        </w:rPr>
        <w:t xml:space="preserve">приложение № 1 к настоящему Контракту</w:t>
      </w:r>
      <w:bookmarkEnd w:id="0"/>
      <w:r>
        <w:rPr>
          <w:lang w:eastAsia="ar-SA"/>
        </w:rPr>
        <w:t xml:space="preserve">) и в Спецификации (Приложение № 2 к настоящему Контракту), которые являются неотъемлемой частью настоящего Кон</w:t>
      </w:r>
      <w:r>
        <w:rPr>
          <w:highlight w:val="white"/>
          <w:lang w:eastAsia="ar-SA"/>
        </w:rPr>
        <w:t xml:space="preserve">тракта.</w:t>
      </w:r>
      <w:r>
        <w:rPr>
          <w:highlight w:val="white"/>
        </w:rPr>
      </w:r>
      <w:r>
        <w:rPr>
          <w:highlight w:val="white"/>
        </w:rPr>
      </w:r>
    </w:p>
    <w:p>
      <w:pPr>
        <w:numPr>
          <w:ilvl w:val="0"/>
          <w:numId w:val="13"/>
        </w:numPr>
        <w:contextualSpacing/>
        <w:ind w:right="19" w:hanging="862"/>
        <w:spacing w:line="100" w:lineRule="atLeast"/>
        <w:tabs>
          <w:tab w:val="left" w:pos="993" w:leader="none"/>
        </w:tabs>
        <w:rPr>
          <w:highlight w:val="white"/>
        </w:rPr>
        <w:outlineLvl w:val="9"/>
      </w:pPr>
      <w:r>
        <w:rPr>
          <w:highlight w:val="white"/>
          <w:lang w:eastAsia="ar-SA"/>
        </w:rPr>
        <w:t xml:space="preserve">ИКЗ: </w:t>
      </w:r>
      <w:r>
        <w:rPr>
          <w:b w:val="0"/>
          <w:bCs w:val="0"/>
          <w:highlight w:val="white"/>
        </w:rPr>
        <w:t xml:space="preserve">261770584752977050100100360000000244</w:t>
      </w:r>
      <w:r>
        <w:rPr>
          <w:highlight w:val="white"/>
          <w:lang w:eastAsia="ar-SA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numPr>
          <w:ilvl w:val="0"/>
          <w:numId w:val="13"/>
        </w:numPr>
        <w:contextualSpacing/>
        <w:ind w:right="19" w:hanging="862"/>
        <w:spacing w:line="100" w:lineRule="atLeast"/>
        <w:tabs>
          <w:tab w:val="left" w:pos="993" w:leader="none"/>
        </w:tabs>
        <w:rPr>
          <w:highlight w:val="yellow"/>
        </w:rPr>
        <w:outlineLvl w:val="9"/>
      </w:pPr>
      <w:r>
        <w:rPr>
          <w:highlight w:val="white"/>
          <w:lang w:eastAsia="ar-SA"/>
        </w:rPr>
        <w:t xml:space="preserve">КМИ: </w:t>
      </w:r>
      <w:r>
        <w:rPr>
          <w:highlight w:val="white"/>
          <w:lang w:eastAsia="ar-SA"/>
        </w:rPr>
        <w:t xml:space="preserve">022.00100022.22.Э.50023.26</w:t>
      </w:r>
      <w:r>
        <w:rPr>
          <w:highlight w:val="white"/>
          <w:lang w:eastAsia="ar-SA"/>
        </w:rPr>
        <w:t xml:space="preserve">.</w:t>
      </w:r>
      <w:r>
        <w:rPr>
          <w:highlight w:val="yellow"/>
        </w:rPr>
      </w:r>
      <w:r>
        <w:rPr>
          <w:highlight w:val="yellow"/>
        </w:rPr>
      </w:r>
    </w:p>
    <w:p>
      <w:pPr>
        <w:numPr>
          <w:ilvl w:val="0"/>
          <w:numId w:val="13"/>
        </w:numPr>
        <w:contextualSpacing/>
        <w:ind w:left="0" w:right="19" w:firstLine="567"/>
        <w:spacing w:line="100" w:lineRule="atLeast"/>
        <w:tabs>
          <w:tab w:val="left" w:pos="993" w:leader="none"/>
        </w:tabs>
        <w:rPr>
          <w:lang w:eastAsia="ar-SA"/>
        </w:rPr>
        <w:outlineLvl w:val="9"/>
      </w:pPr>
      <w:r>
        <w:t xml:space="preserve">Заказчиком установлено требование об отсутствии в предусмотренном Законом </w:t>
      </w:r>
      <w:r>
        <w:br/>
        <w:t xml:space="preserve">о контрактной системе реестре недобросовестных поставщиков (подрядчиков, исполнителей) информации о Поставщике, в том числе о лицах, информация о которых содержится в заявке </w:t>
      </w:r>
      <w:r>
        <w:br/>
        <w:t xml:space="preserve">на участие в закупке в соответствии с подпунктом «в» пункта 1 части 1 статьи 43 </w:t>
      </w:r>
      <w:r>
        <w:t xml:space="preserve">Закон</w:t>
      </w:r>
      <w:r>
        <w:br/>
        <w:t xml:space="preserve">о контрактной системе</w:t>
      </w:r>
      <w:r>
        <w:t xml:space="preserve">, включенной в такой реестр в связи с отказом от исполнения</w:t>
      </w:r>
      <w:r>
        <w:t xml:space="preserve"> контракта</w:t>
      </w:r>
      <w:r>
        <w:t xml:space="preserve"> </w:t>
      </w:r>
      <w:r>
        <w:t xml:space="preserve">по причине введения </w:t>
      </w:r>
      <w:r>
        <w:t xml:space="preserve">в отношении заказчика политических или экономических санкций иностранными государствами, совмещающими недружественные действия в отношении Российской Федерации, граждан Российской Федерации или российских юридических ли</w:t>
      </w:r>
      <w:r>
        <w:t xml:space="preserve">ц, и (или) введения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характера.</w:t>
      </w:r>
      <w:r>
        <w:rPr>
          <w:lang w:eastAsia="ar-SA"/>
        </w:rPr>
      </w:r>
      <w:r>
        <w:rPr>
          <w:lang w:eastAsia="ar-SA"/>
        </w:rPr>
      </w:r>
    </w:p>
    <w:p>
      <w:pPr>
        <w:contextualSpacing/>
        <w:ind w:left="567" w:right="19" w:firstLine="0"/>
        <w:spacing w:line="100" w:lineRule="atLeast"/>
        <w:tabs>
          <w:tab w:val="left" w:pos="993" w:leader="none"/>
        </w:tabs>
        <w:rPr>
          <w:lang w:eastAsia="ar-SA"/>
        </w:rPr>
        <w:outlineLvl w:val="9"/>
      </w:pPr>
      <w:r>
        <w:rPr>
          <w:highlight w:val="none"/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p>
      <w:pPr>
        <w:pStyle w:val="807"/>
        <w:ind w:left="357" w:hanging="357"/>
        <w:spacing w:before="120" w:after="120"/>
      </w:pPr>
      <w:r>
        <w:t xml:space="preserve">Цена Контракта и порядок оплаты</w:t>
      </w:r>
      <w:r/>
    </w:p>
    <w:p>
      <w:pPr>
        <w:numPr>
          <w:ilvl w:val="0"/>
          <w:numId w:val="12"/>
        </w:numPr>
        <w:contextualSpacing/>
        <w:ind w:left="0" w:firstLine="567"/>
        <w:spacing w:line="100" w:lineRule="atLeast"/>
        <w:tabs>
          <w:tab w:val="left" w:pos="993" w:leader="none"/>
        </w:tabs>
        <w:outlineLvl w:val="2"/>
      </w:pPr>
      <w:r>
        <w:t xml:space="preserve">Цена Контракта составляет</w:t>
      </w:r>
      <w:r>
        <w:t xml:space="preserve"> </w:t>
      </w:r>
      <w:r>
        <w:t xml:space="preserve">44 350 </w:t>
      </w:r>
      <w:r>
        <w:t xml:space="preserve">(сорок четыре тысячи триста пятьдесят тысяч) </w:t>
      </w:r>
      <w:r>
        <w:t xml:space="preserve">рублей 00 копеек, </w:t>
      </w:r>
      <w:r>
        <w:t xml:space="preserve">в том числе НДС 22 %</w:t>
      </w:r>
      <w:r>
        <w:t xml:space="preserve"> </w:t>
      </w:r>
      <w:r>
        <w:t xml:space="preserve">7 997</w:t>
      </w:r>
      <w:r>
        <w:t xml:space="preserve"> (семь тысяч девятьсот девяносто семь) рублей 54 копейки и включает </w:t>
      </w:r>
      <w:r>
        <w:t xml:space="preserve">в себя расходы на уплату налогов, пошлин и иных обязательных платежей, в том числе, расходов </w:t>
      </w:r>
      <w:r>
        <w:t xml:space="preserve">за доставку, подъем и разгрузку Товара.</w:t>
      </w:r>
      <w:r/>
    </w:p>
    <w:p>
      <w:pPr>
        <w:numPr>
          <w:ilvl w:val="0"/>
          <w:numId w:val="12"/>
        </w:numPr>
        <w:contextualSpacing/>
        <w:ind w:left="0" w:firstLine="567"/>
        <w:spacing w:line="100" w:lineRule="atLeast"/>
        <w:tabs>
          <w:tab w:val="left" w:pos="993" w:leader="none"/>
        </w:tabs>
        <w:outlineLvl w:val="2"/>
      </w:pPr>
      <w:r>
        <w:t xml:space="preserve">Цена Контракта является твёрдой и определяется на весь срок исполнения Контракта </w:t>
      </w:r>
      <w:r>
        <w:br/>
        <w:t xml:space="preserve">и не подлежит изменению.</w:t>
      </w:r>
      <w:r/>
    </w:p>
    <w:p>
      <w:pPr>
        <w:numPr>
          <w:ilvl w:val="0"/>
          <w:numId w:val="12"/>
        </w:numPr>
        <w:contextualSpacing/>
        <w:ind w:left="0" w:firstLine="567"/>
        <w:spacing w:line="100" w:lineRule="atLeast"/>
        <w:tabs>
          <w:tab w:val="left" w:pos="993" w:leader="none"/>
        </w:tabs>
        <w:outlineLvl w:val="2"/>
      </w:pPr>
      <w:r>
        <w:t xml:space="preserve">Все расчеты за поставленный Товар осуществляются в рублях и производятся путем безналичного перечисления денежных средств на расчетный счет Поставщика. </w:t>
      </w:r>
      <w:r/>
    </w:p>
    <w:p>
      <w:pPr>
        <w:numPr>
          <w:ilvl w:val="0"/>
          <w:numId w:val="12"/>
        </w:numPr>
        <w:contextualSpacing/>
        <w:ind w:left="0" w:firstLine="567"/>
        <w:spacing w:line="100" w:lineRule="atLeast"/>
        <w:tabs>
          <w:tab w:val="left" w:pos="993" w:leader="none"/>
        </w:tabs>
        <w:outlineLvl w:val="2"/>
      </w:pPr>
      <w:r>
        <w:t xml:space="preserve">Оплата по настоящему Контракту осуществляется за фактически поставленный Товар </w:t>
      </w:r>
      <w:r>
        <w:br/>
        <w:t xml:space="preserve">на основании Акта приема-передачи товара (Приложение № 3 к настоящему Контракту) </w:t>
      </w:r>
      <w:r>
        <w:br/>
        <w:t xml:space="preserve">с приложением счета, счета фактуры и товарной  накладной или универсального передаточного документа в течение 7 (семи) рабочих дней после подписания Заказчиком Акта приема-передачи товара (Приложение № 3 к </w:t>
      </w:r>
      <w:r>
        <w:rPr>
          <w:lang w:eastAsia="ar-SA"/>
        </w:rPr>
        <w:t xml:space="preserve">настоящему</w:t>
      </w:r>
      <w:r>
        <w:t xml:space="preserve"> Контракту). </w:t>
      </w:r>
      <w:r/>
    </w:p>
    <w:p>
      <w:pPr>
        <w:numPr>
          <w:ilvl w:val="0"/>
          <w:numId w:val="12"/>
        </w:numPr>
        <w:contextualSpacing/>
        <w:ind w:left="0" w:firstLine="567"/>
        <w:spacing w:line="100" w:lineRule="atLeast"/>
        <w:tabs>
          <w:tab w:val="left" w:pos="993" w:leader="none"/>
        </w:tabs>
        <w:outlineLvl w:val="2"/>
      </w:pPr>
      <w:r>
        <w:t xml:space="preserve">Финансирование по настоящему Контракту осуществляется за счет средств федерального бюджета.</w:t>
      </w:r>
      <w:r/>
    </w:p>
    <w:p>
      <w:pPr>
        <w:numPr>
          <w:ilvl w:val="0"/>
          <w:numId w:val="12"/>
        </w:numPr>
        <w:contextualSpacing/>
        <w:ind w:left="0" w:firstLine="567"/>
        <w:spacing w:line="100" w:lineRule="atLeast"/>
        <w:tabs>
          <w:tab w:val="left" w:pos="993" w:leader="none"/>
        </w:tabs>
        <w:outlineLvl w:val="2"/>
      </w:pPr>
      <w:r>
        <w:t xml:space="preserve">В случае неисполнения Поставщиком требований об уплате неустоек (пеней), предъявляемых Заказчиком, Заказчик производит оплату по Контракту за вычетом соответствующего размера неустойки (пени). Исполнение обязательства Поставщиком </w:t>
      </w:r>
      <w:r>
        <w:br/>
        <w:t xml:space="preserve">по перечислению неустойки (пени) в доход бюджетной системы Российской Федерации </w:t>
      </w:r>
      <w:r>
        <w:br/>
        <w:t xml:space="preserve">в данном случае возлагается на Заказчика и осуществляется последним на основании платежного документа с указанием Поставщика, за которого осуществляется перечисление неустойки (пени) </w:t>
      </w:r>
      <w:r>
        <w:br/>
        <w:t xml:space="preserve">в доход соответствующего бюджета.</w:t>
      </w:r>
      <w:r/>
    </w:p>
    <w:p>
      <w:pPr>
        <w:contextualSpacing/>
        <w:ind w:left="567" w:firstLine="0"/>
        <w:spacing w:line="100" w:lineRule="atLeast"/>
        <w:tabs>
          <w:tab w:val="left" w:pos="993" w:leader="none"/>
        </w:tabs>
        <w:outlineLvl w:val="2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07"/>
        <w:ind w:left="357" w:hanging="357"/>
        <w:spacing w:before="120" w:after="120"/>
      </w:pPr>
      <w:r>
        <w:t xml:space="preserve">Условия поставки Товара</w:t>
      </w:r>
      <w:r/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lang w:eastAsia="ar-SA"/>
        </w:rPr>
        <w:outlineLvl w:val="9"/>
      </w:pPr>
      <w:r>
        <w:rPr>
          <w:color w:val="000000"/>
          <w:lang w:eastAsia="ar-SA"/>
        </w:rPr>
        <w:t xml:space="preserve">Место поставки Товара – административное здание Заказчика (далее – офис), расположенное по </w:t>
      </w:r>
      <w:r>
        <w:rPr>
          <w:lang w:eastAsia="ar-SA"/>
        </w:rPr>
        <w:t xml:space="preserve">адресу: г. Москва, ул. Щепкина, д. 42, </w:t>
      </w:r>
      <w:r>
        <w:t xml:space="preserve">стр. 1, кабинет 1808.</w:t>
      </w:r>
      <w:r>
        <w:rPr>
          <w:lang w:eastAsia="ar-SA"/>
        </w:rPr>
      </w:r>
      <w:r>
        <w:rPr>
          <w:lang w:eastAsia="ar-SA"/>
        </w:rPr>
      </w:r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Срок поставки Товара: в </w:t>
      </w:r>
      <w:r>
        <w:rPr>
          <w:color w:val="000000"/>
          <w:lang w:eastAsia="ar-SA"/>
        </w:rPr>
        <w:t xml:space="preserve">течение 7 </w:t>
      </w:r>
      <w:r>
        <w:rPr>
          <w:color w:val="000000"/>
          <w:lang w:eastAsia="ar-SA"/>
        </w:rPr>
        <w:t xml:space="preserve">(семи</w:t>
      </w:r>
      <w:r>
        <w:rPr>
          <w:color w:val="000000"/>
          <w:lang w:eastAsia="ar-SA"/>
        </w:rPr>
        <w:t xml:space="preserve">) рабочих дней</w:t>
      </w:r>
      <w:r>
        <w:rPr>
          <w:color w:val="000000"/>
          <w:lang w:eastAsia="ar-SA"/>
        </w:rPr>
        <w:t xml:space="preserve"> </w:t>
      </w:r>
      <w:r>
        <w:rPr>
          <w:color w:val="000000"/>
          <w:lang w:eastAsia="ar-SA"/>
        </w:rPr>
        <w:t xml:space="preserve">с даты заключения</w:t>
      </w:r>
      <w:r>
        <w:rPr>
          <w:color w:val="000000"/>
          <w:lang w:eastAsia="ar-SA"/>
        </w:rPr>
        <w:t xml:space="preserve"> Контракта. 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Поставщик осуществляет в офис Заказчика поставку, разгрузку и подъём Товара своими силами и за свой счет.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Товар должен быть упакован и замаркирован в соответствии с действующими стандартами. Упаковка (тара) должна гарантировать целостность и сохранность Товара </w:t>
      </w:r>
      <w:r>
        <w:rPr>
          <w:color w:val="000000"/>
          <w:lang w:eastAsia="ar-SA"/>
        </w:rPr>
        <w:br/>
        <w:t xml:space="preserve">при перевозке и хранении. Упаковка (тара) не должна содержать вскрытие, вмятин, порезов </w:t>
      </w:r>
      <w:r>
        <w:rPr>
          <w:color w:val="000000"/>
          <w:lang w:eastAsia="ar-SA"/>
        </w:rPr>
        <w:br/>
        <w:t xml:space="preserve">и обеспечивать сохранность при транспортировке и хранении. Упаковка (тара) Товара </w:t>
      </w:r>
      <w:r>
        <w:rPr>
          <w:color w:val="000000"/>
          <w:lang w:eastAsia="ar-SA"/>
        </w:rPr>
        <w:br/>
        <w:t xml:space="preserve">и </w:t>
      </w:r>
      <w:r>
        <w:rPr>
          <w:color w:val="000000"/>
          <w:lang w:eastAsia="ar-SA"/>
        </w:rPr>
        <w:t xml:space="preserve">комплектующих</w:t>
      </w:r>
      <w:r>
        <w:rPr>
          <w:color w:val="000000"/>
          <w:lang w:eastAsia="ar-SA"/>
        </w:rPr>
        <w:t xml:space="preserve"> товара должна отвечать требованиям безопасности жизни, здоровья и охраны окружающей среды, иметь необходимые маркировки, наклейки, пломбы, а также давать возможность определить количество содержащегося в ней товара (опись, упаковочные ярлыки </w:t>
      </w:r>
      <w:r>
        <w:rPr>
          <w:color w:val="000000"/>
          <w:lang w:eastAsia="ar-SA"/>
        </w:rPr>
        <w:br/>
        <w:t xml:space="preserve">или листы).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Поставщик сопроводительным письмом предоставляет Заказчику в день поставки Товара Акт приема-передачи товара (Приложение № 3 к настоящему Контракту) с приложением счета, товарной накладной и счета-фактуры или универсального передаточного документа.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Право на Товар переходит к Заказчику со дня его поставки Заказчику и оплаты полной стоимости Товара.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Заказчик в течение 10 (десяти) рабочих дней со дня получения Акта приема-передачи товара (Приложение № 3 к Контракту) обязан подписать представленный Поставщиком акт </w:t>
      </w:r>
      <w:r>
        <w:rPr>
          <w:color w:val="000000"/>
          <w:lang w:eastAsia="ar-SA"/>
        </w:rPr>
        <w:br/>
        <w:t xml:space="preserve">(или дать мотивированный отказ) и отправить второй экземпляр по адресу, указанному </w:t>
      </w:r>
      <w:r>
        <w:rPr>
          <w:color w:val="000000"/>
          <w:lang w:eastAsia="ar-SA"/>
        </w:rPr>
        <w:br/>
        <w:t xml:space="preserve">в настоящем Контракте.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left="567" w:firstLine="0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highlight w:val="none"/>
          <w:lang w:eastAsia="ar-SA"/>
        </w:rPr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pStyle w:val="807"/>
        <w:ind w:left="357" w:hanging="357"/>
        <w:spacing w:before="120" w:after="120"/>
      </w:pPr>
      <w:r>
        <w:t xml:space="preserve">Обязанности Сторон</w:t>
      </w:r>
      <w:r/>
    </w:p>
    <w:p>
      <w:pPr>
        <w:numPr>
          <w:ilvl w:val="0"/>
          <w:numId w:val="15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Обязанности Поставщика: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1"/>
          <w:numId w:val="16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Поставить Товар в офис Заказчика в сроки в соответствии с условиями настоящего Контракта.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1"/>
          <w:numId w:val="16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Передать Товар, который по количеству, качеству и описанию соответствует Техническому заданию (Приложение № 1 к настоящему Контракту) и Спецификации (Приложение № 2 к настоящему Контракту).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1"/>
          <w:numId w:val="16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Своевременно и в полном объеме представить документы на оплату Товара.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5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Обязанности Заказчика: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7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Обеспечить оплату Товара.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7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Принять Товар в соответствии с разделом 3 настоящего Контракта, в том числе обеспечив приемку Товара, проверку Товара и соответствующей документации.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left="567" w:firstLine="0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pStyle w:val="807"/>
        <w:ind w:left="357" w:hanging="357"/>
        <w:spacing w:before="120" w:after="120"/>
      </w:pPr>
      <w:r>
        <w:t xml:space="preserve">Ответственность Сторон</w:t>
      </w:r>
      <w:r/>
    </w:p>
    <w:p>
      <w:pPr>
        <w:numPr>
          <w:ilvl w:val="0"/>
          <w:numId w:val="18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За неисполнение или ненадлежащее исполнение своих обязательств по настоящему Контракту Заказчик и Поставщик несут ответственность в соответствии с законодательством Российской Федерации.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numPr>
          <w:ilvl w:val="0"/>
          <w:numId w:val="18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В случае возникновения споров Стороны обязуются принять все меры для их разрешения путем договоренности.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numPr>
          <w:ilvl w:val="0"/>
          <w:numId w:val="18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В случае просрочки исполнения Поставщиком обязательства, предусмотренного настоящим Контрактом, Заказчик вправе потребовать уплату неустойки (пени) в размере 1/300 действующей на день уплаты неустойки ключе</w:t>
      </w:r>
      <w:r>
        <w:rPr>
          <w:rFonts w:eastAsia="Arial Unicode MS"/>
          <w:lang w:eastAsia="ar-SA"/>
        </w:rPr>
        <w:t xml:space="preserve">вой ставки Центрального банка Российской Федерации за каждый день просрочки исполнения обязательства, предусмотренного настоящим Контрактом, начиная со дня, следующего после дня истечения, установленного настоящим Контрактом срока исполнения обязательства.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numPr>
          <w:ilvl w:val="0"/>
          <w:numId w:val="18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В случае задержки платежей Заказчиком против срока, указанного в Контракте, Поставщик вправе потребовать от Заказчика выплату неустойки (п</w:t>
      </w:r>
      <w:r>
        <w:rPr>
          <w:rFonts w:eastAsia="Arial Unicode MS"/>
          <w:lang w:eastAsia="ar-SA"/>
        </w:rPr>
        <w:t xml:space="preserve">ени) на сумму задержанного платежа в размере 1/300 действующей на день уплаты неустойки ключевой ставки Центрального банка Российской Федерации за каждый день просрочки, начиная со дня, следующего за днем истечения срока оплаты, установленного в Контракте.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numPr>
          <w:ilvl w:val="0"/>
          <w:numId w:val="18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При недостижении дог</w:t>
      </w:r>
      <w:r>
        <w:rPr>
          <w:rFonts w:eastAsia="Arial Unicode MS"/>
          <w:lang w:eastAsia="ar-SA"/>
        </w:rPr>
        <w:t xml:space="preserve">оворенности все споры, разногласия или требования, возникающие из настоящего Контракта или в связи с ним, в том числе касающиеся его заключения, исполнения, нарушения, прекращения или недействительности, подлежат рассмотрению в Арбитражном суде г. Москвы. 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pStyle w:val="807"/>
        <w:ind w:left="357" w:hanging="357"/>
        <w:spacing w:before="120" w:after="120"/>
      </w:pPr>
      <w:r>
        <w:t xml:space="preserve">Срок действия Контракта</w:t>
      </w:r>
      <w:r/>
    </w:p>
    <w:p>
      <w:pPr>
        <w:numPr>
          <w:ilvl w:val="0"/>
          <w:numId w:val="19"/>
        </w:numPr>
        <w:ind w:left="0" w:firstLine="567"/>
        <w:spacing w:line="100" w:lineRule="atLeast"/>
        <w:shd w:val="clear" w:color="auto" w:fill="ffffff"/>
        <w:tabs>
          <w:tab w:val="left" w:pos="993" w:leader="none"/>
        </w:tabs>
        <w:rPr>
          <w:spacing w:val="-2"/>
          <w:lang w:eastAsia="ar-SA"/>
        </w:rPr>
        <w:outlineLvl w:val="9"/>
      </w:pPr>
      <w:r>
        <w:rPr>
          <w:color w:val="000000"/>
          <w:spacing w:val="-2"/>
          <w:lang w:eastAsia="ar-SA"/>
        </w:rPr>
        <w:t xml:space="preserve">Настоящий Контра</w:t>
      </w:r>
      <w:r>
        <w:rPr>
          <w:color w:val="000000"/>
          <w:spacing w:val="-2"/>
          <w:lang w:eastAsia="ar-SA"/>
        </w:rPr>
        <w:t xml:space="preserve">кт вст</w:t>
      </w:r>
      <w:r>
        <w:rPr>
          <w:color w:val="000000"/>
          <w:spacing w:val="-2"/>
          <w:lang w:eastAsia="ar-SA"/>
        </w:rPr>
        <w:t xml:space="preserve">упает в силу с даты его заключения Сторонами и действует </w:t>
      </w:r>
      <w:r>
        <w:rPr>
          <w:color w:val="000000"/>
          <w:spacing w:val="-2"/>
          <w:lang w:eastAsia="ar-SA"/>
        </w:rPr>
        <w:br/>
        <w:t xml:space="preserve">до полного выполнения Сторонами свои</w:t>
      </w:r>
      <w:r>
        <w:rPr>
          <w:color w:val="000000"/>
          <w:spacing w:val="-2"/>
          <w:lang w:eastAsia="ar-SA"/>
        </w:rPr>
        <w:t xml:space="preserve">х обязательств, но не позднее 01</w:t>
      </w:r>
      <w:r>
        <w:rPr>
          <w:color w:val="000000"/>
          <w:spacing w:val="-2"/>
          <w:lang w:eastAsia="ar-SA"/>
        </w:rPr>
        <w:t xml:space="preserve">.12.2026.</w:t>
      </w:r>
      <w:r>
        <w:rPr>
          <w:spacing w:val="-2"/>
          <w:lang w:eastAsia="ar-SA"/>
        </w:rPr>
      </w:r>
      <w:r>
        <w:rPr>
          <w:spacing w:val="-2"/>
          <w:lang w:eastAsia="ar-SA"/>
        </w:rPr>
      </w:r>
    </w:p>
    <w:p>
      <w:pPr>
        <w:pStyle w:val="807"/>
        <w:ind w:left="357" w:hanging="357"/>
        <w:spacing w:before="120" w:after="120"/>
      </w:pPr>
      <w:r>
        <w:t xml:space="preserve">Досрочное прекращение Контракта</w:t>
      </w:r>
      <w:r/>
    </w:p>
    <w:p>
      <w:pPr>
        <w:numPr>
          <w:ilvl w:val="0"/>
          <w:numId w:val="20"/>
        </w:numPr>
        <w:contextualSpacing/>
        <w:ind w:left="0" w:firstLine="567"/>
        <w:spacing w:line="100" w:lineRule="atLeast"/>
        <w:tabs>
          <w:tab w:val="left" w:pos="993" w:leader="none"/>
        </w:tabs>
        <w:rPr>
          <w:lang w:eastAsia="ar-SA"/>
        </w:rPr>
        <w:outlineLvl w:val="2"/>
      </w:pPr>
      <w:r>
        <w:rPr>
          <w:color w:val="000000"/>
        </w:rPr>
        <w:t xml:space="preserve">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</w:t>
      </w:r>
      <w:r>
        <w:rPr>
          <w:color w:val="000000"/>
        </w:rPr>
        <w:br/>
        <w:t xml:space="preserve">с гражданским законодательством.</w:t>
      </w:r>
      <w:r>
        <w:rPr>
          <w:lang w:eastAsia="ar-SA"/>
        </w:rPr>
      </w:r>
      <w:r>
        <w:rPr>
          <w:lang w:eastAsia="ar-SA"/>
        </w:rPr>
      </w:r>
    </w:p>
    <w:p>
      <w:pPr>
        <w:numPr>
          <w:ilvl w:val="0"/>
          <w:numId w:val="20"/>
        </w:numPr>
        <w:contextualSpacing/>
        <w:ind w:left="0" w:firstLine="567"/>
        <w:spacing w:line="100" w:lineRule="atLeast"/>
        <w:tabs>
          <w:tab w:val="left" w:pos="993" w:leader="none"/>
        </w:tabs>
        <w:rPr>
          <w:lang w:eastAsia="ar-SA"/>
        </w:rPr>
        <w:outlineLvl w:val="2"/>
      </w:pPr>
      <w:r>
        <w:rPr>
          <w:color w:val="000000"/>
        </w:rPr>
        <w:t xml:space="preserve">Заказчик вправе принять решение об одностороннем отказе от исполнения Контракта </w:t>
      </w:r>
      <w:r>
        <w:rPr>
          <w:color w:val="000000"/>
        </w:rPr>
        <w:br/>
        <w:t xml:space="preserve">в случае поставки Товара ненадлежащего качества, нарушении сроков поставки Товара и по иным основаниям,</w:t>
      </w:r>
      <w:r>
        <w:t xml:space="preserve"> </w:t>
      </w:r>
      <w:r>
        <w:rPr>
          <w:color w:val="000000"/>
        </w:rPr>
        <w:t xml:space="preserve">предусмотренным Гражданским кодексом Российской Федерации</w:t>
      </w:r>
      <w:r>
        <w:rPr>
          <w:rFonts w:eastAsia="Arial Unicode MS"/>
        </w:rPr>
        <w:t xml:space="preserve">.</w:t>
      </w:r>
      <w:r>
        <w:rPr>
          <w:lang w:eastAsia="ar-SA"/>
        </w:rPr>
      </w:r>
      <w:r>
        <w:rPr>
          <w:lang w:eastAsia="ar-SA"/>
        </w:rPr>
      </w:r>
    </w:p>
    <w:p>
      <w:pPr>
        <w:pStyle w:val="807"/>
        <w:ind w:left="357" w:hanging="357"/>
        <w:spacing w:before="120" w:after="120"/>
      </w:pPr>
      <w:r>
        <w:t xml:space="preserve">Обстоятельства непреодолимой силы (форс-мажор)</w:t>
      </w:r>
      <w:r/>
    </w:p>
    <w:p>
      <w:pPr>
        <w:numPr>
          <w:ilvl w:val="0"/>
          <w:numId w:val="22"/>
        </w:numPr>
        <w:contextualSpacing/>
        <w:ind w:left="0" w:firstLine="567"/>
        <w:spacing w:line="100" w:lineRule="atLeast"/>
        <w:tabs>
          <w:tab w:val="left" w:pos="993" w:leader="none"/>
        </w:tabs>
        <w:rPr>
          <w:lang w:eastAsia="ar-SA"/>
        </w:rPr>
        <w:outlineLvl w:val="2"/>
      </w:pPr>
      <w:r>
        <w:rPr>
          <w:color w:val="000000"/>
        </w:rPr>
        <w:t xml:space="preserve">Стороны освобождаются от ответственности за частичное или полное неисполнение обязательств по настоящему Контракту, если это неисполнение явилось следствием обстоятельств непреодолимой силы (форс-мажор).</w:t>
      </w:r>
      <w:r>
        <w:rPr>
          <w:lang w:eastAsia="ar-SA"/>
        </w:rPr>
      </w:r>
      <w:r>
        <w:rPr>
          <w:lang w:eastAsia="ar-SA"/>
        </w:rPr>
      </w:r>
    </w:p>
    <w:p>
      <w:pPr>
        <w:numPr>
          <w:ilvl w:val="0"/>
          <w:numId w:val="22"/>
        </w:numPr>
        <w:contextualSpacing/>
        <w:ind w:left="0" w:firstLine="567"/>
        <w:spacing w:line="100" w:lineRule="atLeast"/>
        <w:tabs>
          <w:tab w:val="left" w:pos="993" w:leader="none"/>
        </w:tabs>
        <w:rPr>
          <w:color w:val="000000"/>
        </w:rPr>
        <w:outlineLvl w:val="2"/>
      </w:pPr>
      <w:r>
        <w:rPr>
          <w:color w:val="000000"/>
        </w:rPr>
        <w:t xml:space="preserve">О наступлении форс-мажорных обстоятельств, а также о предполагаемом сроке </w:t>
      </w:r>
      <w:r>
        <w:rPr>
          <w:color w:val="000000"/>
        </w:rPr>
        <w:br/>
        <w:t xml:space="preserve">их действия Сторона,</w:t>
      </w:r>
      <w:r>
        <w:rPr>
          <w:color w:val="000000"/>
        </w:rPr>
        <w:t xml:space="preserve"> для которой они наступили, извещает в письменной форме другую Сторону не позднее 3 (трех) рабочих дней с момента их наступления. Сроки исполнения обязательств переносятся пропорционально действию форс-мажорных обстоятельств, но не более чем на два месяца.</w:t>
      </w:r>
      <w:r>
        <w:rPr>
          <w:color w:val="000000"/>
        </w:rPr>
      </w:r>
      <w:r>
        <w:rPr>
          <w:color w:val="000000"/>
        </w:rPr>
      </w:r>
    </w:p>
    <w:p>
      <w:pPr>
        <w:numPr>
          <w:ilvl w:val="0"/>
          <w:numId w:val="22"/>
        </w:numPr>
        <w:contextualSpacing/>
        <w:ind w:left="0" w:firstLine="567"/>
        <w:spacing w:line="100" w:lineRule="atLeast"/>
        <w:tabs>
          <w:tab w:val="left" w:pos="993" w:leader="none"/>
        </w:tabs>
        <w:rPr>
          <w:color w:val="000000"/>
        </w:rPr>
        <w:outlineLvl w:val="2"/>
      </w:pPr>
      <w:r>
        <w:rPr>
          <w:color w:val="000000"/>
        </w:rPr>
        <w:t xml:space="preserve">Неизвещение или несвоевременное извещение о наступлении таких обстоятельств лишает права любую из Сторон ссылаться на эти обстоятельства как на основание, освобождающее ее </w:t>
      </w:r>
      <w:r>
        <w:rPr>
          <w:color w:val="000000"/>
        </w:rPr>
        <w:t xml:space="preserve">от ответственности за несвоевременное исполнение обязательств по отношению к другой Стороне.</w:t>
      </w:r>
      <w:r>
        <w:rPr>
          <w:color w:val="000000"/>
        </w:rPr>
      </w:r>
      <w:r>
        <w:rPr>
          <w:color w:val="000000"/>
        </w:rPr>
      </w:r>
    </w:p>
    <w:p>
      <w:pPr>
        <w:numPr>
          <w:ilvl w:val="0"/>
          <w:numId w:val="22"/>
        </w:numPr>
        <w:contextualSpacing/>
        <w:ind w:left="0" w:firstLine="567"/>
        <w:spacing w:line="100" w:lineRule="atLeast"/>
        <w:tabs>
          <w:tab w:val="left" w:pos="993" w:leader="none"/>
        </w:tabs>
        <w:rPr>
          <w:color w:val="000000"/>
        </w:rPr>
        <w:outlineLvl w:val="2"/>
      </w:pPr>
      <w:r>
        <w:rPr>
          <w:color w:val="000000"/>
        </w:rPr>
        <w:t xml:space="preserve">В случае если форс-мажорные обстоятельства продлятся более двух месяцев, Стороны вправе расторгнуть настоящий Контракт, создав комиссию из представителей Сторон </w:t>
      </w:r>
      <w:r>
        <w:rPr>
          <w:color w:val="000000"/>
        </w:rPr>
        <w:br/>
        <w:t xml:space="preserve">для урегулирования всех споров.</w:t>
      </w:r>
      <w:r>
        <w:rPr>
          <w:color w:val="000000"/>
        </w:rPr>
      </w:r>
      <w:r>
        <w:rPr>
          <w:color w:val="000000"/>
        </w:rPr>
      </w:r>
    </w:p>
    <w:p>
      <w:pPr>
        <w:pStyle w:val="807"/>
        <w:ind w:left="357" w:hanging="357"/>
        <w:spacing w:before="120" w:after="120"/>
      </w:pPr>
      <w:r>
        <w:t xml:space="preserve">Другие условия</w:t>
      </w:r>
      <w:r/>
    </w:p>
    <w:p>
      <w:pPr>
        <w:numPr>
          <w:ilvl w:val="0"/>
          <w:numId w:val="2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Все споры и разногласия, которые могут возникнуть по настоящему Контракту </w:t>
      </w:r>
      <w:r>
        <w:rPr>
          <w:color w:val="000000"/>
          <w:lang w:eastAsia="ar-SA"/>
        </w:rPr>
        <w:br/>
        <w:t xml:space="preserve">или в связи с ним, Стороны будут стремиться разрешить путем переговоров.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2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Настоящий Контракт составлен в 2 (двух) экземплярах, имеющих одинаковую юридическую силу, по одному для каждой из Сторон.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2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Все приложения и изменения по основаниям, предусмотренным настоящим Контрактом, являются его неотъемлемой частью.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2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 изменении места нахождения и банковских реквизитов Стороны обязаны в течение </w:t>
      </w:r>
      <w:r>
        <w:rPr>
          <w:color w:val="000000"/>
          <w:lang w:eastAsia="ar-SA"/>
        </w:rPr>
        <w:br/>
        <w:t xml:space="preserve">5 (пяти) рабочих дней письменно известить об этом друг друга.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2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Приложения к Контракту: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left="567" w:firstLine="0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Приложение № 1 – Техническое задание;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jc w:val="left"/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Приложение № 2 – Спецификация;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jc w:val="left"/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Приложение № 3 – Форма акта приема-передачи товара.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pStyle w:val="807"/>
        <w:ind w:left="357" w:hanging="357"/>
        <w:spacing w:before="120" w:after="120"/>
      </w:pPr>
      <w:r/>
      <w:bookmarkStart w:id="1" w:name="_Ref94177724"/>
      <w:r>
        <w:t xml:space="preserve">Реквизиты Сторон</w:t>
      </w:r>
      <w:bookmarkEnd w:id="1"/>
      <w:r/>
      <w:r/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5353"/>
        <w:gridCol w:w="4853"/>
      </w:tblGrid>
      <w:tr>
        <w:tblPrEx/>
        <w:trPr>
          <w:trHeight w:val="313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pStyle w:val="805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ЗАКАЗЧИК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ПОСТАВЩИК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r>
          </w:p>
        </w:tc>
      </w:tr>
      <w:tr>
        <w:tblPrEx/>
        <w:trPr>
          <w:trHeight w:val="1070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Министерство энергетики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(Минэнерго России)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pStyle w:val="805"/>
              <w:ind w:left="0" w:right="0" w:firstLine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Общество с ограниченной ответственностью «АЛЬФАКОМ»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(ООО «АЛЬФАКОМ»)</w:t>
            </w:r>
            <w:r>
              <w:rPr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</w:tc>
      </w:tr>
      <w:tr>
        <w:tblPrEx/>
        <w:trPr>
          <w:trHeight w:val="5536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Юридический адрес: 109012, г. Москва,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Китайгородский пр-д, д. 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Фактический адрес: 129110, г. Москва,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Щепкина ул., д. 42, стр. 1, 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ИНН 7705847529, КПП 770501001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Банковские реквизиты: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Межрегиональное операционное УФК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(Минэнерго России, л/с 03951000220)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р/с 40102810045370000002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в Операционном департаменте Банка России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//Межрегиональное операционное УФК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г. Москва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к/с 03211643000000019503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БИК 024501901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ОКПО/ОКТМО  00083641/45381000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Электронная почта: compred@minenergo.gov.ru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Тел: (495) 631-95-36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pStyle w:val="805"/>
              <w:ind w:left="0" w:right="0" w:firstLine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Юридический адрес: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105554, г. Москва,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left="0" w:right="0" w:firstLine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ул. Первомайская, д. 76, пом. V, комн. 2,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подвал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Почтовый адрес: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105554, г. Москва,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left="0" w:right="0" w:firstLine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ул. Первомайская, д. 76, пом. V, комн. 2,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подвал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ИНН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7718751006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КПП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771901001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ОКПО: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89646485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ОКТМО: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45303000000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ОГРН: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1097746028885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ОКВЭД: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62.01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jc w:val="both"/>
              <w:spacing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Электронная почта: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</w:r>
          </w:p>
          <w:p>
            <w:pPr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t.veretennikova@alfakom.org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Тел.: +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7 (495) 212-16-73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Банковские реквизиты: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Наименование банка: ПАО Сбербанк, 117312, г Москва, Академический р-н, ул Вавилова, д 19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р\с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40702810138000111716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к\с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30101810400000000225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БИК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044525225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Дата постановки на учет в налоговом органе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29.06.2010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</w:tc>
      </w:tr>
      <w:tr>
        <w:tblPrEx/>
        <w:trPr>
          <w:trHeight w:val="1504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ЗАКАЗЧИК: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Директор Департамента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цифровой трансформации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_______________________ Ф.В. Мицкевич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ПОСТАВЩИК: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t xml:space="preserve">Генеральный директор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________________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__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_ Э.А.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Балобанов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</w:tc>
      </w:tr>
      <w:tr>
        <w:tblPrEx/>
        <w:trPr>
          <w:trHeight w:val="387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М.П.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М.П.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</w:tc>
      </w:tr>
    </w:tbl>
    <w:p>
      <w:pPr>
        <w:jc w:val="right"/>
        <w:tabs>
          <w:tab w:val="center" w:pos="2420" w:leader="none"/>
          <w:tab w:val="left" w:pos="3840" w:leader="none"/>
        </w:tabs>
        <w:rPr>
          <w:color w:val="000000"/>
          <w:sz w:val="12"/>
        </w:rPr>
        <w:sectPr>
          <w:headerReference w:type="default" r:id="rId9"/>
          <w:footnotePr/>
          <w:endnotePr/>
          <w:type w:val="nextPage"/>
          <w:pgSz w:w="11906" w:h="16838" w:orient="portrait"/>
          <w:pgMar w:top="567" w:right="567" w:bottom="567" w:left="1134" w:header="709" w:footer="709" w:gutter="0"/>
          <w:cols w:num="1" w:sep="0" w:space="708" w:equalWidth="1"/>
          <w:docGrid w:linePitch="360"/>
          <w:titlePg/>
        </w:sectPr>
      </w:pPr>
      <w:r>
        <w:rPr>
          <w:color w:val="000000"/>
          <w:sz w:val="12"/>
        </w:rPr>
      </w:r>
      <w:r>
        <w:rPr>
          <w:color w:val="000000"/>
          <w:sz w:val="12"/>
        </w:rPr>
      </w:r>
      <w:r>
        <w:rPr>
          <w:color w:val="000000"/>
          <w:sz w:val="12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color w:val="000000"/>
        </w:rPr>
      </w:pPr>
      <w:r>
        <w:rPr>
          <w:color w:val="000000"/>
        </w:rPr>
        <w:t xml:space="preserve">Приложение № 1</w:t>
      </w:r>
      <w:r>
        <w:rPr>
          <w:color w:val="000000"/>
        </w:rPr>
      </w:r>
      <w:r>
        <w:rPr>
          <w:color w:val="000000"/>
        </w:rPr>
      </w:r>
    </w:p>
    <w:p>
      <w:pPr>
        <w:jc w:val="right"/>
        <w:tabs>
          <w:tab w:val="center" w:pos="2420" w:leader="none"/>
          <w:tab w:val="left" w:pos="3840" w:leader="none"/>
        </w:tabs>
      </w:pPr>
      <w:r>
        <w:rPr>
          <w:color w:val="000000"/>
        </w:rPr>
        <w:t xml:space="preserve">к Контракту № </w:t>
      </w:r>
      <w:r>
        <w:t xml:space="preserve">100201966126100166</w:t>
      </w:r>
      <w:r/>
    </w:p>
    <w:p>
      <w:pPr>
        <w:jc w:val="right"/>
        <w:tabs>
          <w:tab w:val="center" w:pos="2420" w:leader="none"/>
          <w:tab w:val="left" w:pos="3840" w:leader="none"/>
        </w:tabs>
      </w:pPr>
      <w:r>
        <w:t xml:space="preserve">от «___» ________2026 г.</w:t>
      </w:r>
      <w:r>
        <w:rPr>
          <w:highlight w:val="none"/>
        </w:rPr>
      </w:r>
      <w:r/>
    </w:p>
    <w:p>
      <w:pPr>
        <w:pStyle w:val="997"/>
        <w:ind w:firstLine="0"/>
        <w:jc w:val="left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97"/>
        <w:rPr>
          <w:highlight w:val="none"/>
        </w:rPr>
      </w:pPr>
      <w:r>
        <w:t xml:space="preserve">ТЕХНИЧЕСКОЕ ЗАДАНИЕ</w:t>
      </w:r>
      <w:r>
        <w:rPr>
          <w:highlight w:val="none"/>
        </w:rPr>
      </w:r>
      <w:r>
        <w:rPr>
          <w:highlight w:val="none"/>
        </w:rPr>
      </w:r>
    </w:p>
    <w:p>
      <w:pPr>
        <w:pStyle w:val="806"/>
      </w:pPr>
      <w:r>
        <w:t xml:space="preserve">на поставку IP‑видеокамер </w:t>
      </w:r>
      <w:r/>
    </w:p>
    <w:p>
      <w:r/>
      <w:r/>
    </w:p>
    <w:p>
      <w:pPr>
        <w:pStyle w:val="812"/>
      </w:pPr>
      <w:r>
        <w:t xml:space="preserve">Наименование закупки</w:t>
      </w:r>
      <w:r/>
    </w:p>
    <w:p>
      <w:r>
        <w:rPr>
          <w:bCs/>
        </w:rPr>
      </w:r>
      <w:r>
        <w:rPr>
          <w:bCs/>
        </w:rPr>
        <w:t xml:space="preserve">Поставка IP‑видеокамер</w:t>
      </w:r>
      <w:r>
        <w:rPr>
          <w:bCs/>
        </w:rPr>
        <w:t xml:space="preserve"> </w:t>
      </w:r>
      <w:r>
        <w:t xml:space="preserve">(далее – Товар) согласно Спецификации.</w:t>
      </w:r>
      <w:r/>
    </w:p>
    <w:p>
      <w:pPr>
        <w:pStyle w:val="812"/>
      </w:pPr>
      <w:r>
        <w:t xml:space="preserve">Сроки поставки Товара</w:t>
      </w:r>
      <w:r/>
    </w:p>
    <w:p>
      <w:r>
        <w:t xml:space="preserve">Поставка Товара осуществляется в течение 7</w:t>
      </w:r>
      <w:r>
        <w:rPr>
          <w:color w:val="000000"/>
          <w:lang w:eastAsia="ar-SA"/>
        </w:rPr>
        <w:t xml:space="preserve"> (семи</w:t>
      </w:r>
      <w:r>
        <w:rPr>
          <w:color w:val="000000"/>
          <w:lang w:eastAsia="ar-SA"/>
        </w:rPr>
        <w:t xml:space="preserve">)</w:t>
      </w:r>
      <w:r>
        <w:t xml:space="preserve"> </w:t>
      </w:r>
      <w:r>
        <w:t xml:space="preserve">рабочих</w:t>
      </w:r>
      <w:r>
        <w:t xml:space="preserve"> дней </w:t>
      </w:r>
      <w:r>
        <w:t xml:space="preserve">с даты заключения</w:t>
      </w:r>
      <w:r>
        <w:t xml:space="preserve"> Контракта. </w:t>
      </w:r>
      <w:r/>
    </w:p>
    <w:p>
      <w:r>
        <w:t xml:space="preserve">Доставка, разгрузка, размещение Товара в помещениях Заказчика осуществляется в рабочие часы Заказчика (по рабочим дням с 9 часов 00 минут до 18 часов 00 минут; по пятницам</w:t>
      </w:r>
      <w:r>
        <w:br/>
        <w:t xml:space="preserve">и предпраздничным дням – с 9 часов 00 минут до 16 часов 45 минут) с учетом времени</w:t>
      </w:r>
      <w:r>
        <w:br/>
        <w:t xml:space="preserve">на разгрузку Товара в присутствии представителя Поставщика. </w:t>
      </w:r>
      <w:r/>
    </w:p>
    <w:p>
      <w:r>
        <w:t xml:space="preserve">Поставщик направляет Заказчику уведомление о готовности поставить Товар</w:t>
      </w:r>
      <w:r>
        <w:br/>
        <w:t xml:space="preserve">на электронный адрес: compred@minenergo.gov.ru не позднее 2 (двух) рабочих дней до начала поставки Товара. </w:t>
      </w:r>
      <w:r/>
    </w:p>
    <w:p>
      <w:r>
        <w:t xml:space="preserve">В уведомлении необходимо указать дату, время поставки Товара, номер и марку транспортного средства, фамилию, имя, отчество, паспортные данные водителя, грузчиков</w:t>
      </w:r>
      <w:r>
        <w:br/>
        <w:t xml:space="preserve">и уполномоченного представителя Поставщика.</w:t>
      </w:r>
      <w:r/>
    </w:p>
    <w:p>
      <w:r>
        <w:t xml:space="preserve">Электронный адрес compred@minenergo.gov.ru используется исключительно</w:t>
      </w:r>
      <w:r>
        <w:br/>
        <w:t xml:space="preserve">для уведомления Заказчика о готовности поставить Товар.</w:t>
      </w:r>
      <w:r/>
    </w:p>
    <w:p>
      <w:pPr>
        <w:pStyle w:val="812"/>
      </w:pPr>
      <w:r>
        <w:t xml:space="preserve">Место поставки Товара</w:t>
      </w:r>
      <w:r/>
    </w:p>
    <w:p>
      <w:r>
        <w:t xml:space="preserve">Поставка Товара осуществляется по адресу: 129110, г.</w:t>
      </w:r>
      <w:r>
        <w:t xml:space="preserve"> Москва, ул. Щепкина, д. 42, стр. 1, кабинет 1808 силами и транспортом Поставщика и за его счет. Доставка Товара, разгрузка-погрузка (подъем) в помещениях Заказчика сопровождается уполномоченным представителем Поставщика на основании доверенности.</w:t>
      </w:r>
      <w:r/>
    </w:p>
    <w:p>
      <w:pPr>
        <w:pStyle w:val="812"/>
        <w:numPr>
          <w:ilvl w:val="0"/>
          <w:numId w:val="3"/>
        </w:numPr>
      </w:pPr>
      <w:r>
        <w:t xml:space="preserve">Требования к безопасности, функциональным характеристикам (потребительским свойствам) Товара</w:t>
      </w:r>
      <w:r/>
    </w:p>
    <w:p>
      <w:r>
        <w:t xml:space="preserve">Маркировка Товара должна содержать все признаки, установленные производителем:</w:t>
      </w:r>
      <w:r/>
    </w:p>
    <w:p>
      <w:pPr>
        <w:pStyle w:val="811"/>
        <w:numPr>
          <w:ilvl w:val="0"/>
          <w:numId w:val="0"/>
        </w:numPr>
        <w:ind w:left="993" w:firstLine="0"/>
      </w:pPr>
      <w:r>
        <w:t xml:space="preserve">-голограммы, защитные пломбы, марки, содержащие все элементы защиты от подделок (микротекст, термополоса и т.п.); </w:t>
      </w:r>
      <w:r/>
    </w:p>
    <w:p>
      <w:pPr>
        <w:pStyle w:val="811"/>
        <w:numPr>
          <w:ilvl w:val="0"/>
          <w:numId w:val="0"/>
        </w:numPr>
        <w:ind w:left="993" w:firstLine="0"/>
      </w:pPr>
      <w:r>
        <w:t xml:space="preserve">-корпус Товара не должен иметь потертостей, царапин, сколов и следов вскрытия.</w:t>
      </w:r>
      <w:r/>
    </w:p>
    <w:p>
      <w:pPr>
        <w:pStyle w:val="811"/>
        <w:numPr>
          <w:ilvl w:val="0"/>
          <w:numId w:val="0"/>
        </w:numPr>
        <w:ind w:left="993" w:firstLine="0"/>
      </w:pPr>
      <w:r>
        <w:t xml:space="preserve">-на коробке должен быть нанесен номер партии, совпадающий с номером, нанесенным на Товаре.</w:t>
      </w:r>
      <w:r/>
    </w:p>
    <w:p>
      <w:pPr>
        <w:pStyle w:val="812"/>
        <w:numPr>
          <w:ilvl w:val="0"/>
          <w:numId w:val="3"/>
        </w:numPr>
      </w:pPr>
      <w:r>
        <w:t xml:space="preserve">Требования к упаковке Товара.</w:t>
      </w:r>
      <w:r/>
    </w:p>
    <w:p>
      <w:r>
        <w:t xml:space="preserve">Упаковка должна обеспечивать безопасность транспортировки Товара и сохранность его качества в течение гарантийного срока хранения.</w:t>
      </w:r>
      <w:r/>
    </w:p>
    <w:p>
      <w:r>
        <w:t xml:space="preserve">На упаковочной коробке должны быть нанесена следующая информация:</w:t>
      </w:r>
      <w:r/>
    </w:p>
    <w:p>
      <w:pPr>
        <w:pStyle w:val="811"/>
        <w:numPr>
          <w:ilvl w:val="0"/>
          <w:numId w:val="0"/>
        </w:numPr>
        <w:ind w:left="993" w:firstLine="0"/>
      </w:pPr>
      <w:r>
        <w:t xml:space="preserve">-информация о производителе; </w:t>
      </w:r>
      <w:r/>
    </w:p>
    <w:p>
      <w:pPr>
        <w:pStyle w:val="811"/>
        <w:numPr>
          <w:ilvl w:val="0"/>
          <w:numId w:val="0"/>
        </w:numPr>
        <w:ind w:left="993" w:firstLine="0"/>
      </w:pPr>
      <w:r>
        <w:t xml:space="preserve">-гарантийный срок хранения до ввода </w:t>
      </w:r>
      <w:r>
        <w:t xml:space="preserve">Товара</w:t>
      </w:r>
      <w:r>
        <w:t xml:space="preserve">  в эксплуатацию (если установлен производителем);</w:t>
      </w:r>
      <w:r/>
    </w:p>
    <w:p>
      <w:pPr>
        <w:pStyle w:val="811"/>
        <w:numPr>
          <w:ilvl w:val="0"/>
          <w:numId w:val="0"/>
        </w:numPr>
        <w:ind w:left="993" w:firstLine="0"/>
      </w:pPr>
      <w:r>
        <w:t xml:space="preserve">-манипуляционные знаки по ГОСТ 14192-96 «Межгосударственный стандарт. Маркировка грузов»;</w:t>
      </w:r>
      <w:r/>
    </w:p>
    <w:p>
      <w:pPr>
        <w:pStyle w:val="811"/>
        <w:numPr>
          <w:ilvl w:val="0"/>
          <w:numId w:val="0"/>
        </w:numPr>
        <w:ind w:left="993" w:firstLine="0"/>
      </w:pPr>
      <w:r>
        <w:t xml:space="preserve">-код </w:t>
      </w:r>
      <w:r>
        <w:t xml:space="preserve">Товара</w:t>
      </w:r>
      <w:r>
        <w:t xml:space="preserve">;</w:t>
      </w:r>
      <w:r/>
    </w:p>
    <w:p>
      <w:pPr>
        <w:pStyle w:val="811"/>
        <w:numPr>
          <w:ilvl w:val="0"/>
          <w:numId w:val="0"/>
        </w:numPr>
        <w:ind w:left="993" w:firstLine="0"/>
      </w:pPr>
      <w:r>
        <w:t xml:space="preserve">-дата изготовления;</w:t>
      </w:r>
      <w:r/>
    </w:p>
    <w:p>
      <w:pPr>
        <w:pStyle w:val="811"/>
        <w:numPr>
          <w:ilvl w:val="0"/>
          <w:numId w:val="0"/>
        </w:numPr>
        <w:ind w:left="993" w:firstLine="0"/>
      </w:pPr>
      <w:r>
        <w:t xml:space="preserve">-иная информация, которую производитель сочтет необходимым разместить.</w:t>
      </w:r>
      <w:r/>
    </w:p>
    <w:p>
      <w:r>
        <w:t xml:space="preserve">Этикетки и наклейки должны быть четкими, чистыми и хорошо читаемыми.</w:t>
      </w:r>
      <w:r/>
    </w:p>
    <w:p>
      <w:pPr>
        <w:rPr>
          <w:highlight w:val="none"/>
        </w:rPr>
      </w:pPr>
      <w:r>
        <w:t xml:space="preserve">На тра</w:t>
      </w:r>
      <w:r>
        <w:t xml:space="preserve">нспортировочную упаковку информация наносится типографическим способом или при помощи наклеек и должна содержать следующие данные: товарный знак изготовителя/поставщика, транспортная маркировка и манипуляционные знаки, код/наименование и количество Товара.</w:t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white"/>
        </w:rPr>
      </w:pPr>
      <w:r>
        <w:rPr>
          <w:highlight w:val="white"/>
        </w:rPr>
        <w:t xml:space="preserve">На все поставляемое оборудование Поставщик должен предоставить Технические паспорта с указанием конкретных технических характеристик поставляемого оборудования.</w:t>
      </w:r>
      <w:r>
        <w:rPr>
          <w:highlight w:val="white"/>
        </w:rPr>
      </w:r>
      <w:r>
        <w:rPr>
          <w:highlight w:val="white"/>
        </w:rPr>
      </w:r>
    </w:p>
    <w:p>
      <w:pPr>
        <w:rPr>
          <w:highlight w:val="white"/>
        </w:rPr>
      </w:pPr>
      <w:r>
        <w:rPr>
          <w:highlight w:val="white"/>
        </w:rPr>
        <w:t xml:space="preserve">Поставка материалов и оборудования со всеми необходимыми комплектующими,  согласно документации производителя, а также со всеми необходимыми документами (техническими паспортами, сертификатами, инструкциями и руководствами по эксплуатации оборудования</w:t>
      </w:r>
      <w:r>
        <w:rPr>
          <w:highlight w:val="white"/>
        </w:rPr>
        <w:t xml:space="preserve">, гарантийными талонами и прочими документами, относящимися к оборудованию в соответствии с действующими в РФ нормативно-правовыми актами)</w:t>
      </w:r>
      <w:r>
        <w:rPr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812"/>
        <w:numPr>
          <w:ilvl w:val="0"/>
          <w:numId w:val="0"/>
        </w:numPr>
        <w:ind w:left="0" w:firstLine="0"/>
        <w:rPr>
          <w:highlight w:val="white"/>
        </w:rPr>
      </w:pPr>
      <w:r>
        <w:rPr>
          <w:highlight w:val="white"/>
        </w:rPr>
        <w:t xml:space="preserve">6</w:t>
      </w:r>
      <w:r>
        <w:rPr>
          <w:highlight w:val="white"/>
        </w:rPr>
        <w:t xml:space="preserve">. Общие требования к Товару</w:t>
      </w:r>
      <w:r>
        <w:rPr>
          <w:highlight w:val="white"/>
        </w:rPr>
      </w:r>
      <w:r>
        <w:rPr>
          <w:highlight w:val="white"/>
        </w:rPr>
      </w:r>
    </w:p>
    <w:p>
      <w:r/>
      <w:r/>
    </w:p>
    <w:p>
      <w:pPr>
        <w:ind w:left="425" w:firstLine="0"/>
        <w:spacing w:line="360" w:lineRule="auto"/>
      </w:pPr>
      <w:r>
        <w:t xml:space="preserve">      </w:t>
      </w:r>
      <w:r>
        <w:t xml:space="preserve">Код </w:t>
      </w:r>
      <w:r>
        <w:t xml:space="preserve"> ОКПД2 26.40.33.111 </w:t>
      </w:r>
      <w:r>
        <w:t xml:space="preserve">- </w:t>
      </w:r>
      <w:r>
        <w:t xml:space="preserve">Видеокамеры для систем видеонаблюдения, видеоаналитики и охранного телевидения</w:t>
      </w:r>
      <w:r/>
    </w:p>
    <w:p>
      <w:pPr>
        <w:ind w:left="425" w:firstLine="0"/>
        <w:spacing w:line="360" w:lineRule="auto"/>
      </w:pPr>
      <w:r>
        <w:t xml:space="preserve">      </w:t>
      </w:r>
      <w:r>
        <w:t xml:space="preserve">Код </w:t>
      </w:r>
      <w:r>
        <w:t xml:space="preserve">КТРУ 26.70.13.000-00000008</w:t>
      </w:r>
      <w:r>
        <w:t xml:space="preserve"> - </w:t>
      </w:r>
      <w:r>
        <w:t xml:space="preserve">Камера видеонаблюдения</w:t>
      </w:r>
      <w:r/>
    </w:p>
    <w:p>
      <w:pPr>
        <w:ind w:firstLine="0"/>
        <w:tabs>
          <w:tab w:val="left" w:pos="7733" w:leader="none"/>
        </w:tabs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tabs>
          <w:tab w:val="left" w:pos="7733" w:leader="none"/>
        </w:tabs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en-US"/>
        </w:rPr>
        <w:t xml:space="preserve">Состав поставляемых Товаров представлен в Та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en-US"/>
        </w:rPr>
        <w:t xml:space="preserve">блице 1.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r>
    </w:p>
    <w:p>
      <w:pPr>
        <w:shd w:val="nil" w:color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  <w:br w:type="page" w:clear="all"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r>
    </w:p>
    <w:p>
      <w:pPr>
        <w:tabs>
          <w:tab w:val="left" w:pos="7733" w:leader="none"/>
        </w:tabs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sectPr>
          <w:footnotePr/>
          <w:endnotePr/>
          <w:type w:val="nextPage"/>
          <w:pgSz w:w="11906" w:h="16838" w:orient="portrait"/>
          <w:pgMar w:top="567" w:right="567" w:bottom="567" w:left="1134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ind w:firstLine="0"/>
        <w:jc w:val="left"/>
        <w:spacing w:line="340" w:lineRule="atLeast"/>
        <w:widowControl w:val="off"/>
        <w:tabs>
          <w:tab w:val="left" w:pos="2848" w:leader="none"/>
        </w:tabs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en-US"/>
        </w:rPr>
        <w:t xml:space="preserve">Состав поставляемых Товаров представлен в Таблице 1.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tbl>
      <w:tblPr>
        <w:tblStyle w:val="977"/>
        <w:tblW w:w="15023" w:type="dxa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4421"/>
        <w:gridCol w:w="1843"/>
        <w:gridCol w:w="4677"/>
        <w:gridCol w:w="709"/>
        <w:gridCol w:w="2617"/>
      </w:tblGrid>
      <w:tr>
        <w:tblPrEx/>
        <w:trPr>
          <w:trHeight w:val="115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56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№п/п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Наименование объекта закупки, товарный знак, знаки обслуживания, фирменные наименования, патенты, полезные модели, промышленные образцы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Тип объекта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Позиции по КТРУ, ОКПД2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Количество (объем) и единица измерения товара, работы, услуги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5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r/>
            <w:r/>
          </w:p>
          <w:p>
            <w:r/>
            <w:r/>
          </w:p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</w:pPr>
            <w:r>
              <w:rPr>
                <w:sz w:val="24"/>
                <w:szCs w:val="24"/>
                <w:highlight w:val="none"/>
              </w:rPr>
            </w:r>
            <w:r>
              <w:t xml:space="preserve">Камера видеонаблюдения </w:t>
            </w:r>
            <w:r>
              <w:t xml:space="preserve">Dahua DH-IPC-HDBW2431EP-S-0 280B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Товар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26.40.33.111 (Видеокамеры для систем видеонаблюдения, видеоаналитики и охранного телевидения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/>
          </w:p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26.70.13.000-00000008 (Камера видеонаблюдения)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Штуки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(шт.)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426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Характеристики объекта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Наименование характеристики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229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Значение характеристики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17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Единица измерения характеристики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  <w:t xml:space="preserve">Разрешение основного видеопотока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229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2560×1440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17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hd w:val="nil" w:color="00000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t xml:space="preserve">Пиксель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Разрешение дополнительного видеопотока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229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1920×1080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17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hd w:val="nil" w:color="00000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t xml:space="preserve">Пиксель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Тип камеры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229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Цифровая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17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67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</w:pPr>
            <w:r>
              <w:t xml:space="preserve">Максимальный угол обзора по горизонтали</w:t>
            </w:r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229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</w:pPr>
            <w:r>
              <w:t xml:space="preserve">95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17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t xml:space="preserve">Градус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</w:pPr>
            <w:r>
              <w:t xml:space="preserve">Исполнение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229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</w:pPr>
            <w:r>
              <w:t xml:space="preserve">Уличная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17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</w:pPr>
            <w:r>
              <w:t xml:space="preserve">Материал корпуса </w:t>
            </w:r>
            <w:r>
              <w:t xml:space="preserve">(кожуха)</w:t>
            </w:r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229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Металлический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17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Ночная съёмка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229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Да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17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4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Поддержка видеокодеков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229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H.264 Main Profile, H.265, MJPEG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17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Поддержка карт памяти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229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microSDXC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17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5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Поддержка сетевого протокола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229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IPv4, TCP/IP, UDP/TCP, DNS, DHCP, RTP/RTCP, NTP, ICMP, RTSP, ONVIF, HTTP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17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Потребляемая мощность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229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5,2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1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Ватт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Тип конструкции камеры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229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Купольная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17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5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Тип крепления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229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Универсальная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17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Тип носителя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229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Карта памяти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17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Тип объектива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229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Фиксированный (монофокальный)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17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</w:pPr>
            <w:r/>
            <w:r/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Угол обзора по диагонали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229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121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1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Градус </w:t>
            </w:r>
            <w:r>
              <w:t xml:space="preserve">(плоского угла)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5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Функции и возможности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229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Степень влагозащиты, степень ударопрочности, прогрессивное сканирование, режим BLC, режим HLC, автоматическая настройка дальности ИК‑подсветки, режим WDR, встраиваемый детектор движения, антивандальная, тревожный вход/выход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17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Частота кадров (кадр/сек)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229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30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1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Кадр в секунду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Число мегапикселей матрицы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229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1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Мегапиксель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Рабочее напряжение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229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1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Вольт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</w:tbl>
    <w:p>
      <w:r/>
      <w:r/>
    </w:p>
    <w:p>
      <w:r>
        <w:t xml:space="preserve">Товар должен быть свободным от прав третьих лиц, гарантировать бесперебойную работу оборудования и обеспечивать полное с ним взаимодействие.</w:t>
      </w:r>
      <w:r/>
    </w:p>
    <w:p>
      <w:pPr>
        <w:rPr>
          <w:highlight w:val="none"/>
        </w:rPr>
      </w:pPr>
      <w:r>
        <w:t xml:space="preserve">Гарантия Поставщика на поставляемый Товар должна составлять 12 (двенадцать</w:t>
      </w:r>
      <w:r>
        <w:t xml:space="preserve">) месяцев </w:t>
      </w:r>
      <w:r>
        <w:t xml:space="preserve">с даты подписания</w:t>
      </w:r>
      <w:r>
        <w:t xml:space="preserve"> Акта приема-передачи Товара.</w:t>
      </w:r>
      <w:r>
        <w:rPr>
          <w:highlight w:val="none"/>
        </w:rPr>
      </w:r>
      <w:r>
        <w:rPr>
          <w:highlight w:val="none"/>
        </w:rPr>
      </w:r>
    </w:p>
    <w:p>
      <w:pPr>
        <w:ind w:firstLine="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tbl>
      <w:tblPr>
        <w:tblW w:w="4802" w:type="pct"/>
        <w:jc w:val="center"/>
        <w:tblInd w:w="-1155" w:type="dxa"/>
        <w:tblLayout w:type="fixed"/>
        <w:tblLook w:val="0000" w:firstRow="0" w:lastRow="0" w:firstColumn="0" w:lastColumn="0" w:noHBand="0" w:noVBand="0"/>
      </w:tblPr>
      <w:tblGrid>
        <w:gridCol w:w="1155"/>
        <w:gridCol w:w="4546"/>
        <w:gridCol w:w="4308"/>
      </w:tblGrid>
      <w:tr>
        <w:tblPrEx/>
        <w:trPr>
          <w:jc w:val="center"/>
        </w:trPr>
        <w:tc>
          <w:tcPr>
            <w:gridSpan w:val="2"/>
            <w:shd w:val="clear" w:color="auto" w:fill="auto"/>
            <w:tcW w:w="5701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lang w:eastAsia="ar-SA"/>
              </w:rPr>
              <w:outlineLvl w:val="9"/>
            </w:pPr>
            <w:r>
              <w:rPr>
                <w:b/>
                <w:lang w:eastAsia="ar-SA"/>
              </w:rPr>
              <w:t xml:space="preserve">ЗАКАЗЧИК:</w:t>
            </w:r>
            <w:r>
              <w:rPr>
                <w:b/>
                <w:lang w:eastAsia="ar-SA"/>
              </w:rPr>
            </w:r>
            <w:r>
              <w:rPr>
                <w:b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  <w:t xml:space="preserve">Директор Департамента цифровой</w:t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  <w:t xml:space="preserve">трансформации</w:t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____________________ Ф.В. Мицкевич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auto"/>
            <w:tcW w:w="4308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color w:val="000000"/>
                <w:lang w:eastAsia="ar-SA"/>
              </w:rPr>
              <w:t xml:space="preserve">ПОСТАВЩИК:</w:t>
            </w:r>
            <w:r>
              <w:rPr>
                <w:b/>
                <w:color w:val="000000"/>
                <w:lang w:eastAsia="ar-SA"/>
              </w:rPr>
            </w:r>
            <w:r>
              <w:rPr>
                <w:b/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t xml:space="preserve">Генеральный директор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________________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__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_ Э.А.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Балобанов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а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  <w:tr>
        <w:tblPrEx/>
        <w:trPr>
          <w:gridBefore w:val="1"/>
          <w:jc w:val="center"/>
          <w:trHeight w:val="80"/>
        </w:trPr>
        <w:tc>
          <w:tcPr>
            <w:shd w:val="clear" w:color="auto" w:fill="auto"/>
            <w:tcW w:w="4546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shd w:val="clear" w:color="auto" w:fill="auto"/>
            <w:tcW w:w="4308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</w:tbl>
    <w:p>
      <w:pPr>
        <w:ind w:left="1562" w:firstLine="6237"/>
        <w:jc w:val="right"/>
        <w:spacing w:before="20" w:line="100" w:lineRule="atLeast"/>
        <w:tabs>
          <w:tab w:val="left" w:pos="6946" w:leader="none"/>
        </w:tabs>
        <w:rPr>
          <w:color w:val="000000"/>
          <w:highlight w:val="none"/>
          <w:lang w:eastAsia="ar-SA"/>
        </w:rPr>
        <w:outlineLvl w:val="9"/>
      </w:pPr>
      <w:r>
        <w:rPr>
          <w:color w:val="000000"/>
          <w:highlight w:val="none"/>
          <w:lang w:eastAsia="ar-SA"/>
        </w:rPr>
      </w:r>
      <w:r>
        <w:rPr>
          <w:color w:val="000000"/>
          <w:highlight w:val="none"/>
          <w:lang w:eastAsia="ar-SA"/>
        </w:rPr>
      </w:r>
      <w:r>
        <w:rPr>
          <w:color w:val="000000"/>
          <w:highlight w:val="none"/>
          <w:lang w:eastAsia="ar-SA"/>
        </w:rPr>
      </w:r>
    </w:p>
    <w:p>
      <w:pPr>
        <w:shd w:val="nil" w:color="auto"/>
        <w:rPr>
          <w:color w:val="000000"/>
          <w:highlight w:val="none"/>
          <w:lang w:eastAsia="ar-SA"/>
        </w:rPr>
        <w:sectPr>
          <w:footnotePr/>
          <w:endnotePr/>
          <w:type w:val="continuous"/>
          <w:pgSz w:w="16838" w:h="11906" w:orient="landscape"/>
          <w:pgMar w:top="1134" w:right="567" w:bottom="567" w:left="567" w:header="709" w:footer="709" w:gutter="0"/>
          <w:cols w:num="1" w:sep="0" w:space="708" w:equalWidth="1"/>
          <w:docGrid w:linePitch="360"/>
          <w:titlePg/>
        </w:sectPr>
        <w:outlineLvl w:val="9"/>
      </w:pPr>
      <w:r>
        <w:rPr>
          <w:color w:val="000000"/>
          <w:highlight w:val="none"/>
          <w:lang w:eastAsia="ar-SA"/>
        </w:rPr>
      </w:r>
      <w:r>
        <w:rPr>
          <w:color w:val="000000"/>
          <w:highlight w:val="none"/>
          <w:lang w:eastAsia="ar-SA"/>
        </w:rPr>
      </w:r>
      <w:r>
        <w:rPr>
          <w:color w:val="000000"/>
          <w:highlight w:val="none"/>
          <w:lang w:eastAsia="ar-SA"/>
        </w:rPr>
      </w:r>
    </w:p>
    <w:p>
      <w:pPr>
        <w:jc w:val="right"/>
        <w:shd w:val="nil" w:color="000000"/>
        <w:rPr>
          <w:highlight w:val="none"/>
        </w:rPr>
        <w:outlineLvl w:val="9"/>
      </w:pPr>
      <w:r>
        <w:rPr>
          <w:color w:val="000000"/>
          <w:highlight w:val="none"/>
          <w:lang w:eastAsia="ar-SA"/>
        </w:rPr>
      </w:r>
      <w:r>
        <w:rPr>
          <w:color w:val="000000"/>
          <w:lang w:eastAsia="ar-SA"/>
        </w:rPr>
        <w:t xml:space="preserve">Приложение № 2</w:t>
      </w:r>
      <w:r>
        <w:rPr>
          <w:highlight w:val="none"/>
        </w:rPr>
      </w:r>
      <w:r>
        <w:rPr>
          <w:highlight w:val="none"/>
        </w:rPr>
      </w:r>
    </w:p>
    <w:p>
      <w:pPr>
        <w:ind w:firstLine="0"/>
        <w:jc w:val="right"/>
        <w:spacing w:line="100" w:lineRule="atLeast"/>
        <w:tabs>
          <w:tab w:val="center" w:pos="2420" w:leader="none"/>
          <w:tab w:val="left" w:pos="3840" w:leader="none"/>
        </w:tabs>
        <w:rPr>
          <w:lang w:eastAsia="ar-SA"/>
        </w:rPr>
        <w:outlineLvl w:val="9"/>
      </w:pPr>
      <w:r>
        <w:rPr>
          <w:color w:val="000000"/>
          <w:lang w:eastAsia="ar-SA"/>
        </w:rPr>
        <w:t xml:space="preserve">к Контракту № </w:t>
      </w:r>
      <w:r>
        <w:rPr>
          <w:lang w:eastAsia="ar-SA"/>
        </w:rPr>
        <w:t xml:space="preserve">100201966126100166</w:t>
      </w:r>
      <w:r>
        <w:rPr>
          <w:lang w:eastAsia="ar-SA"/>
        </w:rPr>
      </w:r>
      <w:r>
        <w:rPr>
          <w:lang w:eastAsia="ar-SA"/>
        </w:rPr>
      </w:r>
    </w:p>
    <w:p>
      <w:pPr>
        <w:ind w:firstLine="0"/>
        <w:jc w:val="right"/>
        <w:spacing w:line="100" w:lineRule="atLeast"/>
        <w:tabs>
          <w:tab w:val="center" w:pos="2420" w:leader="none"/>
          <w:tab w:val="left" w:pos="3840" w:leader="none"/>
        </w:tabs>
        <w:rPr>
          <w:lang w:eastAsia="ar-SA"/>
        </w:rPr>
        <w:outlineLvl w:val="9"/>
      </w:pPr>
      <w:r>
        <w:rPr>
          <w:lang w:eastAsia="ar-SA"/>
        </w:rPr>
        <w:t xml:space="preserve">от «___» ________2026 г.</w:t>
      </w:r>
      <w:r>
        <w:rPr>
          <w:lang w:eastAsia="ar-SA"/>
        </w:rPr>
      </w:r>
      <w:r>
        <w:rPr>
          <w:lang w:eastAsia="ar-SA"/>
        </w:rPr>
      </w:r>
    </w:p>
    <w:p>
      <w:pPr>
        <w:ind w:firstLine="0"/>
        <w:jc w:val="left"/>
        <w:spacing w:line="100" w:lineRule="atLeast"/>
        <w:rPr>
          <w:b/>
          <w:bCs/>
          <w:caps/>
          <w:lang w:eastAsia="ar-SA"/>
        </w:rPr>
        <w:outlineLvl w:val="9"/>
      </w:pPr>
      <w:r>
        <w:rPr>
          <w:b/>
          <w:bCs/>
          <w:caps/>
          <w:lang w:eastAsia="ar-SA"/>
        </w:rPr>
      </w:r>
      <w:r>
        <w:rPr>
          <w:b/>
          <w:bCs/>
          <w:caps/>
          <w:lang w:eastAsia="ar-SA"/>
        </w:rPr>
      </w:r>
      <w:r>
        <w:rPr>
          <w:b/>
          <w:bCs/>
          <w:caps/>
          <w:lang w:eastAsia="ar-SA"/>
        </w:rPr>
      </w:r>
    </w:p>
    <w:p>
      <w:pPr>
        <w:ind w:firstLine="0"/>
        <w:jc w:val="center"/>
        <w:spacing w:line="100" w:lineRule="atLeast"/>
        <w:rPr>
          <w:b/>
          <w:bCs/>
          <w:caps/>
          <w:lang w:eastAsia="ar-SA"/>
        </w:rPr>
        <w:outlineLvl w:val="9"/>
      </w:pPr>
      <w:r>
        <w:rPr>
          <w:b/>
          <w:caps/>
          <w:lang w:eastAsia="ar-SA"/>
        </w:rPr>
        <w:t xml:space="preserve">Спецификация</w:t>
      </w:r>
      <w:r>
        <w:rPr>
          <w:b/>
          <w:bCs/>
          <w:caps/>
          <w:lang w:eastAsia="ar-SA"/>
        </w:rPr>
      </w:r>
      <w:r>
        <w:rPr>
          <w:b/>
          <w:bCs/>
          <w:caps/>
          <w:lang w:eastAsia="ar-SA"/>
        </w:rPr>
      </w:r>
    </w:p>
    <w:p>
      <w:pPr>
        <w:ind w:firstLine="0"/>
        <w:jc w:val="center"/>
        <w:spacing w:line="100" w:lineRule="atLeast"/>
        <w:rPr>
          <w:b/>
          <w:caps/>
          <w:sz w:val="2"/>
          <w:lang w:eastAsia="ar-SA"/>
        </w:rPr>
        <w:outlineLvl w:val="9"/>
      </w:pPr>
      <w:r>
        <w:rPr>
          <w:b/>
          <w:caps/>
          <w:sz w:val="2"/>
          <w:lang w:eastAsia="ar-SA"/>
        </w:rPr>
      </w:r>
      <w:r>
        <w:rPr>
          <w:b/>
          <w:caps/>
          <w:sz w:val="2"/>
          <w:lang w:eastAsia="ar-SA"/>
        </w:rPr>
      </w:r>
      <w:r>
        <w:rPr>
          <w:b/>
          <w:caps/>
          <w:sz w:val="2"/>
          <w:lang w:eastAsia="ar-SA"/>
        </w:rPr>
      </w:r>
    </w:p>
    <w:p>
      <w:pPr>
        <w:ind w:firstLine="0"/>
        <w:spacing w:before="20" w:line="100" w:lineRule="atLeast"/>
        <w:tabs>
          <w:tab w:val="left" w:pos="6946" w:leader="none"/>
        </w:tabs>
        <w:rPr>
          <w:sz w:val="12"/>
          <w:lang w:eastAsia="ar-SA"/>
        </w:rPr>
        <w:outlineLvl w:val="9"/>
      </w:pPr>
      <w:r>
        <w:rPr>
          <w:sz w:val="12"/>
          <w:lang w:eastAsia="ar-SA"/>
        </w:rPr>
      </w:r>
      <w:r>
        <w:rPr>
          <w:sz w:val="12"/>
          <w:lang w:eastAsia="ar-SA"/>
        </w:rPr>
      </w:r>
      <w:r>
        <w:rPr>
          <w:sz w:val="12"/>
          <w:lang w:eastAsia="ar-SA"/>
        </w:rPr>
      </w:r>
    </w:p>
    <w:tbl>
      <w:tblPr>
        <w:tblStyle w:val="977"/>
        <w:tblW w:w="0" w:type="auto"/>
        <w:tblLayout w:type="fixed"/>
        <w:tblLook w:val="04A0" w:firstRow="1" w:lastRow="0" w:firstColumn="1" w:lastColumn="0" w:noHBand="0" w:noVBand="1"/>
      </w:tblPr>
      <w:tblGrid>
        <w:gridCol w:w="292"/>
        <w:gridCol w:w="1481"/>
        <w:gridCol w:w="635"/>
        <w:gridCol w:w="3369"/>
        <w:gridCol w:w="1701"/>
        <w:gridCol w:w="1417"/>
        <w:gridCol w:w="1434"/>
      </w:tblGrid>
      <w:tr>
        <w:tblPrEx/>
        <w:trPr>
          <w:trHeight w:val="683"/>
        </w:trPr>
        <w:tc>
          <w:tcPr>
            <w:tcW w:w="29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№ </w:t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п</w:t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/п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8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Наименование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63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Кол-во, шт.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369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Технические характеристики</w:t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r>
          </w:p>
          <w:p>
            <w:pP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Страна происхождения</w:t>
            </w:r>
            <w:r>
              <w:rPr>
                <w:rFonts w:eastAsia="Calibri"/>
                <w:b/>
                <w:bCs/>
                <w:sz w:val="20"/>
                <w:szCs w:val="20"/>
              </w:rPr>
            </w: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hd w:val="nil" w:color="auto"/>
              <w:rPr>
                <w14:ligatures w14:val="none"/>
              </w:rPr>
              <w:suppressLineNumbers w:val="0"/>
            </w:pP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Цена за ед. изм. (руб.) 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  <w:tc>
          <w:tcPr>
            <w:tcW w:w="1434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Сумма, руб.</w:t>
            </w:r>
            <w:r>
              <w:rPr>
                <w:rFonts w:eastAsia="Calibri"/>
                <w:b/>
                <w:bCs/>
                <w:sz w:val="20"/>
                <w:szCs w:val="20"/>
              </w:rPr>
            </w: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</w:tr>
      <w:tr>
        <w:tblPrEx/>
        <w:trPr>
          <w:trHeight w:val="9337"/>
        </w:trPr>
        <w:tc>
          <w:tcPr>
            <w:tcW w:w="292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8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</w:pP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  <w:t xml:space="preserve">Камера видеонаблюдения </w:t>
            </w:r>
            <w:r>
              <w:rPr>
                <w:sz w:val="20"/>
                <w:szCs w:val="20"/>
                <w:highlight w:val="none"/>
              </w:rPr>
              <w:t xml:space="preserve">Dahua DH-IPC-HDBW2431EP-S-0 280B</w:t>
            </w:r>
            <w:r>
              <w:rPr>
                <w:sz w:val="20"/>
                <w:szCs w:val="20"/>
                <w:highlight w:val="none"/>
              </w:rPr>
            </w:r>
            <w:r/>
          </w:p>
          <w:p>
            <w:pPr>
              <w:ind w:firstLine="0"/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none"/>
              </w:rPr>
              <w:t xml:space="preserve">Код  ОКПД2 26.40.33.111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firstLine="0"/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Код КТРУ 26.70.13.000-00000008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</w:tc>
        <w:tc>
          <w:tcPr>
            <w:tcW w:w="635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369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Разрешение основного видеопотока 2560×1440 Пиксель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Разрешение дополнительного видеопотока 1920×1080 Пиксель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Тип камеры Цифровая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Максимальный угол обзора по горизонтали 95 Градус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Исполнение Уличная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Материал корпуса (кожуха) Металлический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Ночная съёмка Да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Поддержка видеокодеков H.264 Main Profile, H.265, MJPEG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Поддержка карт памяти microSDXC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Поддержка сетевого протокола IPv4, TCP/IP, UDP/TCP, DNS, DHCP, RTP/RTCP, NTP, ICMP, RTSP, ONVIF, HTTP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Потребляемая мощность 5,2 Ватт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Тип конструкции камеры Купольная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Тип крепления Универсальная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Тип носителя Карта памяти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Тип объектива Фиксированный (монофокальный)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Угол обзора по диагонали 121 Градус (плоского угла)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Ф</w:t>
            </w:r>
            <w:r>
              <w:rPr>
                <w:sz w:val="20"/>
                <w:szCs w:val="20"/>
              </w:rPr>
              <w:t xml:space="preserve">ункции и возможности Степень влагозащиты, степень ударопрочности, прогрессивное сканирование, режим BLC, режим HLC, автоматическая настройка дальности ИК‑подсветки, режим WDR, встраиваемый детектор движения, антивандальная, тревожный вход/вых</w:t>
            </w:r>
            <w:r>
              <w:rPr>
                <w:sz w:val="20"/>
                <w:szCs w:val="20"/>
              </w:rPr>
              <w:t xml:space="preserve">од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Частота кадров (кадр/сек) 30 Кадр в секунду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Число мегапикселей матрицы 4 Мегапиксель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Рабочее напряжение 12 Вольт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Китай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ind w:left="0" w:right="0" w:firstLine="0"/>
              <w:jc w:val="center"/>
              <w:rPr>
                <w:sz w:val="20"/>
                <w:szCs w:val="20"/>
              </w:rPr>
              <w:suppressLineNumbers w:val="0"/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8 870,</w:t>
            </w:r>
            <w:r>
              <w:rPr>
                <w:sz w:val="20"/>
                <w:szCs w:val="20"/>
              </w:rPr>
              <w:t xml:space="preserve">00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44 350,00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55"/>
        </w:trPr>
        <w:tc>
          <w:tcPr>
            <w:gridSpan w:val="6"/>
            <w:tcW w:w="8895" w:type="dxa"/>
            <w:vAlign w:val="center"/>
            <w:textDirection w:val="lrTb"/>
            <w:noWrap w:val="false"/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44 350,00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55"/>
        </w:trPr>
        <w:tc>
          <w:tcPr>
            <w:gridSpan w:val="6"/>
            <w:tcW w:w="8895" w:type="dxa"/>
            <w:vAlign w:val="center"/>
            <w:textDirection w:val="lrTb"/>
            <w:noWrap w:val="false"/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 том числе НДС 22 %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7 997</w:t>
            </w:r>
            <w:r>
              <w:rPr>
                <w:sz w:val="20"/>
                <w:szCs w:val="20"/>
              </w:rPr>
              <w:t xml:space="preserve">,54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ind w:firstLine="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tbl>
      <w:tblPr>
        <w:tblW w:w="4917" w:type="pct"/>
        <w:jc w:val="center"/>
        <w:tblInd w:w="-1171" w:type="dxa"/>
        <w:tblLayout w:type="fixed"/>
        <w:tblLook w:val="0000" w:firstRow="0" w:lastRow="0" w:firstColumn="0" w:lastColumn="0" w:noHBand="0" w:noVBand="0"/>
      </w:tblPr>
      <w:tblGrid>
        <w:gridCol w:w="5699"/>
        <w:gridCol w:w="4550"/>
      </w:tblGrid>
      <w:tr>
        <w:tblPrEx/>
        <w:trPr>
          <w:jc w:val="center"/>
        </w:trPr>
        <w:tc>
          <w:tcPr>
            <w:shd w:val="clear" w:color="ffffff" w:fill="ffffff"/>
            <w:tcW w:w="5699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lang w:eastAsia="ar-SA"/>
              </w:rPr>
              <w:outlineLvl w:val="9"/>
            </w:pPr>
            <w:r>
              <w:rPr>
                <w:b/>
                <w:lang w:eastAsia="ar-SA"/>
              </w:rPr>
              <w:t xml:space="preserve">ЗАКАЗЧИК:</w:t>
            </w:r>
            <w:r>
              <w:rPr>
                <w:b/>
                <w:lang w:eastAsia="ar-SA"/>
              </w:rPr>
            </w:r>
            <w:r>
              <w:rPr>
                <w:b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  <w:t xml:space="preserve">Директор Департамента цифровой</w:t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  <w:t xml:space="preserve">трансформации</w:t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____________________ Ф.В. Мицкевич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ffffff" w:fill="ffffff"/>
            <w:tcW w:w="4550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color w:val="000000"/>
                <w:lang w:eastAsia="ar-SA"/>
              </w:rPr>
              <w:t xml:space="preserve">ПОСТАВЩИК:</w:t>
            </w:r>
            <w:r>
              <w:rPr>
                <w:b/>
                <w:color w:val="000000"/>
                <w:lang w:eastAsia="ar-SA"/>
              </w:rPr>
            </w:r>
            <w:r>
              <w:rPr>
                <w:b/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t xml:space="preserve">Генеральный директор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________________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__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_ Э.А.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Балобанов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а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  <w:tr>
        <w:tblPrEx/>
        <w:trPr>
          <w:jc w:val="center"/>
          <w:trHeight w:val="80"/>
        </w:trPr>
        <w:tc>
          <w:tcPr>
            <w:shd w:val="clear" w:color="ffffff" w:fill="ffffff"/>
            <w:tcW w:w="5699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shd w:val="clear" w:color="ffffff" w:fill="ffffff"/>
            <w:tcW w:w="4550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</w:tbl>
    <w:p>
      <w:pPr>
        <w:ind w:firstLine="0"/>
        <w:jc w:val="left"/>
        <w:spacing w:after="160" w:line="259" w:lineRule="auto"/>
        <w:rPr>
          <w:sz w:val="2"/>
          <w:szCs w:val="2"/>
        </w:rPr>
        <w:outlineLvl w:val="9"/>
      </w:pPr>
      <w:r>
        <w:rPr>
          <w:sz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ind w:firstLine="0"/>
        <w:sectPr>
          <w:footnotePr/>
          <w:endnotePr/>
          <w:type w:val="continuous"/>
          <w:pgSz w:w="11906" w:h="16838" w:orient="portrait"/>
          <w:pgMar w:top="567" w:right="567" w:bottom="567" w:left="1134" w:header="709" w:footer="709" w:gutter="0"/>
          <w:cols w:num="1" w:sep="0" w:space="708" w:equalWidth="1"/>
          <w:docGrid w:linePitch="360"/>
          <w:titlePg/>
        </w:sectPr>
      </w:pPr>
      <w:r/>
      <w:r/>
    </w:p>
    <w:p>
      <w:pPr>
        <w:ind w:left="1562" w:firstLine="4817"/>
        <w:jc w:val="right"/>
        <w:spacing w:before="20" w:line="100" w:lineRule="atLeast"/>
        <w:tabs>
          <w:tab w:val="left" w:pos="6946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</w:r>
      <w:r>
        <w:rPr>
          <w:color w:val="000000"/>
          <w:lang w:eastAsia="ar-SA"/>
        </w:rPr>
        <w:t xml:space="preserve">Приложение № 3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left="1562" w:firstLine="0"/>
        <w:jc w:val="right"/>
        <w:spacing w:before="20" w:line="100" w:lineRule="atLeast"/>
        <w:tabs>
          <w:tab w:val="left" w:pos="6946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к Контракту № </w:t>
      </w:r>
      <w:r>
        <w:rPr>
          <w:color w:val="000000"/>
          <w:lang w:eastAsia="ar-SA"/>
        </w:rPr>
        <w:t xml:space="preserve">100201966126100166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left="1562" w:firstLine="4817"/>
        <w:jc w:val="right"/>
        <w:spacing w:before="20" w:line="100" w:lineRule="atLeast"/>
        <w:tabs>
          <w:tab w:val="left" w:pos="6946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от «___» ________2026 г.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5210"/>
        <w:gridCol w:w="4996"/>
      </w:tblGrid>
      <w:tr>
        <w:tblPrEx/>
        <w:trPr>
          <w:trHeight w:val="313"/>
        </w:trPr>
        <w:tc>
          <w:tcPr>
            <w:shd w:val="clear" w:color="auto" w:fill="auto"/>
            <w:tcW w:w="5210" w:type="dxa"/>
            <w:textDirection w:val="lrTb"/>
            <w:noWrap w:val="false"/>
          </w:tcPr>
          <w:p>
            <w:pPr>
              <w:pStyle w:val="805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ЗАКАЗЧИК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4996" w:type="dxa"/>
            <w:textDirection w:val="lrTb"/>
            <w:noWrap w:val="false"/>
          </w:tcPr>
          <w:p>
            <w:pPr>
              <w:pStyle w:val="805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ПОСТАВЩИК: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313"/>
        </w:trPr>
        <w:tc>
          <w:tcPr>
            <w:shd w:val="clear" w:color="auto" w:fill="auto"/>
            <w:tcW w:w="5210" w:type="dxa"/>
            <w:textDirection w:val="lrTb"/>
            <w:noWrap w:val="false"/>
          </w:tcPr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Министерство энергетики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(Минэнерго России)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4996" w:type="dxa"/>
            <w:textDirection w:val="lrTb"/>
            <w:noWrap w:val="false"/>
          </w:tcPr>
          <w:p>
            <w:pPr>
              <w:pStyle w:val="805"/>
              <w:ind w:left="0" w:right="0" w:firstLine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Общество с ограниченной ответственностью «АЛЬФАКОМ»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(ООО «АЛЬФАКОМ»)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</w:tc>
      </w:tr>
      <w:tr>
        <w:tblPrEx/>
        <w:trPr>
          <w:trHeight w:val="760"/>
        </w:trPr>
        <w:tc>
          <w:tcPr>
            <w:shd w:val="clear" w:color="auto" w:fill="auto"/>
            <w:tcW w:w="5210" w:type="dxa"/>
            <w:textDirection w:val="lrTb"/>
            <w:noWrap w:val="false"/>
          </w:tcPr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Юридический адрес: 109012, г. Москва,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Китайгородский пр-д, д. 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Фактический адрес: 129110, г. Москва,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Щепкина ул., д. 42, стр. 1, 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ИНН 7705847529, КПП 770501001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Банковские реквизиты: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Межрегиональное операционное УФК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(Минэнерго России, л/с 03951000220)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р/с 40102810045370000002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в Операционном департаменте Банка России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//Межрегиональное операционное УФК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г. Москва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к/с 03211643000000019503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БИК 024501901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ОКПО/ОКТМО  00083641/45381000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Эл. почта: compred@minenergo.gov.ru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0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Тел: (495) 631-95-36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4996" w:type="dxa"/>
            <w:textDirection w:val="lrTb"/>
            <w:noWrap w:val="false"/>
          </w:tcPr>
          <w:p>
            <w:pPr>
              <w:pStyle w:val="805"/>
              <w:ind w:left="0" w:right="0" w:firstLine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Юридический адрес: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105554, г. Москва,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left="0" w:right="0" w:firstLine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ул. Первомайская, д. 76, пом. V, комн. 2,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подвал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Почтовый адрес: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105554, г. Москва,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left="0" w:right="0" w:firstLine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ул. Первомайская, д. 76, пом. V, комн. 2,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подвал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ИНН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7718751006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КПП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771901001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ОКПО: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89646485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ОКТМО: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45303000000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ОГРН: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1097746028885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ОКВЭД: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62.01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jc w:val="both"/>
              <w:spacing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Электронная почта: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</w:r>
          </w:p>
          <w:p>
            <w:pPr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t.veretennikova@alfakom.org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Тел.: +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7 (495) 212-16-73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Банковские реквизиты: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Наименование банка: ПАО Сбербанк, 117312, г Москва, Академический р-н, ул Вавилова, д 19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р\с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40702810138000111716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к\с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30101810400000000225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БИК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044525225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Дата постановки на учет в налоговом органе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29.06.2010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</w:tc>
      </w:tr>
    </w:tbl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  <w:t xml:space="preserve">ФОРМА АКТА ПРИЕМА-ПЕРЕДАЧИ ТОВАРА №___</w:t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p>
      <w:pPr>
        <w:ind w:firstLine="0"/>
        <w:jc w:val="center"/>
        <w:spacing w:line="100" w:lineRule="atLeast"/>
        <w:rPr>
          <w:b/>
          <w:lang w:eastAsia="ar-SA"/>
        </w:rPr>
        <w:outlineLvl w:val="9"/>
      </w:pPr>
      <w:r>
        <w:rPr>
          <w:b/>
          <w:bCs/>
          <w:lang w:eastAsia="ar-SA"/>
        </w:rPr>
        <w:t xml:space="preserve">по Контракту</w:t>
      </w:r>
      <w:r>
        <w:rPr>
          <w:b/>
          <w:lang w:eastAsia="ar-SA"/>
        </w:rPr>
        <w:t xml:space="preserve"> от «___» ___________ 2026 г.  № ______________________________</w:t>
      </w:r>
      <w:r>
        <w:rPr>
          <w:b/>
          <w:lang w:eastAsia="ar-SA"/>
        </w:rPr>
      </w:r>
      <w:r>
        <w:rPr>
          <w:b/>
          <w:lang w:eastAsia="ar-SA"/>
        </w:rPr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08"/>
        <w:gridCol w:w="5563"/>
      </w:tblGrid>
      <w:tr>
        <w:tblPrEx/>
        <w:trPr/>
        <w:tc>
          <w:tcPr>
            <w:tcW w:w="4608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г. Москва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tcW w:w="5563" w:type="dxa"/>
            <w:textDirection w:val="lrTb"/>
            <w:noWrap w:val="false"/>
          </w:tcPr>
          <w:p>
            <w:pPr>
              <w:ind w:firstLine="0"/>
              <w:jc w:val="righ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                              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righ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          «___» ____________ 2026 г.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righ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</w:tr>
    </w:tbl>
    <w:p>
      <w:r>
        <w:t xml:space="preserve">Министерство энергетики Российской Федерации (Минэнерго России), именуемое</w:t>
      </w:r>
      <w:r>
        <w:br/>
        <w:t xml:space="preserve">в дальнейшем «Заказчик», </w:t>
      </w:r>
      <w:r>
        <w:rPr>
          <w:sz w:val="24"/>
          <w:szCs w:val="26"/>
        </w:rPr>
        <w:t xml:space="preserve"> в лице директора Департамента цифровой трансформации Мицкевича Феликса Владимировича, действующего на основании приказа Минэнерго России от 24.11.2021 </w:t>
        <w:br/>
        <w:t xml:space="preserve">№ 1286 и доверенности от 03.03.2025 № СЦ-3295/14</w:t>
      </w:r>
      <w:r>
        <w:t xml:space="preserve">, и ________________________, именуемое в дальнейшем «Поставщик», </w:t>
      </w:r>
      <w:r>
        <w:t xml:space="preserve">в лице_____________________________, действующего на основании________________________, с другой стороны, составили настоящий Акт о нижеследующем:</w:t>
      </w:r>
      <w:r/>
    </w:p>
    <w:p>
      <w:pPr>
        <w:ind w:left="13"/>
        <w:tabs>
          <w:tab w:val="left" w:pos="851" w:leader="none"/>
        </w:tabs>
      </w:pPr>
      <w:r>
        <w:t xml:space="preserve">1.</w:t>
      </w:r>
      <w:r>
        <w:tab/>
        <w:t xml:space="preserve">В соответствии с условиями контракта от «__» __________ 2026 г. № _______ </w:t>
      </w:r>
      <w:r>
        <w:br/>
        <w:t xml:space="preserve">(далее – Контракт) Поставщиком передан, а Заказчиком принят Товар по предмету закупки: </w:t>
      </w:r>
      <w:r>
        <w:t xml:space="preserve">поставка IP‑видеокамер</w:t>
      </w:r>
      <w:r>
        <w:t xml:space="preserve">.</w:t>
      </w:r>
      <w:r/>
    </w:p>
    <w:p>
      <w:pPr>
        <w:ind w:left="13"/>
        <w:tabs>
          <w:tab w:val="left" w:pos="851" w:leader="none"/>
        </w:tabs>
      </w:pPr>
      <w:r>
        <w:br w:type="page" w:clear="all"/>
        <w:t xml:space="preserve">2.</w:t>
      </w:r>
      <w:r>
        <w:tab/>
        <w:t xml:space="preserve">Контрактом предусмотрена поставка:</w:t>
      </w:r>
      <w:r/>
    </w:p>
    <w:tbl>
      <w:tblPr>
        <w:tblW w:w="102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4"/>
        <w:gridCol w:w="1742"/>
        <w:gridCol w:w="1853"/>
        <w:gridCol w:w="1718"/>
        <w:gridCol w:w="2076"/>
      </w:tblGrid>
      <w:tr>
        <w:tblPrEx/>
        <w:trPr>
          <w:jc w:val="center"/>
          <w:trHeight w:val="728"/>
        </w:trPr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54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Наименование товарной позиции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4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Количество, шт.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85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</w:r>
            <w:r>
              <w:rPr>
                <w:bCs/>
                <w:shd w:val="clear" w:color="auto" w:fill="ffffff"/>
                <w:lang w:eastAsia="ar-SA"/>
              </w:rPr>
              <w:t xml:space="preserve">Страна происхождения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1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</w:r>
            <w:r>
              <w:rPr>
                <w:bCs/>
                <w:shd w:val="clear" w:color="auto" w:fill="ffffff"/>
                <w:lang w:eastAsia="ar-SA"/>
              </w:rPr>
              <w:t xml:space="preserve">Цена за ед. (руб.), в </w:t>
            </w:r>
            <w:r>
              <w:rPr>
                <w:bCs/>
                <w:shd w:val="clear" w:color="auto" w:fill="ffffff"/>
                <w:lang w:eastAsia="ar-SA"/>
              </w:rPr>
              <w:t xml:space="preserve">т.ч</w:t>
            </w:r>
            <w:r>
              <w:rPr>
                <w:bCs/>
                <w:shd w:val="clear" w:color="auto" w:fill="ffffff"/>
                <w:lang w:eastAsia="ar-SA"/>
              </w:rPr>
              <w:t xml:space="preserve">. НДС (при наличии)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Сумма </w:t>
            </w:r>
            <w:r>
              <w:rPr>
                <w:bCs/>
                <w:shd w:val="clear" w:color="auto" w:fill="ffffff"/>
                <w:lang w:eastAsia="ar-SA"/>
              </w:rPr>
              <w:br/>
              <w:t xml:space="preserve">(в руб.), в </w:t>
            </w:r>
            <w:r>
              <w:rPr>
                <w:bCs/>
                <w:shd w:val="clear" w:color="auto" w:fill="ffffff"/>
                <w:lang w:eastAsia="ar-SA"/>
              </w:rPr>
              <w:t xml:space="preserve">т.ч</w:t>
            </w:r>
            <w:r>
              <w:rPr>
                <w:bCs/>
                <w:shd w:val="clear" w:color="auto" w:fill="ffffff"/>
                <w:lang w:eastAsia="ar-SA"/>
              </w:rPr>
              <w:t xml:space="preserve">. НДС (при наличии)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</w:tr>
      <w:tr>
        <w:tblPrEx/>
        <w:trPr>
          <w:jc w:val="center"/>
          <w:trHeight w:val="418" w:hRule="exact"/>
        </w:trPr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42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8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18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vertAlign w:val="superscript"/>
                <w:lang w:eastAsia="ar-SA"/>
              </w:rPr>
              <w:outlineLvl w:val="9"/>
            </w:pPr>
            <w:r>
              <w:rPr>
                <w:vertAlign w:val="superscript"/>
                <w:lang w:eastAsia="ar-SA"/>
              </w:rPr>
            </w:r>
            <w:r>
              <w:rPr>
                <w:vertAlign w:val="superscript"/>
                <w:lang w:eastAsia="ar-SA"/>
              </w:rPr>
            </w:r>
            <w:r>
              <w:rPr>
                <w:vertAlign w:val="superscript"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76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shd w:val="clear" w:color="auto" w:fill="ffffff"/>
                <w:lang w:eastAsia="ar-SA"/>
              </w:rPr>
              <w:outlineLvl w:val="9"/>
            </w:pPr>
            <w:r>
              <w:rPr>
                <w:shd w:val="clear" w:color="auto" w:fill="ffffff"/>
                <w:lang w:eastAsia="ar-SA"/>
              </w:rPr>
            </w:r>
            <w:r>
              <w:rPr>
                <w:shd w:val="clear" w:color="auto" w:fill="ffffff"/>
                <w:lang w:eastAsia="ar-SA"/>
              </w:rPr>
            </w:r>
            <w:r>
              <w:rPr>
                <w:shd w:val="clear" w:color="auto" w:fill="ffffff"/>
                <w:lang w:eastAsia="ar-SA"/>
              </w:rPr>
            </w:r>
          </w:p>
        </w:tc>
      </w:tr>
    </w:tbl>
    <w:p>
      <w:pPr>
        <w:ind w:left="11"/>
        <w:spacing w:before="120" w:after="120"/>
        <w:tabs>
          <w:tab w:val="left" w:pos="851" w:leader="none"/>
        </w:tabs>
      </w:pPr>
      <w:r>
        <w:t xml:space="preserve">3.</w:t>
      </w:r>
      <w:r>
        <w:tab/>
        <w:t xml:space="preserve">Фактически поставлено:</w:t>
      </w:r>
      <w:r/>
    </w:p>
    <w:tbl>
      <w:tblPr>
        <w:tblW w:w="102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4"/>
        <w:gridCol w:w="1742"/>
        <w:gridCol w:w="1853"/>
        <w:gridCol w:w="1718"/>
        <w:gridCol w:w="2076"/>
      </w:tblGrid>
      <w:tr>
        <w:tblPrEx/>
        <w:trPr>
          <w:jc w:val="center"/>
          <w:trHeight w:val="728"/>
        </w:trPr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54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Наименование товарной позиции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4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Количество, шт.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85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</w:r>
            <w:r>
              <w:rPr>
                <w:bCs/>
                <w:shd w:val="clear" w:color="auto" w:fill="ffffff"/>
                <w:lang w:eastAsia="ar-SA"/>
              </w:rPr>
              <w:t xml:space="preserve">Страна происхождения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1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</w:r>
            <w:r>
              <w:rPr>
                <w:bCs/>
                <w:shd w:val="clear" w:color="auto" w:fill="ffffff"/>
                <w:lang w:eastAsia="ar-SA"/>
              </w:rPr>
              <w:t xml:space="preserve">Цена за ед. (руб.), в </w:t>
            </w:r>
            <w:r>
              <w:rPr>
                <w:bCs/>
                <w:shd w:val="clear" w:color="auto" w:fill="ffffff"/>
                <w:lang w:eastAsia="ar-SA"/>
              </w:rPr>
              <w:t xml:space="preserve">т.ч</w:t>
            </w:r>
            <w:r>
              <w:rPr>
                <w:bCs/>
                <w:shd w:val="clear" w:color="auto" w:fill="ffffff"/>
                <w:lang w:eastAsia="ar-SA"/>
              </w:rPr>
              <w:t xml:space="preserve">. НДС (при наличии)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Сумма </w:t>
            </w:r>
            <w:r>
              <w:rPr>
                <w:bCs/>
                <w:shd w:val="clear" w:color="auto" w:fill="ffffff"/>
                <w:lang w:eastAsia="ar-SA"/>
              </w:rPr>
              <w:br/>
              <w:t xml:space="preserve">(в руб.), в </w:t>
            </w:r>
            <w:r>
              <w:rPr>
                <w:bCs/>
                <w:shd w:val="clear" w:color="auto" w:fill="ffffff"/>
                <w:lang w:eastAsia="ar-SA"/>
              </w:rPr>
              <w:t xml:space="preserve">т.ч</w:t>
            </w:r>
            <w:r>
              <w:rPr>
                <w:bCs/>
                <w:shd w:val="clear" w:color="auto" w:fill="ffffff"/>
                <w:lang w:eastAsia="ar-SA"/>
              </w:rPr>
              <w:t xml:space="preserve">. НДС (при наличии)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</w:tr>
      <w:tr>
        <w:tblPrEx/>
        <w:trPr>
          <w:jc w:val="center"/>
          <w:trHeight w:val="418" w:hRule="exact"/>
        </w:trPr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42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8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18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vertAlign w:val="superscript"/>
                <w:lang w:eastAsia="ar-SA"/>
              </w:rPr>
              <w:outlineLvl w:val="9"/>
            </w:pPr>
            <w:r>
              <w:rPr>
                <w:vertAlign w:val="superscript"/>
                <w:lang w:eastAsia="ar-SA"/>
              </w:rPr>
            </w:r>
            <w:r>
              <w:rPr>
                <w:vertAlign w:val="superscript"/>
                <w:lang w:eastAsia="ar-SA"/>
              </w:rPr>
            </w:r>
            <w:r>
              <w:rPr>
                <w:vertAlign w:val="superscript"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76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shd w:val="clear" w:color="auto" w:fill="ffffff"/>
                <w:lang w:eastAsia="ar-SA"/>
              </w:rPr>
              <w:outlineLvl w:val="9"/>
            </w:pPr>
            <w:r>
              <w:rPr>
                <w:shd w:val="clear" w:color="auto" w:fill="ffffff"/>
                <w:lang w:eastAsia="ar-SA"/>
              </w:rPr>
            </w:r>
            <w:r>
              <w:rPr>
                <w:shd w:val="clear" w:color="auto" w:fill="ffffff"/>
                <w:lang w:eastAsia="ar-SA"/>
              </w:rPr>
            </w:r>
            <w:r>
              <w:rPr>
                <w:shd w:val="clear" w:color="auto" w:fill="ffffff"/>
                <w:lang w:eastAsia="ar-SA"/>
              </w:rPr>
            </w:r>
          </w:p>
        </w:tc>
      </w:tr>
    </w:tbl>
    <w:p>
      <w:pPr>
        <w:ind w:left="13" w:firstLine="554"/>
        <w:tabs>
          <w:tab w:val="left" w:pos="851" w:leader="none"/>
        </w:tabs>
        <w:rPr>
          <w:lang w:eastAsia="en-US"/>
        </w:rPr>
      </w:pPr>
      <w:r>
        <w:t xml:space="preserve">4.</w:t>
      </w:r>
      <w:r>
        <w:tab/>
        <w:t xml:space="preserve">Срок поставки по Контракту: _____________________________________________.</w:t>
      </w:r>
      <w:r>
        <w:rPr>
          <w:lang w:eastAsia="en-US"/>
        </w:rPr>
      </w:r>
      <w:r>
        <w:rPr>
          <w:lang w:eastAsia="en-US"/>
        </w:rPr>
      </w:r>
    </w:p>
    <w:p>
      <w:pPr>
        <w:ind w:left="13" w:firstLine="554"/>
      </w:pPr>
      <w:r>
        <w:t xml:space="preserve">Фактический срок поставки: ___________________ </w:t>
      </w:r>
      <w:r>
        <w:t xml:space="preserve">г</w:t>
      </w:r>
      <w:r>
        <w:t xml:space="preserve">.</w:t>
      </w:r>
      <w:r/>
    </w:p>
    <w:p>
      <w:pPr>
        <w:rPr>
          <w:bCs/>
          <w:i/>
        </w:rPr>
      </w:pPr>
      <w:r>
        <w:rPr>
          <w:bCs/>
          <w:i/>
        </w:rPr>
        <w:t xml:space="preserve">Вариант 1.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Вышеперечисленный Товар поставлен полностью и в срок. Заказчик по объему, качеству и срокам поставки Товара претензий не имеет. 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Итого стоимость поставки Товара составляет </w:t>
      </w:r>
      <w:r>
        <w:rPr>
          <w:b/>
          <w:bCs/>
          <w:i/>
        </w:rPr>
        <w:t xml:space="preserve">___________________________________ </w:t>
      </w:r>
      <w:r>
        <w:rPr>
          <w:bCs/>
          <w:i/>
        </w:rPr>
        <w:t xml:space="preserve">рублей __ копеек</w:t>
      </w:r>
      <w:r>
        <w:rPr>
          <w:b/>
          <w:bCs/>
          <w:i/>
        </w:rPr>
        <w:t xml:space="preserve">, </w:t>
      </w:r>
      <w:r>
        <w:rPr>
          <w:bCs/>
          <w:i/>
        </w:rPr>
        <w:t xml:space="preserve">в том числе НДС</w:t>
      </w:r>
      <w:r>
        <w:rPr>
          <w:bCs/>
          <w:i/>
          <w:vertAlign w:val="superscript"/>
        </w:rPr>
        <w:footnoteReference w:customMarkFollows="1" w:id="2"/>
        <w:t xml:space="preserve">[1]</w:t>
      </w:r>
      <w:r>
        <w:rPr>
          <w:bCs/>
          <w:i/>
        </w:rPr>
        <w:t xml:space="preserve">   _____ (______________________) рублей __ копеек.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Аванс не перечислялся.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Неустойка Поставщику не начисляется.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Вариант 2.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В ходе поставки Товара Заказчик выявил отклонения от условий Контракта или следующие недостатки в поставке Товара: ________________________________________________________.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Поставщику начислена неустойка: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- пени в соответствии с п.__ Контракта в сумме __________________руб.</w:t>
      </w:r>
      <w:r>
        <w:rPr>
          <w:bCs/>
          <w:i/>
        </w:rPr>
      </w:r>
      <w:r>
        <w:rPr>
          <w:bCs/>
          <w:i/>
        </w:rPr>
      </w:r>
    </w:p>
    <w:p>
      <w:pPr>
        <w:ind w:left="13"/>
        <w:rPr>
          <w:i/>
          <w:iCs/>
        </w:rPr>
      </w:pPr>
      <w:r>
        <w:rPr>
          <w:bCs/>
          <w:i/>
        </w:rPr>
        <w:t xml:space="preserve">Итого стоимость поставки Товара составляет </w:t>
      </w:r>
      <w:r>
        <w:rPr>
          <w:b/>
          <w:bCs/>
          <w:i/>
        </w:rPr>
        <w:t xml:space="preserve">___________________________________ </w:t>
      </w:r>
      <w:r>
        <w:rPr>
          <w:bCs/>
          <w:i/>
        </w:rPr>
        <w:t xml:space="preserve">рублей __ копеек</w:t>
      </w:r>
      <w:r>
        <w:rPr>
          <w:b/>
          <w:bCs/>
          <w:i/>
        </w:rPr>
        <w:t xml:space="preserve">, </w:t>
      </w:r>
      <w:r>
        <w:rPr>
          <w:bCs/>
          <w:i/>
        </w:rPr>
        <w:t xml:space="preserve">в том числе НДС</w:t>
      </w:r>
      <w:r>
        <w:rPr>
          <w:bCs/>
          <w:i/>
          <w:vertAlign w:val="superscript"/>
        </w:rPr>
        <w:t xml:space="preserve">[1]</w:t>
      </w:r>
      <w:r>
        <w:rPr>
          <w:bCs/>
          <w:i/>
        </w:rPr>
        <w:t xml:space="preserve">   _____ (______________________) рублей __ копеек.</w:t>
      </w:r>
      <w:r>
        <w:rPr>
          <w:i/>
          <w:iCs/>
        </w:rPr>
      </w:r>
      <w:r>
        <w:rPr>
          <w:i/>
          <w:iCs/>
        </w:rPr>
      </w:r>
    </w:p>
    <w:p>
      <w:pPr>
        <w:ind w:left="13" w:firstLine="554"/>
        <w:tabs>
          <w:tab w:val="left" w:pos="851" w:leader="none"/>
        </w:tabs>
      </w:pPr>
      <w:r>
        <w:t xml:space="preserve">5.</w:t>
      </w:r>
      <w:r>
        <w:tab/>
        <w:t xml:space="preserve">Сумма, подлежащая уплате Поставщику за Товар, принятый по настоящему акту </w:t>
      </w:r>
      <w:r>
        <w:br/>
        <w:t xml:space="preserve">(с учетом удержания пени) – ______________________ руб., в том числе НДС </w:t>
      </w:r>
      <w:r>
        <w:br/>
        <w:t xml:space="preserve">( %)/без НДС.</w:t>
      </w:r>
      <w:r/>
    </w:p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tbl>
      <w:tblPr>
        <w:tblW w:w="10206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5245"/>
        <w:gridCol w:w="4961"/>
      </w:tblGrid>
      <w:tr>
        <w:tblPrEx/>
        <w:trPr/>
        <w:tc>
          <w:tcPr>
            <w:tcW w:w="5245" w:type="dxa"/>
            <w:textDirection w:val="lrTb"/>
            <w:noWrap w:val="false"/>
          </w:tcPr>
          <w:p>
            <w:pPr>
              <w:ind w:firstLine="0"/>
              <w:rPr>
                <w:b/>
              </w:rPr>
            </w:pPr>
            <w:r>
              <w:rPr>
                <w:b/>
              </w:rPr>
              <w:t xml:space="preserve">ЗАКАЗЧИК: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firstLine="0"/>
            </w:pPr>
            <w:r>
              <w:rPr>
                <w:color w:val="000000"/>
              </w:rPr>
              <w:t xml:space="preserve">________________</w:t>
            </w:r>
            <w:r>
              <w:rPr>
                <w:color w:val="000000"/>
                <w:lang w:val="en-US"/>
              </w:rPr>
              <w:t xml:space="preserve">__</w:t>
            </w:r>
            <w:r>
              <w:rPr>
                <w:color w:val="000000"/>
              </w:rPr>
              <w:t xml:space="preserve">_ </w:t>
            </w:r>
            <w:r>
              <w:rPr>
                <w:color w:val="000000"/>
                <w:lang w:val="en-US"/>
              </w:rPr>
              <w:t xml:space="preserve">/ _____________/</w:t>
            </w:r>
            <w:r/>
          </w:p>
        </w:tc>
        <w:tc>
          <w:tcPr>
            <w:tcW w:w="496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</w:rPr>
              <w:t xml:space="preserve">ПОСТАВЩИК: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  <w:p>
            <w:pPr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  <w:t xml:space="preserve">________________</w:t>
            </w:r>
            <w:r>
              <w:rPr>
                <w:color w:val="000000"/>
                <w:lang w:val="en-US"/>
              </w:rPr>
              <w:t xml:space="preserve">__</w:t>
            </w:r>
            <w:r>
              <w:rPr>
                <w:color w:val="000000"/>
              </w:rPr>
              <w:t xml:space="preserve">_ </w:t>
            </w:r>
            <w:r>
              <w:rPr>
                <w:color w:val="000000"/>
                <w:lang w:val="en-US"/>
              </w:rPr>
              <w:t xml:space="preserve">/ _____________/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  <w:t xml:space="preserve">СОГЛАСОВАНА КАК ФОРМА</w:t>
      </w:r>
      <w:r>
        <w:rPr>
          <w:lang w:eastAsia="ar-SA"/>
        </w:rPr>
      </w:r>
      <w:r>
        <w:rPr>
          <w:lang w:eastAsia="ar-SA"/>
        </w:rPr>
      </w:r>
    </w:p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5353"/>
        <w:gridCol w:w="4853"/>
      </w:tblGrid>
      <w:tr>
        <w:tblPrEx/>
        <w:trPr/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lang w:eastAsia="ar-SA"/>
              </w:rPr>
              <w:outlineLvl w:val="9"/>
            </w:pPr>
            <w:r>
              <w:rPr>
                <w:b/>
                <w:lang w:eastAsia="ar-SA"/>
              </w:rPr>
              <w:t xml:space="preserve">ЗАКАЗЧИК:</w:t>
            </w:r>
            <w:r>
              <w:rPr>
                <w:b/>
                <w:lang w:eastAsia="ar-SA"/>
              </w:rPr>
            </w:r>
            <w:r>
              <w:rPr>
                <w:b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  <w:t xml:space="preserve">Директор Департамента цифровой</w:t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  <w:t xml:space="preserve">трансформации</w:t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____________________ Ф.В. Мицкевич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color w:val="000000"/>
                <w:lang w:eastAsia="ar-SA"/>
              </w:rPr>
              <w:t xml:space="preserve">ПОСТАВЩИК:</w:t>
            </w:r>
            <w:r>
              <w:rPr>
                <w:b/>
                <w:color w:val="000000"/>
                <w:lang w:eastAsia="ar-SA"/>
              </w:rPr>
            </w:r>
            <w:r>
              <w:rPr>
                <w:b/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t xml:space="preserve">Генеральный директор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0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________________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__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_ Э.А.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Балобанов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а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  <w:tr>
        <w:tblPrEx/>
        <w:trPr>
          <w:trHeight w:val="408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</w:tbl>
    <w:p>
      <w:pPr>
        <w:ind w:firstLine="0"/>
        <w:spacing w:before="20"/>
        <w:tabs>
          <w:tab w:val="left" w:pos="6946" w:leader="none"/>
        </w:tabs>
        <w:rPr>
          <w:color w:val="000000"/>
        </w:rPr>
        <w:outlineLvl w:val="8"/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814"/>
        <w:numPr>
          <w:ilvl w:val="0"/>
          <w:numId w:val="0"/>
        </w:numPr>
        <w:ind w:left="10207"/>
      </w:pPr>
      <w:r/>
      <w:r/>
    </w:p>
    <w:sectPr>
      <w:footnotePr>
        <w:numRestart w:val="eachSect"/>
      </w:footnotePr>
      <w:endnotePr/>
      <w:type w:val="nextPage"/>
      <w:pgSz w:w="11906" w:h="16838" w:orient="portrait"/>
      <w:pgMar w:top="567" w:right="709" w:bottom="567" w:left="1134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Arial Unicode MS">
    <w:panose1 w:val="020B0604020202020204"/>
  </w:font>
  <w:font w:name="Arial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984"/>
      </w:pPr>
      <w:r>
        <w:rPr>
          <w:rStyle w:val="986"/>
        </w:rPr>
        <w:t xml:space="preserve">[1]</w:t>
      </w:r>
      <w:r>
        <w:t xml:space="preserve"> В случае если Поставщик освобожден от уплаты НДС, указать причину такого освобождения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49421928"/>
      <w:docPartObj>
        <w:docPartGallery w:val="Page Numbers (Top of Page)"/>
        <w:docPartUnique w:val="true"/>
      </w:docPartObj>
      <w:rPr/>
    </w:sdtPr>
    <w:sdtContent>
      <w:p>
        <w:pPr>
          <w:pStyle w:val="98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3</w:t>
        </w:r>
        <w:r>
          <w:fldChar w:fldCharType="end"/>
        </w:r>
        <w:r/>
      </w:p>
    </w:sdtContent>
  </w:sdt>
  <w:p>
    <w:pPr>
      <w:pStyle w:val="98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4.2.%1."/>
      <w:lvlJc w:val="left"/>
      <w:pPr>
        <w:ind w:left="214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7.%1."/>
      <w:lvlJc w:val="left"/>
      <w:pPr>
        <w:ind w:left="213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6">
    <w:multiLevelType w:val="hybridMultilevel"/>
    <w:lvl w:ilvl="0">
      <w:start w:val="1"/>
      <w:numFmt w:val="decimal"/>
      <w:pStyle w:val="812"/>
      <w:isLgl w:val="fals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429" w:hanging="360"/>
      </w:pPr>
      <w:rPr>
        <w:rFonts w:hint="default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pStyle w:val="813"/>
      <w:isLgl w:val="false"/>
      <w:suff w:val="space"/>
      <w:lvlText w:val="%1."/>
      <w:lvlJc w:val="left"/>
      <w:pPr>
        <w:ind w:left="858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1">
    <w:multiLevelType w:val="hybridMultilevel"/>
    <w:lvl w:ilvl="0">
      <w:start w:val="1"/>
      <w:numFmt w:val="decimal"/>
      <w:pStyle w:val="807"/>
      <w:isLgl w:val="fals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808"/>
      <w:isLgl w:val="false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809"/>
      <w:isLgl w:val="false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28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2700" w:hanging="4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336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372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480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588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6">
    <w:multiLevelType w:val="hybridMultilevel"/>
    <w:lvl w:ilvl="0">
      <w:start w:val="1"/>
      <w:numFmt w:val="decimal"/>
      <w:pStyle w:val="814"/>
      <w:isLgl w:val="false"/>
      <w:suff w:val="tab"/>
      <w:lvlText w:val="Приложение № %1"/>
      <w:lvlJc w:val="right"/>
      <w:pPr>
        <w:ind w:left="10567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122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19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126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133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141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148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155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6264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8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9.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bullet"/>
      <w:pStyle w:val="811"/>
      <w:isLgl w:val="false"/>
      <w:suff w:val="space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213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4.1.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850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922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994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1066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1138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1210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1282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1354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14268" w:hanging="360"/>
      </w:pPr>
      <w:rPr>
        <w:rFonts w:hint="default" w:ascii="Wingdings" w:hAnsi="Wingdings" w:eastAsia="Wingdings" w:cs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276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19"/>
  </w:num>
  <w:num w:numId="3">
    <w:abstractNumId w:val="6"/>
  </w:num>
  <w:num w:numId="4">
    <w:abstractNumId w:val="16"/>
  </w:num>
  <w:num w:numId="5">
    <w:abstractNumId w:val="9"/>
  </w:num>
  <w:num w:numId="6">
    <w:abstractNumId w:val="11"/>
    <w:lvlOverride w:ilvl="0">
      <w:startOverride w:val="10"/>
    </w:lvlOverride>
  </w:num>
  <w:num w:numId="7">
    <w:abstractNumId w:val="5"/>
  </w:num>
  <w:num w:numId="8">
    <w:abstractNumId w:val="6"/>
  </w:num>
  <w:num w:numId="9">
    <w:abstractNumId w:val="6"/>
  </w:num>
  <w:num w:numId="10">
    <w:abstractNumId w:val="6"/>
    <w:lvlOverride w:ilvl="0">
      <w:startOverride w:val="1"/>
    </w:lvlOverride>
  </w:num>
  <w:num w:numId="11">
    <w:abstractNumId w:val="6"/>
  </w:num>
  <w:num w:numId="12">
    <w:abstractNumId w:val="21"/>
  </w:num>
  <w:num w:numId="13">
    <w:abstractNumId w:val="8"/>
  </w:num>
  <w:num w:numId="14">
    <w:abstractNumId w:val="0"/>
  </w:num>
  <w:num w:numId="15">
    <w:abstractNumId w:val="13"/>
  </w:num>
  <w:num w:numId="16">
    <w:abstractNumId w:val="22"/>
  </w:num>
  <w:num w:numId="17">
    <w:abstractNumId w:val="2"/>
  </w:num>
  <w:num w:numId="18">
    <w:abstractNumId w:val="1"/>
  </w:num>
  <w:num w:numId="19">
    <w:abstractNumId w:val="20"/>
  </w:num>
  <w:num w:numId="20">
    <w:abstractNumId w:val="3"/>
  </w:num>
  <w:num w:numId="21">
    <w:abstractNumId w:val="12"/>
  </w:num>
  <w:num w:numId="22">
    <w:abstractNumId w:val="17"/>
  </w:num>
  <w:num w:numId="23">
    <w:abstractNumId w:val="18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  <w:lvlOverride w:ilvl="0">
      <w:startOverride w:val="4"/>
    </w:lvlOverride>
    <w:lvlOverride w:ilvl="1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  <w:lvlOverride w:ilvl="0">
      <w:startOverride w:val="4"/>
    </w:lvlOverride>
    <w:lvlOverride w:ilvl="1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>
      <w:startOverride w:val="4"/>
    </w:lvlOverride>
    <w:lvlOverride w:ilvl="1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4"/>
  </w:num>
  <w:num w:numId="31">
    <w:abstractNumId w:val="7"/>
  </w:num>
  <w:num w:numId="32">
    <w:abstractNumId w:val="14"/>
  </w:num>
  <w:num w:numId="33">
    <w:abstractNumId w:val="10"/>
  </w:num>
  <w:num w:numId="34">
    <w:abstractNumId w:val="23"/>
  </w:num>
  <w:num w:numId="35">
    <w:abstractNumId w:val="24"/>
  </w:num>
  <w:num w:numId="36">
    <w:abstractNumId w:val="25"/>
  </w:num>
  <w:num w:numId="37">
    <w:abstractNumId w:val="26"/>
  </w:num>
  <w:num w:numId="38">
    <w:abstractNumId w:val="27"/>
  </w:num>
  <w:num w:numId="39">
    <w:abstractNumId w:val="28"/>
  </w:num>
  <w:num w:numId="40">
    <w:abstractNumId w:val="29"/>
  </w:num>
  <w:num w:numId="41">
    <w:abstractNumId w:val="30"/>
  </w:num>
  <w:num w:numId="42">
    <w:abstractNumId w:val="31"/>
  </w:num>
  <w:num w:numId="43">
    <w:abstractNumId w:val="32"/>
  </w:num>
  <w:num w:numId="44">
    <w:abstractNumId w:val="33"/>
  </w:num>
  <w:num w:numId="45">
    <w:abstractNumId w:val="34"/>
  </w:num>
  <w:num w:numId="46">
    <w:abstractNumId w:val="35"/>
  </w:num>
  <w:num w:numId="47">
    <w:abstractNumId w:val="36"/>
  </w:num>
  <w:num w:numId="48">
    <w:abstractNumId w:val="37"/>
  </w:num>
  <w:num w:numId="49">
    <w:abstractNumId w:val="38"/>
  </w:num>
  <w:num w:numId="50">
    <w:abstractNumId w:val="39"/>
  </w:num>
  <w:num w:numId="51">
    <w:abstractNumId w:val="40"/>
  </w:num>
  <w:num w:numId="52">
    <w:abstractNumId w:val="41"/>
  </w:num>
  <w:num w:numId="53">
    <w:abstractNumId w:val="42"/>
  </w:num>
  <w:num w:numId="54">
    <w:abstractNumId w:val="43"/>
  </w:num>
  <w:num w:numId="55">
    <w:abstractNumId w:val="44"/>
  </w:num>
  <w:num w:numId="56">
    <w:abstractNumId w:val="45"/>
  </w:num>
  <w:num w:numId="57">
    <w:abstractNumId w:val="46"/>
  </w:num>
  <w:num w:numId="58">
    <w:abstractNumId w:val="47"/>
  </w:num>
  <w:num w:numId="59">
    <w:abstractNumId w:val="48"/>
  </w:num>
  <w:num w:numId="60">
    <w:abstractNumId w:val="49"/>
  </w:num>
  <w:num w:numId="61">
    <w:abstractNumId w:val="50"/>
  </w:num>
  <w:num w:numId="62">
    <w:abstractNumId w:val="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03">
    <w:name w:val="Quote Char"/>
    <w:link w:val="830"/>
    <w:uiPriority w:val="29"/>
    <w:rPr>
      <w:i/>
    </w:rPr>
  </w:style>
  <w:style w:type="character" w:styleId="804">
    <w:name w:val="Intense Quote Char"/>
    <w:link w:val="832"/>
    <w:uiPriority w:val="30"/>
    <w:rPr>
      <w:i/>
    </w:rPr>
  </w:style>
  <w:style w:type="paragraph" w:styleId="805" w:default="1">
    <w:name w:val="Normal"/>
    <w:qFormat/>
    <w:pPr>
      <w:ind w:firstLine="567"/>
      <w:jc w:val="both"/>
      <w:spacing w:after="0" w:line="240" w:lineRule="auto"/>
      <w:outlineLvl w:val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06">
    <w:name w:val="Heading 1"/>
    <w:basedOn w:val="805"/>
    <w:next w:val="805"/>
    <w:link w:val="976"/>
    <w:uiPriority w:val="9"/>
    <w:qFormat/>
    <w:pPr>
      <w:jc w:val="center"/>
      <w:outlineLvl w:val="0"/>
    </w:pPr>
    <w:rPr>
      <w:b/>
    </w:rPr>
  </w:style>
  <w:style w:type="paragraph" w:styleId="807">
    <w:name w:val="Heading 2"/>
    <w:basedOn w:val="808"/>
    <w:next w:val="805"/>
    <w:link w:val="978"/>
    <w:uiPriority w:val="9"/>
    <w:unhideWhenUsed/>
    <w:qFormat/>
    <w:pPr>
      <w:numPr>
        <w:ilvl w:val="0"/>
      </w:numPr>
      <w:jc w:val="center"/>
      <w:spacing w:before="240" w:after="240"/>
      <w:outlineLvl w:val="1"/>
    </w:pPr>
    <w:rPr>
      <w:b/>
      <w:bCs/>
    </w:rPr>
  </w:style>
  <w:style w:type="paragraph" w:styleId="808">
    <w:name w:val="Heading 3"/>
    <w:basedOn w:val="805"/>
    <w:next w:val="805"/>
    <w:link w:val="979"/>
    <w:uiPriority w:val="9"/>
    <w:unhideWhenUsed/>
    <w:qFormat/>
    <w:pPr>
      <w:numPr>
        <w:ilvl w:val="1"/>
        <w:numId w:val="1"/>
      </w:numPr>
      <w:contextualSpacing/>
      <w:ind w:left="0" w:firstLine="567"/>
      <w:outlineLvl w:val="2"/>
    </w:pPr>
  </w:style>
  <w:style w:type="paragraph" w:styleId="809">
    <w:name w:val="Heading 4"/>
    <w:basedOn w:val="808"/>
    <w:next w:val="805"/>
    <w:link w:val="981"/>
    <w:uiPriority w:val="9"/>
    <w:unhideWhenUsed/>
    <w:qFormat/>
    <w:pPr>
      <w:numPr>
        <w:ilvl w:val="2"/>
      </w:numPr>
      <w:ind w:left="0" w:firstLine="737"/>
      <w:outlineLvl w:val="3"/>
    </w:pPr>
  </w:style>
  <w:style w:type="paragraph" w:styleId="810">
    <w:name w:val="Heading 5"/>
    <w:basedOn w:val="809"/>
    <w:next w:val="805"/>
    <w:link w:val="987"/>
    <w:uiPriority w:val="9"/>
    <w:unhideWhenUsed/>
    <w:qFormat/>
    <w:pPr>
      <w:numPr>
        <w:ilvl w:val="0"/>
        <w:numId w:val="0"/>
      </w:numPr>
      <w:ind w:firstLine="567"/>
      <w:outlineLvl w:val="4"/>
    </w:pPr>
  </w:style>
  <w:style w:type="paragraph" w:styleId="811">
    <w:name w:val="Heading 6"/>
    <w:basedOn w:val="810"/>
    <w:next w:val="805"/>
    <w:link w:val="988"/>
    <w:uiPriority w:val="9"/>
    <w:unhideWhenUsed/>
    <w:qFormat/>
    <w:pPr>
      <w:numPr>
        <w:ilvl w:val="0"/>
        <w:numId w:val="2"/>
      </w:numPr>
      <w:ind w:left="993" w:hanging="219"/>
      <w:outlineLvl w:val="5"/>
    </w:pPr>
  </w:style>
  <w:style w:type="paragraph" w:styleId="812">
    <w:name w:val="Heading 7"/>
    <w:basedOn w:val="980"/>
    <w:next w:val="805"/>
    <w:link w:val="999"/>
    <w:uiPriority w:val="9"/>
    <w:unhideWhenUsed/>
    <w:qFormat/>
    <w:pPr>
      <w:numPr>
        <w:ilvl w:val="0"/>
        <w:numId w:val="8"/>
      </w:numPr>
      <w:jc w:val="left"/>
      <w:spacing w:before="240" w:after="240"/>
      <w:outlineLvl w:val="6"/>
    </w:pPr>
    <w:rPr>
      <w:b/>
      <w:bCs/>
    </w:rPr>
  </w:style>
  <w:style w:type="paragraph" w:styleId="813">
    <w:name w:val="Heading 8"/>
    <w:basedOn w:val="808"/>
    <w:next w:val="805"/>
    <w:link w:val="1000"/>
    <w:uiPriority w:val="9"/>
    <w:unhideWhenUsed/>
    <w:qFormat/>
    <w:pPr>
      <w:numPr>
        <w:ilvl w:val="0"/>
        <w:numId w:val="5"/>
      </w:numPr>
      <w:ind w:left="0" w:firstLine="567"/>
      <w:outlineLvl w:val="7"/>
    </w:pPr>
  </w:style>
  <w:style w:type="paragraph" w:styleId="814">
    <w:name w:val="Heading 9"/>
    <w:basedOn w:val="805"/>
    <w:next w:val="805"/>
    <w:link w:val="1001"/>
    <w:uiPriority w:val="9"/>
    <w:unhideWhenUsed/>
    <w:qFormat/>
    <w:pPr>
      <w:numPr>
        <w:ilvl w:val="0"/>
        <w:numId w:val="4"/>
      </w:numPr>
      <w:ind w:left="8505" w:firstLine="0"/>
      <w:jc w:val="right"/>
      <w:spacing w:before="20"/>
      <w:tabs>
        <w:tab w:val="left" w:pos="6946" w:leader="none"/>
      </w:tabs>
      <w:outlineLvl w:val="8"/>
    </w:pPr>
    <w:rPr>
      <w:color w:val="000000"/>
    </w:rPr>
  </w:style>
  <w:style w:type="character" w:styleId="815" w:default="1">
    <w:name w:val="Default Paragraph Font"/>
    <w:uiPriority w:val="1"/>
    <w:semiHidden/>
    <w:unhideWhenUsed/>
  </w:style>
  <w:style w:type="table" w:styleId="81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7" w:default="1">
    <w:name w:val="No List"/>
    <w:uiPriority w:val="99"/>
    <w:semiHidden/>
    <w:unhideWhenUsed/>
  </w:style>
  <w:style w:type="character" w:styleId="818" w:customStyle="1">
    <w:name w:val="Heading 1 Char"/>
    <w:basedOn w:val="815"/>
    <w:uiPriority w:val="9"/>
    <w:rPr>
      <w:rFonts w:ascii="Arial" w:hAnsi="Arial" w:eastAsia="Arial" w:cs="Arial"/>
      <w:sz w:val="40"/>
      <w:szCs w:val="40"/>
    </w:rPr>
  </w:style>
  <w:style w:type="character" w:styleId="819" w:customStyle="1">
    <w:name w:val="Heading 2 Char"/>
    <w:basedOn w:val="815"/>
    <w:uiPriority w:val="9"/>
    <w:rPr>
      <w:rFonts w:ascii="Arial" w:hAnsi="Arial" w:eastAsia="Arial" w:cs="Arial"/>
      <w:sz w:val="34"/>
    </w:rPr>
  </w:style>
  <w:style w:type="character" w:styleId="820" w:customStyle="1">
    <w:name w:val="Heading 3 Char"/>
    <w:basedOn w:val="815"/>
    <w:uiPriority w:val="9"/>
    <w:rPr>
      <w:rFonts w:ascii="Arial" w:hAnsi="Arial" w:eastAsia="Arial" w:cs="Arial"/>
      <w:sz w:val="30"/>
      <w:szCs w:val="30"/>
    </w:rPr>
  </w:style>
  <w:style w:type="character" w:styleId="821" w:customStyle="1">
    <w:name w:val="Heading 4 Char"/>
    <w:basedOn w:val="815"/>
    <w:uiPriority w:val="9"/>
    <w:rPr>
      <w:rFonts w:ascii="Arial" w:hAnsi="Arial" w:eastAsia="Arial" w:cs="Arial"/>
      <w:b/>
      <w:bCs/>
      <w:sz w:val="26"/>
      <w:szCs w:val="26"/>
    </w:rPr>
  </w:style>
  <w:style w:type="character" w:styleId="822" w:customStyle="1">
    <w:name w:val="Heading 5 Char"/>
    <w:basedOn w:val="815"/>
    <w:uiPriority w:val="9"/>
    <w:rPr>
      <w:rFonts w:ascii="Arial" w:hAnsi="Arial" w:eastAsia="Arial" w:cs="Arial"/>
      <w:b/>
      <w:bCs/>
      <w:sz w:val="24"/>
      <w:szCs w:val="24"/>
    </w:rPr>
  </w:style>
  <w:style w:type="character" w:styleId="823" w:customStyle="1">
    <w:name w:val="Heading 6 Char"/>
    <w:basedOn w:val="815"/>
    <w:uiPriority w:val="9"/>
    <w:rPr>
      <w:rFonts w:ascii="Arial" w:hAnsi="Arial" w:eastAsia="Arial" w:cs="Arial"/>
      <w:b/>
      <w:bCs/>
      <w:sz w:val="22"/>
      <w:szCs w:val="22"/>
    </w:rPr>
  </w:style>
  <w:style w:type="character" w:styleId="824" w:customStyle="1">
    <w:name w:val="Heading 7 Char"/>
    <w:basedOn w:val="81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25" w:customStyle="1">
    <w:name w:val="Heading 8 Char"/>
    <w:basedOn w:val="815"/>
    <w:uiPriority w:val="9"/>
    <w:rPr>
      <w:rFonts w:ascii="Arial" w:hAnsi="Arial" w:eastAsia="Arial" w:cs="Arial"/>
      <w:i/>
      <w:iCs/>
      <w:sz w:val="22"/>
      <w:szCs w:val="22"/>
    </w:rPr>
  </w:style>
  <w:style w:type="character" w:styleId="826" w:customStyle="1">
    <w:name w:val="Heading 9 Char"/>
    <w:basedOn w:val="815"/>
    <w:uiPriority w:val="9"/>
    <w:rPr>
      <w:rFonts w:ascii="Arial" w:hAnsi="Arial" w:eastAsia="Arial" w:cs="Arial"/>
      <w:i/>
      <w:iCs/>
      <w:sz w:val="21"/>
      <w:szCs w:val="21"/>
    </w:rPr>
  </w:style>
  <w:style w:type="paragraph" w:styleId="827">
    <w:name w:val="No Spacing"/>
    <w:uiPriority w:val="1"/>
    <w:qFormat/>
    <w:pPr>
      <w:spacing w:after="0" w:line="240" w:lineRule="auto"/>
    </w:pPr>
  </w:style>
  <w:style w:type="character" w:styleId="828" w:customStyle="1">
    <w:name w:val="Title Char"/>
    <w:basedOn w:val="815"/>
    <w:uiPriority w:val="10"/>
    <w:rPr>
      <w:sz w:val="48"/>
      <w:szCs w:val="48"/>
    </w:rPr>
  </w:style>
  <w:style w:type="character" w:styleId="829" w:customStyle="1">
    <w:name w:val="Subtitle Char"/>
    <w:basedOn w:val="815"/>
    <w:uiPriority w:val="11"/>
    <w:rPr>
      <w:sz w:val="24"/>
      <w:szCs w:val="24"/>
    </w:rPr>
  </w:style>
  <w:style w:type="paragraph" w:styleId="830">
    <w:name w:val="Quote"/>
    <w:basedOn w:val="805"/>
    <w:next w:val="805"/>
    <w:link w:val="831"/>
    <w:uiPriority w:val="29"/>
    <w:qFormat/>
    <w:pPr>
      <w:ind w:left="720" w:right="720"/>
    </w:pPr>
    <w:rPr>
      <w:i/>
    </w:rPr>
  </w:style>
  <w:style w:type="character" w:styleId="831" w:customStyle="1">
    <w:name w:val="Цитата 2 Знак"/>
    <w:link w:val="830"/>
    <w:uiPriority w:val="29"/>
    <w:rPr>
      <w:i/>
    </w:rPr>
  </w:style>
  <w:style w:type="paragraph" w:styleId="832">
    <w:name w:val="Intense Quote"/>
    <w:basedOn w:val="805"/>
    <w:next w:val="805"/>
    <w:link w:val="83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3" w:customStyle="1">
    <w:name w:val="Выделенная цитата Знак"/>
    <w:link w:val="832"/>
    <w:uiPriority w:val="30"/>
    <w:rPr>
      <w:i/>
    </w:rPr>
  </w:style>
  <w:style w:type="character" w:styleId="834" w:customStyle="1">
    <w:name w:val="Header Char"/>
    <w:basedOn w:val="815"/>
    <w:uiPriority w:val="99"/>
  </w:style>
  <w:style w:type="character" w:styleId="835" w:customStyle="1">
    <w:name w:val="Footer Char"/>
    <w:basedOn w:val="815"/>
    <w:uiPriority w:val="99"/>
  </w:style>
  <w:style w:type="paragraph" w:styleId="836">
    <w:name w:val="Caption"/>
    <w:basedOn w:val="805"/>
    <w:next w:val="805"/>
    <w:link w:val="837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837" w:customStyle="1">
    <w:name w:val="Caption Char"/>
    <w:uiPriority w:val="35"/>
  </w:style>
  <w:style w:type="table" w:styleId="838" w:customStyle="1">
    <w:name w:val="Table Grid Light"/>
    <w:basedOn w:val="81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39" w:customStyle="1">
    <w:name w:val="Plain Table 1"/>
    <w:basedOn w:val="81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0" w:customStyle="1">
    <w:name w:val="Plain Table 2"/>
    <w:basedOn w:val="81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1" w:customStyle="1">
    <w:name w:val="Plain Table 3"/>
    <w:basedOn w:val="8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2" w:customStyle="1">
    <w:name w:val="Plain Table 4"/>
    <w:basedOn w:val="8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Plain Table 5"/>
    <w:basedOn w:val="8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1 Light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Grid Table 1 Light - Accent 1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Grid Table 1 Light - Accent 2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Grid Table 1 Light - Accent 3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Grid Table 1 Light - Accent 4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Grid Table 1 Light - Accent 5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Grid Table 1 Light - Accent 6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Grid Table 2"/>
    <w:basedOn w:val="8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Grid Table 2 - Accent 1"/>
    <w:basedOn w:val="8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Grid Table 2 - Accent 2"/>
    <w:basedOn w:val="8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2 - Accent 3"/>
    <w:basedOn w:val="8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2 - Accent 4"/>
    <w:basedOn w:val="8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2 - Accent 5"/>
    <w:basedOn w:val="8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2 - Accent 6"/>
    <w:basedOn w:val="8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Grid Table 3"/>
    <w:basedOn w:val="8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Grid Table 3 - Accent 1"/>
    <w:basedOn w:val="8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Grid Table 3 - Accent 2"/>
    <w:basedOn w:val="8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Grid Table 3 - Accent 3"/>
    <w:basedOn w:val="8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3 - Accent 4"/>
    <w:basedOn w:val="8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3 - Accent 5"/>
    <w:basedOn w:val="8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3 - Accent 6"/>
    <w:basedOn w:val="8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4"/>
    <w:basedOn w:val="8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6" w:customStyle="1">
    <w:name w:val="Grid Table 4 - Accent 1"/>
    <w:basedOn w:val="8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867" w:customStyle="1">
    <w:name w:val="Grid Table 4 - Accent 2"/>
    <w:basedOn w:val="8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68" w:customStyle="1">
    <w:name w:val="Grid Table 4 - Accent 3"/>
    <w:basedOn w:val="8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69" w:customStyle="1">
    <w:name w:val="Grid Table 4 - Accent 4"/>
    <w:basedOn w:val="8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70" w:customStyle="1">
    <w:name w:val="Grid Table 4 - Accent 5"/>
    <w:basedOn w:val="8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871" w:customStyle="1">
    <w:name w:val="Grid Table 4 - Accent 6"/>
    <w:basedOn w:val="8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72" w:customStyle="1">
    <w:name w:val="Grid Table 5 Dark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73" w:customStyle="1">
    <w:name w:val="Grid Table 5 Dark- Accent 1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874" w:customStyle="1">
    <w:name w:val="Grid Table 5 Dark - Accent 2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75" w:customStyle="1">
    <w:name w:val="Grid Table 5 Dark - Accent 3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76" w:customStyle="1">
    <w:name w:val="Grid Table 5 Dark- Accent 4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77" w:customStyle="1">
    <w:name w:val="Grid Table 5 Dark - Accent 5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878" w:customStyle="1">
    <w:name w:val="Grid Table 5 Dark - Accent 6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79" w:customStyle="1">
    <w:name w:val="Grid Table 6 Colorful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80" w:customStyle="1">
    <w:name w:val="Grid Table 6 Colorful - Accent 1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881" w:customStyle="1">
    <w:name w:val="Grid Table 6 Colorful - Accent 2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82" w:customStyle="1">
    <w:name w:val="Grid Table 6 Colorful - Accent 3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83" w:customStyle="1">
    <w:name w:val="Grid Table 6 Colorful - Accent 4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84" w:customStyle="1">
    <w:name w:val="Grid Table 6 Colorful - Accent 5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885" w:customStyle="1">
    <w:name w:val="Grid Table 6 Colorful - Accent 6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886" w:customStyle="1">
    <w:name w:val="Grid Table 7 Colorful"/>
    <w:basedOn w:val="8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Grid Table 7 Colorful - Accent 1"/>
    <w:basedOn w:val="8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Grid Table 7 Colorful - Accent 2"/>
    <w:basedOn w:val="8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Grid Table 7 Colorful - Accent 3"/>
    <w:basedOn w:val="8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Grid Table 7 Colorful - Accent 4"/>
    <w:basedOn w:val="8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Grid Table 7 Colorful - Accent 5"/>
    <w:basedOn w:val="8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Grid Table 7 Colorful - Accent 6"/>
    <w:basedOn w:val="8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List Table 1 Light"/>
    <w:basedOn w:val="8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List Table 1 Light - Accent 1"/>
    <w:basedOn w:val="8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List Table 1 Light - Accent 2"/>
    <w:basedOn w:val="8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List Table 1 Light - Accent 3"/>
    <w:basedOn w:val="8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List Table 1 Light - Accent 4"/>
    <w:basedOn w:val="8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List Table 1 Light - Accent 5"/>
    <w:basedOn w:val="8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List Table 1 Light - Accent 6"/>
    <w:basedOn w:val="8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List Table 2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01" w:customStyle="1">
    <w:name w:val="List Table 2 - Accent 1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902" w:customStyle="1">
    <w:name w:val="List Table 2 - Accent 2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903" w:customStyle="1">
    <w:name w:val="List Table 2 - Accent 3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904" w:customStyle="1">
    <w:name w:val="List Table 2 - Accent 4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905" w:customStyle="1">
    <w:name w:val="List Table 2 - Accent 5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906" w:customStyle="1">
    <w:name w:val="List Table 2 - Accent 6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907" w:customStyle="1">
    <w:name w:val="List Table 3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 w:customStyle="1">
    <w:name w:val="List Table 3 - Accent 1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 w:customStyle="1">
    <w:name w:val="List Table 3 - Accent 2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 w:customStyle="1">
    <w:name w:val="List Table 3 - Accent 3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 w:customStyle="1">
    <w:name w:val="List Table 3 - Accent 4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 w:customStyle="1">
    <w:name w:val="List Table 3 - Accent 5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 w:customStyle="1">
    <w:name w:val="List Table 3 - Accent 6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 w:customStyle="1">
    <w:name w:val="List Table 4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 w:customStyle="1">
    <w:name w:val="List Table 4 - Accent 1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 w:customStyle="1">
    <w:name w:val="List Table 4 - Accent 2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 w:customStyle="1">
    <w:name w:val="List Table 4 - Accent 3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 w:customStyle="1">
    <w:name w:val="List Table 4 - Accent 4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 w:customStyle="1">
    <w:name w:val="List Table 4 - Accent 5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 w:customStyle="1">
    <w:name w:val="List Table 4 - Accent 6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5 Dark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2" w:customStyle="1">
    <w:name w:val="List Table 5 Dark - Accent 1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3" w:customStyle="1">
    <w:name w:val="List Table 5 Dark - Accent 2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4" w:customStyle="1">
    <w:name w:val="List Table 5 Dark - Accent 3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5" w:customStyle="1">
    <w:name w:val="List Table 5 Dark - Accent 4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6" w:customStyle="1">
    <w:name w:val="List Table 5 Dark - Accent 5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7" w:customStyle="1">
    <w:name w:val="List Table 5 Dark - Accent 6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8" w:customStyle="1">
    <w:name w:val="List Table 6 Colorful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29" w:customStyle="1">
    <w:name w:val="List Table 6 Colorful - Accent 1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930" w:customStyle="1">
    <w:name w:val="List Table 6 Colorful - Accent 2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31" w:customStyle="1">
    <w:name w:val="List Table 6 Colorful - Accent 3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32" w:customStyle="1">
    <w:name w:val="List Table 6 Colorful - Accent 4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33" w:customStyle="1">
    <w:name w:val="List Table 6 Colorful - Accent 5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934" w:customStyle="1">
    <w:name w:val="List Table 6 Colorful - Accent 6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35" w:customStyle="1">
    <w:name w:val="List Table 7 Colorful"/>
    <w:basedOn w:val="8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6" w:customStyle="1">
    <w:name w:val="List Table 7 Colorful - Accent 1"/>
    <w:basedOn w:val="8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7" w:customStyle="1">
    <w:name w:val="List Table 7 Colorful - Accent 2"/>
    <w:basedOn w:val="8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8" w:customStyle="1">
    <w:name w:val="List Table 7 Colorful - Accent 3"/>
    <w:basedOn w:val="8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 w:customStyle="1">
    <w:name w:val="List Table 7 Colorful - Accent 4"/>
    <w:basedOn w:val="8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 w:customStyle="1">
    <w:name w:val="List Table 7 Colorful - Accent 5"/>
    <w:basedOn w:val="8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1" w:customStyle="1">
    <w:name w:val="List Table 7 Colorful - Accent 6"/>
    <w:basedOn w:val="8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 w:customStyle="1">
    <w:name w:val="Lined - Accent"/>
    <w:basedOn w:val="8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43" w:customStyle="1">
    <w:name w:val="Lined - Accent 1"/>
    <w:basedOn w:val="8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944" w:customStyle="1">
    <w:name w:val="Lined - Accent 2"/>
    <w:basedOn w:val="8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45" w:customStyle="1">
    <w:name w:val="Lined - Accent 3"/>
    <w:basedOn w:val="8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46" w:customStyle="1">
    <w:name w:val="Lined - Accent 4"/>
    <w:basedOn w:val="8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47" w:customStyle="1">
    <w:name w:val="Lined - Accent 5"/>
    <w:basedOn w:val="8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948" w:customStyle="1">
    <w:name w:val="Lined - Accent 6"/>
    <w:basedOn w:val="8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49" w:customStyle="1">
    <w:name w:val="Bordered &amp; Lined - Accent"/>
    <w:basedOn w:val="8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0" w:customStyle="1">
    <w:name w:val="Bordered &amp; Lined - Accent 1"/>
    <w:basedOn w:val="8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951" w:customStyle="1">
    <w:name w:val="Bordered &amp; Lined - Accent 2"/>
    <w:basedOn w:val="8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52" w:customStyle="1">
    <w:name w:val="Bordered &amp; Lined - Accent 3"/>
    <w:basedOn w:val="8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53" w:customStyle="1">
    <w:name w:val="Bordered &amp; Lined - Accent 4"/>
    <w:basedOn w:val="8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54" w:customStyle="1">
    <w:name w:val="Bordered &amp; Lined - Accent 5"/>
    <w:basedOn w:val="8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955" w:customStyle="1">
    <w:name w:val="Bordered &amp; Lined - Accent 6"/>
    <w:basedOn w:val="8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56" w:customStyle="1">
    <w:name w:val="Bordered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57" w:customStyle="1">
    <w:name w:val="Bordered - Accent 1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958" w:customStyle="1">
    <w:name w:val="Bordered - Accent 2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59" w:customStyle="1">
    <w:name w:val="Bordered - Accent 3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60" w:customStyle="1">
    <w:name w:val="Bordered - Accent 4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61" w:customStyle="1">
    <w:name w:val="Bordered - Accent 5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962" w:customStyle="1">
    <w:name w:val="Bordered - Accent 6"/>
    <w:basedOn w:val="8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63" w:customStyle="1">
    <w:name w:val="Footnote Text Char"/>
    <w:uiPriority w:val="99"/>
    <w:rPr>
      <w:sz w:val="18"/>
    </w:rPr>
  </w:style>
  <w:style w:type="character" w:styleId="964" w:customStyle="1">
    <w:name w:val="Endnote Text Char"/>
    <w:uiPriority w:val="99"/>
    <w:rPr>
      <w:sz w:val="20"/>
    </w:rPr>
  </w:style>
  <w:style w:type="paragraph" w:styleId="965">
    <w:name w:val="toc 1"/>
    <w:basedOn w:val="805"/>
    <w:next w:val="805"/>
    <w:uiPriority w:val="39"/>
    <w:unhideWhenUsed/>
    <w:pPr>
      <w:ind w:firstLine="0"/>
      <w:spacing w:after="57"/>
    </w:pPr>
  </w:style>
  <w:style w:type="paragraph" w:styleId="966">
    <w:name w:val="toc 2"/>
    <w:basedOn w:val="805"/>
    <w:next w:val="805"/>
    <w:uiPriority w:val="39"/>
    <w:unhideWhenUsed/>
    <w:pPr>
      <w:ind w:left="283" w:firstLine="0"/>
      <w:spacing w:after="57"/>
    </w:pPr>
  </w:style>
  <w:style w:type="paragraph" w:styleId="967">
    <w:name w:val="toc 3"/>
    <w:basedOn w:val="805"/>
    <w:next w:val="805"/>
    <w:uiPriority w:val="39"/>
    <w:unhideWhenUsed/>
    <w:pPr>
      <w:ind w:left="567" w:firstLine="0"/>
      <w:spacing w:after="57"/>
    </w:pPr>
  </w:style>
  <w:style w:type="paragraph" w:styleId="968">
    <w:name w:val="toc 4"/>
    <w:basedOn w:val="805"/>
    <w:next w:val="805"/>
    <w:uiPriority w:val="39"/>
    <w:unhideWhenUsed/>
    <w:pPr>
      <w:ind w:left="850" w:firstLine="0"/>
      <w:spacing w:after="57"/>
    </w:pPr>
  </w:style>
  <w:style w:type="paragraph" w:styleId="969">
    <w:name w:val="toc 5"/>
    <w:basedOn w:val="805"/>
    <w:next w:val="805"/>
    <w:uiPriority w:val="39"/>
    <w:unhideWhenUsed/>
    <w:pPr>
      <w:ind w:left="1134" w:firstLine="0"/>
      <w:spacing w:after="57"/>
    </w:pPr>
  </w:style>
  <w:style w:type="paragraph" w:styleId="970">
    <w:name w:val="toc 6"/>
    <w:basedOn w:val="805"/>
    <w:next w:val="805"/>
    <w:uiPriority w:val="39"/>
    <w:unhideWhenUsed/>
    <w:pPr>
      <w:ind w:left="1417" w:firstLine="0"/>
      <w:spacing w:after="57"/>
    </w:pPr>
  </w:style>
  <w:style w:type="paragraph" w:styleId="971">
    <w:name w:val="toc 7"/>
    <w:basedOn w:val="805"/>
    <w:next w:val="805"/>
    <w:uiPriority w:val="39"/>
    <w:unhideWhenUsed/>
    <w:pPr>
      <w:ind w:left="1701" w:firstLine="0"/>
      <w:spacing w:after="57"/>
    </w:pPr>
  </w:style>
  <w:style w:type="paragraph" w:styleId="972">
    <w:name w:val="toc 8"/>
    <w:basedOn w:val="805"/>
    <w:next w:val="805"/>
    <w:uiPriority w:val="39"/>
    <w:unhideWhenUsed/>
    <w:pPr>
      <w:ind w:left="1984" w:firstLine="0"/>
      <w:spacing w:after="57"/>
    </w:pPr>
  </w:style>
  <w:style w:type="paragraph" w:styleId="973">
    <w:name w:val="toc 9"/>
    <w:basedOn w:val="805"/>
    <w:next w:val="805"/>
    <w:uiPriority w:val="39"/>
    <w:unhideWhenUsed/>
    <w:pPr>
      <w:ind w:left="2268" w:firstLine="0"/>
      <w:spacing w:after="57"/>
    </w:pPr>
  </w:style>
  <w:style w:type="paragraph" w:styleId="974">
    <w:name w:val="TOC Heading"/>
    <w:uiPriority w:val="39"/>
    <w:unhideWhenUsed/>
  </w:style>
  <w:style w:type="paragraph" w:styleId="975">
    <w:name w:val="table of figures"/>
    <w:basedOn w:val="805"/>
    <w:next w:val="805"/>
    <w:uiPriority w:val="99"/>
    <w:unhideWhenUsed/>
  </w:style>
  <w:style w:type="character" w:styleId="976" w:customStyle="1">
    <w:name w:val="Заголовок 1 Знак"/>
    <w:basedOn w:val="815"/>
    <w:link w:val="806"/>
    <w:uiPriority w:val="9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table" w:styleId="977">
    <w:name w:val="Table Grid"/>
    <w:basedOn w:val="81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78" w:customStyle="1">
    <w:name w:val="Заголовок 2 Знак"/>
    <w:basedOn w:val="815"/>
    <w:link w:val="807"/>
    <w:uiPriority w:val="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979" w:customStyle="1">
    <w:name w:val="Заголовок 3 Знак"/>
    <w:basedOn w:val="815"/>
    <w:link w:val="808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80">
    <w:name w:val="List Paragraph"/>
    <w:basedOn w:val="805"/>
    <w:uiPriority w:val="34"/>
    <w:qFormat/>
    <w:pPr>
      <w:contextualSpacing/>
      <w:ind w:left="720"/>
    </w:pPr>
  </w:style>
  <w:style w:type="character" w:styleId="981" w:customStyle="1">
    <w:name w:val="Заголовок 4 Знак"/>
    <w:basedOn w:val="815"/>
    <w:link w:val="809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82">
    <w:name w:val="Subtitle"/>
    <w:basedOn w:val="805"/>
    <w:next w:val="805"/>
    <w:link w:val="983"/>
    <w:uiPriority w:val="11"/>
    <w:qFormat/>
    <w:pPr>
      <w:numPr>
        <w:ilvl w:val="1"/>
      </w:numPr>
      <w:ind w:firstLine="567"/>
      <w:spacing w:after="160"/>
    </w:pPr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983" w:customStyle="1">
    <w:name w:val="Подзаголовок Знак"/>
    <w:basedOn w:val="815"/>
    <w:link w:val="982"/>
    <w:uiPriority w:val="11"/>
    <w:rPr>
      <w:rFonts w:eastAsiaTheme="minorEastAsia"/>
      <w:color w:val="5a5a5a" w:themeColor="text1" w:themeTint="A5"/>
      <w:spacing w:val="15"/>
      <w:lang w:eastAsia="ru-RU"/>
    </w:rPr>
  </w:style>
  <w:style w:type="paragraph" w:styleId="984">
    <w:name w:val="footnote text"/>
    <w:basedOn w:val="805"/>
    <w:link w:val="985"/>
    <w:uiPriority w:val="99"/>
    <w:unhideWhenUsed/>
    <w:rPr>
      <w:sz w:val="20"/>
      <w:szCs w:val="20"/>
    </w:rPr>
  </w:style>
  <w:style w:type="character" w:styleId="985" w:customStyle="1">
    <w:name w:val="Текст сноски Знак"/>
    <w:basedOn w:val="815"/>
    <w:link w:val="984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86">
    <w:name w:val="footnote reference"/>
    <w:basedOn w:val="815"/>
    <w:uiPriority w:val="99"/>
    <w:unhideWhenUsed/>
    <w:rPr>
      <w:vertAlign w:val="superscript"/>
    </w:rPr>
  </w:style>
  <w:style w:type="character" w:styleId="987" w:customStyle="1">
    <w:name w:val="Заголовок 5 Знак"/>
    <w:basedOn w:val="815"/>
    <w:link w:val="810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88" w:customStyle="1">
    <w:name w:val="Заголовок 6 Знак"/>
    <w:basedOn w:val="815"/>
    <w:link w:val="811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89">
    <w:name w:val="Header"/>
    <w:basedOn w:val="805"/>
    <w:link w:val="99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90" w:customStyle="1">
    <w:name w:val="Верхний колонтитул Знак"/>
    <w:basedOn w:val="815"/>
    <w:link w:val="98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1">
    <w:name w:val="Footer"/>
    <w:basedOn w:val="805"/>
    <w:link w:val="99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92" w:customStyle="1">
    <w:name w:val="Нижний колонтитул Знак"/>
    <w:basedOn w:val="815"/>
    <w:link w:val="991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993" w:customStyle="1">
    <w:name w:val="6"/>
    <w:basedOn w:val="816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StyleRowBandSize w:val="1"/>
      <w:tblStyleColBandSize w:val="1"/>
    </w:tblPr>
  </w:style>
  <w:style w:type="paragraph" w:styleId="994">
    <w:name w:val="endnote text"/>
    <w:basedOn w:val="805"/>
    <w:link w:val="995"/>
    <w:uiPriority w:val="99"/>
    <w:semiHidden/>
    <w:unhideWhenUsed/>
    <w:rPr>
      <w:sz w:val="20"/>
      <w:szCs w:val="20"/>
    </w:rPr>
  </w:style>
  <w:style w:type="character" w:styleId="995" w:customStyle="1">
    <w:name w:val="Текст концевой сноски Знак"/>
    <w:basedOn w:val="815"/>
    <w:link w:val="994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96">
    <w:name w:val="endnote reference"/>
    <w:basedOn w:val="815"/>
    <w:uiPriority w:val="99"/>
    <w:semiHidden/>
    <w:unhideWhenUsed/>
    <w:rPr>
      <w:vertAlign w:val="superscript"/>
    </w:rPr>
  </w:style>
  <w:style w:type="paragraph" w:styleId="997">
    <w:name w:val="Title"/>
    <w:basedOn w:val="805"/>
    <w:next w:val="805"/>
    <w:link w:val="998"/>
    <w:uiPriority w:val="10"/>
    <w:qFormat/>
    <w:pPr>
      <w:jc w:val="center"/>
      <w:spacing w:before="240"/>
    </w:pPr>
    <w:rPr>
      <w:b/>
    </w:rPr>
  </w:style>
  <w:style w:type="character" w:styleId="998" w:customStyle="1">
    <w:name w:val="Название Знак"/>
    <w:basedOn w:val="815"/>
    <w:link w:val="997"/>
    <w:uiPriority w:val="10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character" w:styleId="999" w:customStyle="1">
    <w:name w:val="Заголовок 7 Знак"/>
    <w:basedOn w:val="815"/>
    <w:link w:val="812"/>
    <w:uiPriority w:val="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1000" w:customStyle="1">
    <w:name w:val="Заголовок 8 Знак"/>
    <w:basedOn w:val="815"/>
    <w:link w:val="813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01" w:customStyle="1">
    <w:name w:val="Заголовок 9 Знак"/>
    <w:basedOn w:val="815"/>
    <w:link w:val="814"/>
    <w:uiPriority w:val="9"/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1002">
    <w:name w:val="Balloon Text"/>
    <w:basedOn w:val="805"/>
    <w:link w:val="1003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1003" w:customStyle="1">
    <w:name w:val="Текст выноски Знак"/>
    <w:basedOn w:val="815"/>
    <w:link w:val="1002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1004" w:customStyle="1">
    <w:name w:val="head21"/>
    <w:basedOn w:val="805"/>
    <w:pPr>
      <w:ind w:firstLine="0"/>
      <w:jc w:val="left"/>
      <w:spacing w:line="100" w:lineRule="atLeast"/>
      <w:outlineLvl w:val="9"/>
    </w:pPr>
    <w:rPr>
      <w:sz w:val="20"/>
      <w:szCs w:val="20"/>
      <w:lang w:eastAsia="ar-SA"/>
    </w:rPr>
  </w:style>
  <w:style w:type="character" w:styleId="1005">
    <w:name w:val="annotation reference"/>
    <w:basedOn w:val="815"/>
    <w:uiPriority w:val="99"/>
    <w:semiHidden/>
    <w:unhideWhenUsed/>
    <w:rPr>
      <w:sz w:val="16"/>
      <w:szCs w:val="16"/>
    </w:rPr>
  </w:style>
  <w:style w:type="paragraph" w:styleId="1006">
    <w:name w:val="annotation text"/>
    <w:basedOn w:val="805"/>
    <w:link w:val="1007"/>
    <w:uiPriority w:val="99"/>
    <w:semiHidden/>
    <w:unhideWhenUsed/>
    <w:rPr>
      <w:sz w:val="20"/>
      <w:szCs w:val="20"/>
    </w:rPr>
  </w:style>
  <w:style w:type="character" w:styleId="1007" w:customStyle="1">
    <w:name w:val="Текст примечания Знак"/>
    <w:basedOn w:val="815"/>
    <w:link w:val="1006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08">
    <w:name w:val="annotation subject"/>
    <w:basedOn w:val="1006"/>
    <w:next w:val="1006"/>
    <w:link w:val="1009"/>
    <w:uiPriority w:val="99"/>
    <w:semiHidden/>
    <w:unhideWhenUsed/>
    <w:rPr>
      <w:b/>
      <w:bCs/>
    </w:rPr>
  </w:style>
  <w:style w:type="character" w:styleId="1009" w:customStyle="1">
    <w:name w:val="Тема примечания Знак"/>
    <w:basedOn w:val="1007"/>
    <w:link w:val="1008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1010">
    <w:name w:val="Hyperlink"/>
    <w:basedOn w:val="815"/>
    <w:uiPriority w:val="99"/>
    <w:unhideWhenUsed/>
    <w:rPr>
      <w:color w:val="0563c1" w:themeColor="hyperlink"/>
      <w:u w:val="single"/>
    </w:rPr>
  </w:style>
  <w:style w:type="paragraph" w:styleId="1011" w:customStyle="1">
    <w:name w:val="Заголовок 3;Подпункт ГК"/>
    <w:basedOn w:val="805"/>
    <w:next w:val="805"/>
    <w:link w:val="1012"/>
    <w:uiPriority w:val="9"/>
    <w:unhideWhenUsed/>
    <w:qFormat/>
    <w:pPr>
      <w:contextualSpacing/>
      <w:outlineLvl w:val="2"/>
    </w:pPr>
  </w:style>
  <w:style w:type="character" w:styleId="1012" w:customStyle="1">
    <w:name w:val="Заголовок 3 Знак;Подпункт ГК Знак"/>
    <w:link w:val="1011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535FA-73AA-42B0-A22C-6BA2D01BC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МИКЕРОВ Сергей Сергеевич</dc:creator>
  <cp:keywords/>
  <dc:description/>
  <cp:lastModifiedBy>malyshevkm</cp:lastModifiedBy>
  <cp:revision>94</cp:revision>
  <dcterms:created xsi:type="dcterms:W3CDTF">2023-04-26T08:59:00Z</dcterms:created>
  <dcterms:modified xsi:type="dcterms:W3CDTF">2026-10-28T09:58:08Z</dcterms:modified>
</cp:coreProperties>
</file>