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2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14527" w:type="dxa"/>
        <w:jc w:val="left"/>
        <w:tblInd w:w="14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678"/>
        <w:gridCol w:w="1130"/>
        <w:gridCol w:w="1556"/>
        <w:gridCol w:w="1563"/>
        <w:gridCol w:w="1421"/>
        <w:gridCol w:w="1281"/>
        <w:gridCol w:w="1310"/>
        <w:gridCol w:w="5586"/>
      </w:tblGrid>
      <w:tr>
        <w:trPr>
          <w:trHeight w:val="510" w:hRule="atLeast"/>
        </w:trPr>
        <w:tc>
          <w:tcPr>
            <w:tcW w:w="14525" w:type="dxa"/>
            <w:gridSpan w:val="8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b/>
                <w:color w:val="auto"/>
                <w:kern w:val="0"/>
                <w:sz w:val="28"/>
                <w:szCs w:val="28"/>
                <w:lang w:val="ru-RU" w:eastAsia="en-US" w:bidi="ar-SA"/>
              </w:rPr>
              <w:t>Описание объекта закупки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 w:eastAsiaTheme="minorHAnsi"/>
                <w:b/>
                <w:b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b/>
                <w:color w:val="auto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 xml:space="preserve">По общему правилу наименование и описание объекта закупки указывается заказчиком в соответствии с каталогом товаров, работ, услуг для обеспечения государственных и муниципальных нужд (далее - КТРУ), размещаемым в единой информационной системе (ЕИС). </w:t>
            </w:r>
            <w:r>
              <w:rPr>
                <w:rFonts w:eastAsia="Calibri" w:cs="Times New Roman" w:ascii="Times New Roman" w:hAnsi="Times New Roman" w:eastAsiaTheme="minorHAnsi"/>
                <w:b/>
                <w:bCs/>
                <w:color w:val="000000"/>
                <w:kern w:val="0"/>
                <w:sz w:val="28"/>
                <w:szCs w:val="28"/>
                <w:shd w:fill="FFFFFF" w:val="clear"/>
                <w:lang w:val="ru-RU" w:eastAsia="en-US" w:bidi="ar-SA"/>
              </w:rPr>
              <w:t xml:space="preserve">В </w:t>
            </w:r>
            <w:r>
              <w:rPr>
                <w:rFonts w:eastAsia="Calibri" w:cs="Times New Roman" w:ascii="Times New Roman" w:hAnsi="Times New Roman" w:eastAsiaTheme="minorHAnsi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случае отсутствия соответствующих позиций в КТРУ  описание объекта закупки осуществляется в соответствии со статьей 33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 w:eastAsiaTheme="minorHAnsi"/>
                <w:b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>
          <w:trHeight w:val="315" w:hRule="atLeast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1</w:t>
            </w:r>
          </w:p>
        </w:tc>
        <w:tc>
          <w:tcPr>
            <w:tcW w:w="138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Наименование объекта закупки</w:t>
            </w:r>
          </w:p>
        </w:tc>
      </w:tr>
      <w:tr>
        <w:trPr>
          <w:trHeight w:val="725" w:hRule="atLeast"/>
        </w:trPr>
        <w:tc>
          <w:tcPr>
            <w:tcW w:w="145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 w:eastAsiaTheme="minorHAnsi"/>
                <w:b/>
                <w:b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b/>
                <w:color w:val="auto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b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Оказание услуг по проведению диспансеризации федеральных государственных гражданских служащих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b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Главного управления МЧС России по Астраханской области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 w:eastAsiaTheme="minorHAnsi"/>
                <w:b/>
                <w:b/>
                <w:color w:val="auto"/>
                <w:kern w:val="0"/>
                <w:sz w:val="28"/>
                <w:szCs w:val="28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b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</w:r>
          </w:p>
        </w:tc>
      </w:tr>
      <w:tr>
        <w:trPr>
          <w:trHeight w:val="611" w:hRule="atLeast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2</w:t>
            </w:r>
          </w:p>
        </w:tc>
        <w:tc>
          <w:tcPr>
            <w:tcW w:w="138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Описание объекта закупки и обоснование необходимости включения в описание товара, работы, услуги дополнительной информации, а также дополнительных потребительских свойств, в том числе функциональных, технических, качественных, эксплуатационных характеристик товара, работы, услуги (при наличии описания товара, работы, услуги в позиции каталога товаров, работ услуг)</w:t>
            </w:r>
          </w:p>
        </w:tc>
      </w:tr>
      <w:tr>
        <w:trPr>
          <w:trHeight w:val="1755" w:hRule="atLeast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2.1</w:t>
            </w:r>
          </w:p>
        </w:tc>
        <w:tc>
          <w:tcPr>
            <w:tcW w:w="138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При закупке работ, услуг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 w:eastAsiaTheme="minorHAnsi"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709" w:leader="none"/>
              </w:tabs>
              <w:spacing w:before="0" w:after="160"/>
              <w:ind w:left="0" w:firstLine="27"/>
              <w:contextualSpacing/>
              <w:jc w:val="both"/>
              <w:outlineLvl w:val="0"/>
              <w:rPr/>
            </w:pPr>
            <w:r>
              <w:rPr>
                <w:rFonts w:eastAsia="Calibri" w:cs="Times New Roman" w:ascii="Times New Roman" w:hAnsi="Times New Roman" w:eastAsiaTheme="minorHAnsi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Срок оказания услуг:</w:t>
            </w:r>
            <w:r>
              <w:rPr>
                <w:rFonts w:eastAsia="Calibri" w:cs="Times New Roman" w:ascii="Times New Roman" w:hAnsi="Times New Roman" w:eastAsiaTheme="minorHAnsi"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 xml:space="preserve"> с момента заключения </w:t>
            </w:r>
            <w:r>
              <w:rPr>
                <w:rStyle w:val="Style20"/>
                <w:rFonts w:eastAsia="Calibri" w:cs="Times New Roman" w:ascii="Times New Roman" w:hAnsi="Times New Roman" w:eastAsiaTheme="minorHAnsi"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контракта</w:t>
            </w:r>
            <w:r>
              <w:rPr>
                <w:rFonts w:eastAsia="Calibri" w:cs="Times New Roman" w:ascii="Times New Roman" w:hAnsi="Times New Roman" w:eastAsiaTheme="minorHAnsi"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 xml:space="preserve"> по 30 ноября 2026 г.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firstLine="27"/>
              <w:contextualSpacing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b/>
                <w:color w:val="auto"/>
                <w:kern w:val="0"/>
                <w:sz w:val="28"/>
                <w:szCs w:val="28"/>
                <w:lang w:val="ru-RU" w:eastAsia="en-US" w:bidi="ar-SA"/>
              </w:rPr>
              <w:t>ОКПД2:</w:t>
            </w:r>
            <w:r>
              <w:rPr>
                <w:rFonts w:eastAsia="Calibri" w:cs="Times New Roman" w:ascii="Times New Roman" w:hAnsi="Times New Roman" w:eastAsiaTheme="minorHAnsi"/>
                <w:b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 w:eastAsiaTheme="minorHAnsi"/>
                <w:b w:val="false"/>
                <w:bCs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86.21.10.120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firstLine="27"/>
              <w:contextualSpacing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Место оказываемых услуг:</w:t>
            </w:r>
            <w:r>
              <w:rPr>
                <w:rFonts w:eastAsia="Calibri" w:cs="Times New Roman" w:ascii="Times New Roman" w:hAnsi="Times New Roman" w:eastAsiaTheme="minorHAnsi"/>
                <w:b/>
                <w:color w:val="auto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 w:eastAsiaTheme="minorHAnsi"/>
                <w:b w:val="false"/>
                <w:bCs w:val="false"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Российская Федерация, Астраханская область г. Астрахань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Порядок оказания услуг:</w:t>
            </w:r>
          </w:p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1. Оказание услуг</w:t>
            </w:r>
            <w:r>
              <w:rPr>
                <w:rFonts w:eastAsia="Calibri" w:cs="Times New Roman" w:ascii="Times New Roman" w:hAnsi="Times New Roman" w:eastAsiaTheme="minorHAnsi"/>
                <w:b w:val="false"/>
                <w:bCs w:val="false"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 xml:space="preserve"> диспансеризации федеральных государственных гражданских служащих</w:t>
            </w:r>
            <w:r>
              <w:rPr>
                <w:rFonts w:eastAsia="Calibri" w:cs="Times New Roman" w:ascii="Times New Roman" w:hAnsi="Times New Roman" w:eastAsiaTheme="minorHAnsi"/>
                <w:b w:val="false"/>
                <w:bCs w:val="false"/>
                <w:color w:val="auto"/>
                <w:kern w:val="0"/>
                <w:sz w:val="28"/>
                <w:szCs w:val="28"/>
                <w:lang w:val="ru-RU" w:eastAsia="en-US" w:bidi="ar-SA"/>
              </w:rPr>
              <w:t xml:space="preserve"> в</w:t>
            </w:r>
            <w:r>
              <w:rPr>
                <w:rFonts w:eastAsia="Calibri" w:cs="Times New Roman" w:ascii="Times New Roman" w:hAnsi="Times New Roman" w:eastAsiaTheme="minorHAnsi"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 xml:space="preserve"> соответствии            с приказом Минздравсоцразвития РФ от 14.04.2025 № 201н «Об утверждении порядка прохождения диспансеризации федеральными государственными гражданскими служащими, государственными гражданскими служащими субъектов российской федерации и муниципальными служащими, перечня заболеваний, препятствующих поступлению на государственную гражданскую службу российской федерации и муниципальную службу или ее прохождению, а также формы заключения медицинской организации»; (далее – Приказ):</w:t>
            </w:r>
          </w:p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 w:eastAsia="Calibri" w:cs="Times New Roman" w:eastAsiaTheme="minorHAnsi"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</w:r>
          </w:p>
          <w:tbl>
            <w:tblPr>
              <w:tblW w:w="5000" w:type="pct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02"/>
              <w:gridCol w:w="2731"/>
              <w:gridCol w:w="2634"/>
              <w:gridCol w:w="2773"/>
              <w:gridCol w:w="3378"/>
              <w:gridCol w:w="1514"/>
            </w:tblGrid>
            <w:tr>
              <w:trPr/>
              <w:tc>
                <w:tcPr>
                  <w:tcW w:w="6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jc w:val="center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№</w:t>
                  </w:r>
                </w:p>
              </w:tc>
              <w:tc>
                <w:tcPr>
                  <w:tcW w:w="27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jc w:val="center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Наименование товара</w:t>
                  </w:r>
                </w:p>
              </w:tc>
              <w:tc>
                <w:tcPr>
                  <w:tcW w:w="26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jc w:val="center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Наименование характеристики</w:t>
                  </w:r>
                </w:p>
              </w:tc>
              <w:tc>
                <w:tcPr>
                  <w:tcW w:w="2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jc w:val="center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Значение характеристики</w:t>
                  </w:r>
                </w:p>
              </w:tc>
              <w:tc>
                <w:tcPr>
                  <w:tcW w:w="33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jc w:val="center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Ед. изм.</w:t>
                  </w:r>
                </w:p>
              </w:tc>
              <w:tc>
                <w:tcPr>
                  <w:tcW w:w="15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jc w:val="center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Кол-во</w:t>
                  </w:r>
                </w:p>
              </w:tc>
            </w:tr>
            <w:tr>
              <w:trPr>
                <w:trHeight w:val="1101" w:hRule="atLeast"/>
              </w:trPr>
              <w:tc>
                <w:tcPr>
                  <w:tcW w:w="60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1</w:t>
                  </w:r>
                </w:p>
              </w:tc>
              <w:tc>
                <w:tcPr>
                  <w:tcW w:w="273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pacing w:before="0" w:after="0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Услуга по проведению диспансеризации государственных гражданских и муниципальных служащих</w:t>
                  </w:r>
                </w:p>
                <w:p>
                  <w:pPr>
                    <w:pStyle w:val="Normal"/>
                    <w:widowControl w:val="false"/>
                    <w:spacing w:before="0" w:after="0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ОКПД/КТРУ:</w:t>
                  </w:r>
                </w:p>
                <w:p>
                  <w:pPr>
                    <w:pStyle w:val="Normal"/>
                    <w:widowControl w:val="false"/>
                    <w:spacing w:before="0" w:after="0"/>
                    <w:rPr/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86.21.10.120/</w:t>
                    <w:br/>
                  </w:r>
                  <w:hyperlink r:id="rId2" w:tgtFrame="_blank">
                    <w:r>
                      <w:rPr>
                        <w:rFonts w:eastAsia="Calibri" w:cs="Times New Roman" w:ascii="Times New Roman" w:hAnsi="Times New Roman" w:eastAsiaTheme="minorHAnsi"/>
                        <w:color w:val="auto"/>
                        <w:kern w:val="0"/>
                        <w:sz w:val="28"/>
                        <w:szCs w:val="28"/>
                        <w:lang w:val="ru-RU" w:eastAsia="en-US" w:bidi="ar-SA"/>
                      </w:rPr>
                      <w:t>86.21.10.120-00000001</w:t>
                    </w:r>
                  </w:hyperlink>
                </w:p>
              </w:tc>
              <w:tc>
                <w:tcPr>
                  <w:tcW w:w="26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000000"/>
                      <w:kern w:val="0"/>
                      <w:sz w:val="28"/>
                      <w:szCs w:val="28"/>
                      <w:shd w:fill="FFFFFF" w:val="clear"/>
                      <w:lang w:val="ru-RU" w:eastAsia="en-US" w:bidi="ar-SA"/>
                    </w:rPr>
                    <w:t>Половозрастная группа служащих</w:t>
                  </w:r>
                </w:p>
              </w:tc>
              <w:tc>
                <w:tcPr>
                  <w:tcW w:w="2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Мужчина до 40 лет</w:t>
                  </w:r>
                </w:p>
              </w:tc>
              <w:tc>
                <w:tcPr>
                  <w:tcW w:w="337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jc w:val="center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Чел.</w:t>
                  </w:r>
                </w:p>
              </w:tc>
              <w:tc>
                <w:tcPr>
                  <w:tcW w:w="151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jc w:val="center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1</w:t>
                  </w:r>
                </w:p>
              </w:tc>
            </w:tr>
            <w:tr>
              <w:trPr>
                <w:trHeight w:val="476" w:hRule="atLeast"/>
              </w:trPr>
              <w:tc>
                <w:tcPr>
                  <w:tcW w:w="602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spacing w:before="0" w:after="160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eastAsiaTheme="minorHAnsi" w:ascii="Times New Roman" w:hAnsi="Times New Roman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r>
                </w:p>
              </w:tc>
              <w:tc>
                <w:tcPr>
                  <w:tcW w:w="2731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spacing w:before="0" w:after="160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eastAsiaTheme="minorHAnsi" w:ascii="Times New Roman" w:hAnsi="Times New Roman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r>
                </w:p>
              </w:tc>
              <w:tc>
                <w:tcPr>
                  <w:tcW w:w="26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000000"/>
                      <w:kern w:val="0"/>
                      <w:sz w:val="28"/>
                      <w:szCs w:val="28"/>
                      <w:shd w:fill="FFFFFF" w:val="clear"/>
                      <w:lang w:val="ru-RU" w:eastAsia="en-US" w:bidi="ar-SA"/>
                    </w:rPr>
                    <w:t>Категория служащих</w:t>
                  </w:r>
                </w:p>
              </w:tc>
              <w:tc>
                <w:tcPr>
                  <w:tcW w:w="2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000000"/>
                      <w:kern w:val="0"/>
                      <w:sz w:val="28"/>
                      <w:szCs w:val="28"/>
                      <w:shd w:fill="FFFFFF" w:val="clear"/>
                      <w:lang w:val="ru-RU" w:eastAsia="en-US" w:bidi="ar-SA"/>
                    </w:rPr>
                    <w:t>Государственные</w:t>
                  </w:r>
                </w:p>
              </w:tc>
              <w:tc>
                <w:tcPr>
                  <w:tcW w:w="3378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jc w:val="center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eastAsiaTheme="minorHAnsi" w:ascii="Times New Roman" w:hAnsi="Times New Roman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r>
                </w:p>
              </w:tc>
              <w:tc>
                <w:tcPr>
                  <w:tcW w:w="1514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napToGrid w:val="false"/>
                    <w:spacing w:before="0" w:after="160"/>
                    <w:jc w:val="center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eastAsiaTheme="minorHAnsi" w:ascii="Times New Roman" w:hAnsi="Times New Roman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r>
                </w:p>
              </w:tc>
            </w:tr>
            <w:tr>
              <w:trPr>
                <w:trHeight w:val="1101" w:hRule="atLeast"/>
              </w:trPr>
              <w:tc>
                <w:tcPr>
                  <w:tcW w:w="60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2</w:t>
                  </w:r>
                </w:p>
              </w:tc>
              <w:tc>
                <w:tcPr>
                  <w:tcW w:w="273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pacing w:before="0" w:after="46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Услуга по проведению диспансеризации государственных гражданских и муниципальных служащих</w:t>
                  </w:r>
                </w:p>
                <w:p>
                  <w:pPr>
                    <w:pStyle w:val="Normal"/>
                    <w:widowControl w:val="false"/>
                    <w:spacing w:before="0" w:after="46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ОКПД/КТРУ:</w:t>
                  </w:r>
                </w:p>
                <w:p>
                  <w:pPr>
                    <w:pStyle w:val="Normal"/>
                    <w:widowControl w:val="false"/>
                    <w:spacing w:before="0" w:after="46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86.21.10.120/</w:t>
                    <w:br/>
                    <w:t>86.21.10.120-00000002</w:t>
                  </w:r>
                </w:p>
              </w:tc>
              <w:tc>
                <w:tcPr>
                  <w:tcW w:w="26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000000"/>
                      <w:kern w:val="0"/>
                      <w:sz w:val="28"/>
                      <w:szCs w:val="28"/>
                      <w:shd w:fill="FFFFFF" w:val="clear"/>
                      <w:lang w:val="ru-RU" w:eastAsia="en-US" w:bidi="ar-SA"/>
                    </w:rPr>
                    <w:t>Половозрастная группа служащих</w:t>
                  </w:r>
                </w:p>
              </w:tc>
              <w:tc>
                <w:tcPr>
                  <w:tcW w:w="2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Мужчина после 40 лет</w:t>
                  </w:r>
                </w:p>
              </w:tc>
              <w:tc>
                <w:tcPr>
                  <w:tcW w:w="337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jc w:val="center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Чел.</w:t>
                  </w:r>
                </w:p>
              </w:tc>
              <w:tc>
                <w:tcPr>
                  <w:tcW w:w="151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jc w:val="center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2</w:t>
                  </w:r>
                </w:p>
              </w:tc>
            </w:tr>
            <w:tr>
              <w:trPr>
                <w:trHeight w:val="473" w:hRule="atLeast"/>
              </w:trPr>
              <w:tc>
                <w:tcPr>
                  <w:tcW w:w="602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spacing w:before="0" w:after="160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eastAsiaTheme="minorHAnsi" w:ascii="Times New Roman" w:hAnsi="Times New Roman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r>
                </w:p>
              </w:tc>
              <w:tc>
                <w:tcPr>
                  <w:tcW w:w="2731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spacing w:before="0" w:after="46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eastAsiaTheme="minorHAnsi" w:ascii="Times New Roman" w:hAnsi="Times New Roman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r>
                </w:p>
              </w:tc>
              <w:tc>
                <w:tcPr>
                  <w:tcW w:w="26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000000"/>
                      <w:kern w:val="0"/>
                      <w:sz w:val="28"/>
                      <w:szCs w:val="28"/>
                      <w:shd w:fill="FFFFFF" w:val="clear"/>
                      <w:lang w:val="ru-RU" w:eastAsia="en-US" w:bidi="ar-SA"/>
                    </w:rPr>
                    <w:t>Категория служащих</w:t>
                  </w:r>
                </w:p>
              </w:tc>
              <w:tc>
                <w:tcPr>
                  <w:tcW w:w="2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000000"/>
                      <w:kern w:val="0"/>
                      <w:sz w:val="28"/>
                      <w:szCs w:val="28"/>
                      <w:shd w:fill="FFFFFF" w:val="clear"/>
                      <w:lang w:val="ru-RU" w:eastAsia="en-US" w:bidi="ar-SA"/>
                    </w:rPr>
                    <w:t>Государственные</w:t>
                  </w:r>
                </w:p>
              </w:tc>
              <w:tc>
                <w:tcPr>
                  <w:tcW w:w="3378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jc w:val="center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eastAsiaTheme="minorHAnsi" w:ascii="Times New Roman" w:hAnsi="Times New Roman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r>
                </w:p>
              </w:tc>
              <w:tc>
                <w:tcPr>
                  <w:tcW w:w="1514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napToGrid w:val="false"/>
                    <w:spacing w:before="0" w:after="160"/>
                    <w:jc w:val="center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eastAsiaTheme="minorHAnsi" w:ascii="Times New Roman" w:hAnsi="Times New Roman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r>
                </w:p>
              </w:tc>
            </w:tr>
            <w:tr>
              <w:trPr>
                <w:trHeight w:val="1089" w:hRule="atLeast"/>
              </w:trPr>
              <w:tc>
                <w:tcPr>
                  <w:tcW w:w="60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3</w:t>
                  </w:r>
                </w:p>
              </w:tc>
              <w:tc>
                <w:tcPr>
                  <w:tcW w:w="273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pacing w:before="0" w:after="46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Услуга по проведению диспансеризации государственных гражданских и муниципальных служащих</w:t>
                  </w:r>
                </w:p>
                <w:p>
                  <w:pPr>
                    <w:pStyle w:val="Normal"/>
                    <w:widowControl w:val="false"/>
                    <w:spacing w:before="0" w:after="46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ОКПД/КТРУ:</w:t>
                  </w:r>
                </w:p>
                <w:p>
                  <w:pPr>
                    <w:pStyle w:val="Normal"/>
                    <w:widowControl w:val="false"/>
                    <w:spacing w:before="0" w:after="46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86.21.10.120/</w:t>
                    <w:br/>
                    <w:t>86.21.10.120-00000003</w:t>
                  </w:r>
                </w:p>
              </w:tc>
              <w:tc>
                <w:tcPr>
                  <w:tcW w:w="26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000000"/>
                      <w:kern w:val="0"/>
                      <w:sz w:val="28"/>
                      <w:szCs w:val="28"/>
                      <w:shd w:fill="FFFFFF" w:val="clear"/>
                      <w:lang w:val="ru-RU" w:eastAsia="en-US" w:bidi="ar-SA"/>
                    </w:rPr>
                    <w:t>Половозрастная группа служащих</w:t>
                  </w:r>
                </w:p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shd w:fill="FFFFFF" w:val="clear"/>
                      <w:lang w:val="ru-RU" w:eastAsia="en-US" w:bidi="ar-SA"/>
                    </w:rPr>
                  </w:pPr>
                  <w:r>
                    <w:rPr>
                      <w:rFonts w:eastAsia="Calibri" w:cs="Times New Roman" w:eastAsiaTheme="minorHAnsi" w:ascii="Times New Roman" w:hAnsi="Times New Roman"/>
                      <w:color w:val="000000"/>
                      <w:kern w:val="0"/>
                      <w:sz w:val="28"/>
                      <w:szCs w:val="28"/>
                      <w:shd w:fill="FFFFFF" w:val="clear"/>
                      <w:lang w:val="ru-RU" w:eastAsia="en-US" w:bidi="ar-SA"/>
                    </w:rPr>
                  </w:r>
                </w:p>
              </w:tc>
              <w:tc>
                <w:tcPr>
                  <w:tcW w:w="2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Женщина до 40 лет</w:t>
                  </w:r>
                </w:p>
              </w:tc>
              <w:tc>
                <w:tcPr>
                  <w:tcW w:w="337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jc w:val="center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Чел.</w:t>
                  </w:r>
                </w:p>
              </w:tc>
              <w:tc>
                <w:tcPr>
                  <w:tcW w:w="151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jc w:val="center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6</w:t>
                  </w:r>
                </w:p>
              </w:tc>
            </w:tr>
            <w:tr>
              <w:trPr>
                <w:trHeight w:val="488" w:hRule="atLeast"/>
              </w:trPr>
              <w:tc>
                <w:tcPr>
                  <w:tcW w:w="602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spacing w:before="0" w:after="160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eastAsiaTheme="minorHAnsi" w:ascii="Times New Roman" w:hAnsi="Times New Roman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r>
                </w:p>
              </w:tc>
              <w:tc>
                <w:tcPr>
                  <w:tcW w:w="2731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spacing w:before="0" w:after="46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eastAsiaTheme="minorHAnsi" w:ascii="Times New Roman" w:hAnsi="Times New Roman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r>
                </w:p>
              </w:tc>
              <w:tc>
                <w:tcPr>
                  <w:tcW w:w="26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000000"/>
                      <w:kern w:val="0"/>
                      <w:sz w:val="28"/>
                      <w:szCs w:val="28"/>
                      <w:shd w:fill="FFFFFF" w:val="clear"/>
                      <w:lang w:val="ru-RU" w:eastAsia="en-US" w:bidi="ar-SA"/>
                    </w:rPr>
                    <w:t>Категория служащих</w:t>
                  </w:r>
                </w:p>
              </w:tc>
              <w:tc>
                <w:tcPr>
                  <w:tcW w:w="2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000000"/>
                      <w:kern w:val="0"/>
                      <w:sz w:val="28"/>
                      <w:szCs w:val="28"/>
                      <w:shd w:fill="FFFFFF" w:val="clear"/>
                      <w:lang w:val="ru-RU" w:eastAsia="en-US" w:bidi="ar-SA"/>
                    </w:rPr>
                    <w:t>Государственные</w:t>
                  </w:r>
                </w:p>
              </w:tc>
              <w:tc>
                <w:tcPr>
                  <w:tcW w:w="3378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jc w:val="center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eastAsiaTheme="minorHAnsi" w:ascii="Times New Roman" w:hAnsi="Times New Roman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r>
                </w:p>
              </w:tc>
              <w:tc>
                <w:tcPr>
                  <w:tcW w:w="1514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napToGrid w:val="false"/>
                    <w:spacing w:before="0" w:after="160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eastAsiaTheme="minorHAnsi" w:ascii="Times New Roman" w:hAnsi="Times New Roman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r>
                </w:p>
              </w:tc>
            </w:tr>
            <w:tr>
              <w:trPr>
                <w:trHeight w:val="1289" w:hRule="atLeast"/>
              </w:trPr>
              <w:tc>
                <w:tcPr>
                  <w:tcW w:w="60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4</w:t>
                  </w:r>
                </w:p>
              </w:tc>
              <w:tc>
                <w:tcPr>
                  <w:tcW w:w="273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pacing w:before="0" w:after="46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Услуга по проведению диспансеризации государственных гражданских и муниципальных служащих</w:t>
                  </w:r>
                </w:p>
                <w:p>
                  <w:pPr>
                    <w:pStyle w:val="Normal"/>
                    <w:widowControl w:val="false"/>
                    <w:spacing w:before="0" w:after="46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ОКПД/КТРУ:</w:t>
                  </w:r>
                </w:p>
                <w:p>
                  <w:pPr>
                    <w:pStyle w:val="Normal"/>
                    <w:widowControl w:val="false"/>
                    <w:spacing w:before="0" w:after="46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86.21.10.120/</w:t>
                    <w:br/>
                    <w:t>86.21.10.120-00000004</w:t>
                  </w:r>
                </w:p>
              </w:tc>
              <w:tc>
                <w:tcPr>
                  <w:tcW w:w="26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000000"/>
                      <w:kern w:val="0"/>
                      <w:sz w:val="28"/>
                      <w:szCs w:val="28"/>
                      <w:shd w:fill="FFFFFF" w:val="clear"/>
                      <w:lang w:val="ru-RU" w:eastAsia="en-US" w:bidi="ar-SA"/>
                    </w:rPr>
                    <w:t>Половозрастная группа служащих</w:t>
                  </w:r>
                </w:p>
              </w:tc>
              <w:tc>
                <w:tcPr>
                  <w:tcW w:w="2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Женщина после 40 лет</w:t>
                  </w:r>
                </w:p>
              </w:tc>
              <w:tc>
                <w:tcPr>
                  <w:tcW w:w="337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jc w:val="center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Чел.</w:t>
                  </w:r>
                </w:p>
              </w:tc>
              <w:tc>
                <w:tcPr>
                  <w:tcW w:w="151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jc w:val="center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20</w:t>
                  </w:r>
                </w:p>
              </w:tc>
            </w:tr>
            <w:tr>
              <w:trPr>
                <w:trHeight w:val="285" w:hRule="atLeast"/>
              </w:trPr>
              <w:tc>
                <w:tcPr>
                  <w:tcW w:w="602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spacing w:before="0" w:after="160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eastAsiaTheme="minorHAnsi" w:ascii="Times New Roman" w:hAnsi="Times New Roman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r>
                </w:p>
              </w:tc>
              <w:tc>
                <w:tcPr>
                  <w:tcW w:w="2731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spacing w:before="0" w:after="160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eastAsiaTheme="minorHAnsi" w:ascii="Times New Roman" w:hAnsi="Times New Roman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r>
                </w:p>
              </w:tc>
              <w:tc>
                <w:tcPr>
                  <w:tcW w:w="26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000000"/>
                      <w:kern w:val="0"/>
                      <w:sz w:val="28"/>
                      <w:szCs w:val="28"/>
                      <w:shd w:fill="FFFFFF" w:val="clear"/>
                      <w:lang w:val="ru-RU" w:eastAsia="en-US" w:bidi="ar-SA"/>
                    </w:rPr>
                    <w:t>Категория служащих</w:t>
                  </w:r>
                </w:p>
              </w:tc>
              <w:tc>
                <w:tcPr>
                  <w:tcW w:w="2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000000"/>
                      <w:kern w:val="0"/>
                      <w:sz w:val="28"/>
                      <w:szCs w:val="28"/>
                      <w:shd w:fill="FFFFFF" w:val="clear"/>
                      <w:lang w:val="ru-RU" w:eastAsia="en-US" w:bidi="ar-SA"/>
                    </w:rPr>
                    <w:t>Государственные</w:t>
                  </w:r>
                </w:p>
              </w:tc>
              <w:tc>
                <w:tcPr>
                  <w:tcW w:w="3378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pacing w:before="0" w:after="160"/>
                    <w:jc w:val="center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eastAsiaTheme="minorHAnsi" w:ascii="Times New Roman" w:hAnsi="Times New Roman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r>
                </w:p>
              </w:tc>
              <w:tc>
                <w:tcPr>
                  <w:tcW w:w="1514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spacing w:before="0" w:after="160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eastAsiaTheme="minorHAnsi" w:ascii="Times New Roman" w:hAnsi="Times New Roman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 w:eastAsia="Calibri" w:cs="Times New Roman" w:eastAsiaTheme="minorHAnsi"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 w:eastAsia="Calibri" w:cs="Times New Roman" w:eastAsiaTheme="minorHAnsi"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 w:eastAsia="Calibri" w:cs="Times New Roman" w:eastAsiaTheme="minorHAnsi"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 w:eastAsia="Calibri" w:cs="Times New Roman" w:eastAsiaTheme="minorHAnsi"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 w:eastAsia="Calibri" w:cs="Times New Roman" w:eastAsiaTheme="minorHAnsi"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</w:r>
          </w:p>
          <w:tbl>
            <w:tblPr>
              <w:tblW w:w="13613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09"/>
              <w:gridCol w:w="6097"/>
              <w:gridCol w:w="2663"/>
              <w:gridCol w:w="4143"/>
            </w:tblGrid>
            <w:tr>
              <w:trPr/>
              <w:tc>
                <w:tcPr>
                  <w:tcW w:w="13612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yle29"/>
                    <w:widowControl w:val="false"/>
                    <w:spacing w:before="0" w:after="160"/>
                    <w:jc w:val="center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b/>
                      <w:bCs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Исследование кала на скрытую кровь иммунохимическим методом для граждан в возрасте 45 лет и старше</w:t>
                  </w:r>
                </w:p>
              </w:tc>
            </w:tr>
            <w:tr>
              <w:trPr/>
              <w:tc>
                <w:tcPr>
                  <w:tcW w:w="709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Style29"/>
                    <w:widowControl w:val="false"/>
                    <w:spacing w:before="0" w:after="160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1</w:t>
                  </w:r>
                </w:p>
              </w:tc>
              <w:tc>
                <w:tcPr>
                  <w:tcW w:w="6097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Style29"/>
                    <w:widowControl w:val="false"/>
                    <w:spacing w:before="0" w:after="160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женщины старше 45 лет и старше</w:t>
                  </w:r>
                </w:p>
              </w:tc>
              <w:tc>
                <w:tcPr>
                  <w:tcW w:w="2663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Style29"/>
                    <w:widowControl w:val="false"/>
                    <w:spacing w:before="0" w:after="160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количество человек</w:t>
                  </w:r>
                </w:p>
              </w:tc>
              <w:tc>
                <w:tcPr>
                  <w:tcW w:w="414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yle29"/>
                    <w:widowControl w:val="false"/>
                    <w:spacing w:before="0" w:after="160"/>
                    <w:jc w:val="center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11</w:t>
                  </w:r>
                </w:p>
              </w:tc>
            </w:tr>
            <w:tr>
              <w:trPr/>
              <w:tc>
                <w:tcPr>
                  <w:tcW w:w="709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Style29"/>
                    <w:widowControl w:val="false"/>
                    <w:spacing w:before="0" w:after="160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2</w:t>
                  </w:r>
                </w:p>
              </w:tc>
              <w:tc>
                <w:tcPr>
                  <w:tcW w:w="6097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Style29"/>
                    <w:widowControl w:val="false"/>
                    <w:spacing w:before="0" w:after="160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мужчины старше 45 лет и старше</w:t>
                  </w:r>
                </w:p>
              </w:tc>
              <w:tc>
                <w:tcPr>
                  <w:tcW w:w="2663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Style29"/>
                    <w:widowControl w:val="false"/>
                    <w:spacing w:before="0" w:after="160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количество человек</w:t>
                  </w:r>
                </w:p>
              </w:tc>
              <w:tc>
                <w:tcPr>
                  <w:tcW w:w="414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yle29"/>
                    <w:widowControl w:val="false"/>
                    <w:spacing w:before="0" w:after="160"/>
                    <w:jc w:val="center"/>
                    <w:rPr>
                      <w:rFonts w:ascii="Times New Roman" w:hAnsi="Times New Roman" w:eastAsia="Calibri" w:cs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 w:eastAsiaTheme="minorHAnsi"/>
                      <w:color w:val="auto"/>
                      <w:kern w:val="0"/>
                      <w:sz w:val="28"/>
                      <w:szCs w:val="28"/>
                      <w:lang w:val="ru-RU" w:eastAsia="en-US" w:bidi="ar-SA"/>
                    </w:rPr>
                    <w:t>2</w:t>
                  </w:r>
                </w:p>
              </w:tc>
            </w:tr>
          </w:tbl>
          <w:p>
            <w:pPr>
              <w:pStyle w:val="Normal"/>
              <w:widowControl w:val="false"/>
              <w:spacing w:before="0" w:after="0"/>
              <w:ind w:firstLine="709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Cs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2. Время прохождения медицинского осмотра одного федерального государственного гражданского служащего - 1 день</w:t>
            </w:r>
          </w:p>
          <w:p>
            <w:pPr>
              <w:pStyle w:val="Normal"/>
              <w:widowControl w:val="false"/>
              <w:spacing w:before="0" w:after="0"/>
              <w:ind w:firstLine="709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Cs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3. Оказание услуг: Исполнителем производи</w:t>
            </w:r>
            <w:r>
              <w:rPr>
                <w:rFonts w:eastAsia="Calibri" w:cs="Times New Roman" w:ascii="Times New Roman" w:hAnsi="Times New Roman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  <w:t xml:space="preserve">тся </w:t>
            </w:r>
            <w:r>
              <w:rPr>
                <w:rFonts w:eastAsia="Calibri" w:cs="Times New Roman" w:ascii="Times New Roman" w:hAnsi="Times New Roman" w:eastAsiaTheme="minorHAnsi"/>
                <w:iCs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медицинский осмотр</w:t>
            </w:r>
            <w:r>
              <w:rPr>
                <w:rFonts w:eastAsia="Calibri" w:cs="Times New Roman" w:ascii="Times New Roman" w:hAnsi="Times New Roman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  <w:t xml:space="preserve"> по поименному списку подлежащих прохождению </w:t>
            </w:r>
            <w:r>
              <w:rPr>
                <w:rFonts w:eastAsia="Calibri" w:cs="Times New Roman" w:ascii="Times New Roman" w:hAnsi="Times New Roman" w:eastAsiaTheme="minorHAnsi"/>
                <w:b w:val="false"/>
                <w:bCs w:val="false"/>
                <w:iCs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 xml:space="preserve">диспансеризации </w:t>
            </w:r>
            <w:r>
              <w:rPr>
                <w:rFonts w:eastAsia="Calibri" w:cs="Times New Roman" w:ascii="Times New Roman" w:hAnsi="Times New Roman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  <w:t>в 2026 году по направлению Заказчика.</w:t>
            </w:r>
          </w:p>
          <w:p>
            <w:pPr>
              <w:pStyle w:val="LOnormal"/>
              <w:widowControl w:val="false"/>
              <w:jc w:val="both"/>
              <w:rPr/>
            </w:pPr>
            <w:r>
              <w:rPr>
                <w:rFonts w:eastAsia="Calibri" w:cs="Times New Roman" w:ascii="Times New Roman" w:hAnsi="Times New Roman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  <w:tab/>
              <w:t xml:space="preserve">Исполнитель обязуется самостоятельно и за свой счет осуществлять все необходимые запросы и получать сведения о </w:t>
            </w:r>
            <w:r>
              <w:rPr>
                <w:rStyle w:val="2"/>
                <w:rFonts w:eastAsia="Calibri" w:cs="Times New Roman" w:ascii="Times New Roman" w:hAnsi="Times New Roman" w:eastAsiaTheme="minorHAnsi"/>
                <w:b w:val="false"/>
                <w:bCs w:val="false"/>
                <w:iCs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федеральных государственных гражданских служащих</w:t>
            </w:r>
            <w:r>
              <w:rPr>
                <w:rFonts w:eastAsia="Calibri" w:cs="Times New Roman" w:ascii="Times New Roman" w:hAnsi="Times New Roman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  <w:t>, подлежащих осмотру, из следующих информационных систем:</w:t>
            </w:r>
          </w:p>
          <w:p>
            <w:pPr>
              <w:pStyle w:val="LOnormal"/>
              <w:widowControl w:val="false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  <w:tab/>
              <w:t>- федеральный регистр лиц, страдающих психическими расстройствами и находящихся под диспансерным наблюдением (база данных психиатрического диспансера);</w:t>
            </w:r>
          </w:p>
          <w:p>
            <w:pPr>
              <w:pStyle w:val="LOnormal"/>
              <w:widowControl w:val="false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  <w:tab/>
              <w:t>- единая государственная информационная система в сфере здравоохранения (ЕГИСЗ) в части сведений, связанных с наркологическим учетом (база данных наркологического диспансера).</w:t>
            </w:r>
          </w:p>
          <w:p>
            <w:pPr>
              <w:pStyle w:val="LOnormal"/>
              <w:widowControl w:val="false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  <w:tab/>
              <w:t xml:space="preserve">Исполнитель гарантирует, что обладает всеми необходимыми юридическими и техническими возможностями (включая соответствующие лицензии, аккредитованные информационные системы, электронные подписи и разрешения на обработку персональных данных) для законного доступа к указанным информационным ресурсам и получения официальных ответов (справок, выписок) в форме, имеющей юридическую силу для оформления Заключительного акта по результатам </w:t>
            </w:r>
            <w:r>
              <w:rPr>
                <w:rFonts w:eastAsia="Calibri" w:cs="Times New Roman" w:ascii="Times New Roman" w:hAnsi="Times New Roman" w:eastAsiaTheme="minorHAnsi"/>
                <w:iCs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осмотра</w:t>
            </w:r>
            <w:r>
              <w:rPr>
                <w:rFonts w:eastAsia="Calibri" w:cs="Times New Roman" w:ascii="Times New Roman" w:hAnsi="Times New Roman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  <w:t>.</w:t>
            </w:r>
          </w:p>
          <w:p>
            <w:pPr>
              <w:pStyle w:val="Normal"/>
              <w:widowControl w:val="false"/>
              <w:spacing w:before="0" w:after="0"/>
              <w:ind w:firstLine="709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  <w:t>4. Требования к качеству оказания Услуг:</w:t>
            </w:r>
          </w:p>
          <w:p>
            <w:pPr>
              <w:pStyle w:val="Normal"/>
              <w:widowControl w:val="false"/>
              <w:spacing w:before="0" w:after="0"/>
              <w:ind w:firstLine="709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  <w:t>Наличие лицензии на медицинскую деятельность по оказанию специализированной медицинской помощи</w:t>
            </w:r>
            <w:r>
              <w:rPr>
                <w:rFonts w:eastAsia="Calibri" w:cs="Times New Roman" w:ascii="Times New Roman" w:hAnsi="Times New Roman" w:eastAsiaTheme="minorHAnsi"/>
                <w:iCs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,</w:t>
            </w:r>
            <w:r>
              <w:rPr>
                <w:rFonts w:eastAsia="Calibri" w:cs="Times New Roman" w:ascii="Times New Roman" w:hAnsi="Times New Roman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  <w:t xml:space="preserve"> в соответствии с пунктом 46 части 1 статьи 12 Федерального закона от 4 мая 2011 г. № 99-ФЗ, Постановлением Правительства РФ от 1 июня 2021 г. № 852 «О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«Сколково») и признании утратившими силу некоторых актов Правительства Российской Федерации».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  <w:t>Все применяемые при оказании Исполнителем услуги, материалы и оборудование, должны быть сертифицированы и разрешены к применению на территории Российской Федерации.</w:t>
            </w:r>
          </w:p>
          <w:p>
            <w:pPr>
              <w:pStyle w:val="Normal"/>
              <w:widowControl w:val="false"/>
              <w:spacing w:lineRule="auto" w:line="240" w:before="0" w:after="0"/>
              <w:ind w:firstLine="709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  <w:t>Место осуществления лицензируемого вида деятельности – Астраханская область.</w:t>
            </w:r>
          </w:p>
          <w:p>
            <w:pPr>
              <w:pStyle w:val="Normal"/>
              <w:widowControl w:val="false"/>
              <w:shd w:val="clear" w:color="auto" w:fill="FFFFFF"/>
              <w:spacing w:before="0" w:after="0"/>
              <w:ind w:right="27" w:firstLine="72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b w:val="false"/>
                <w:i w:val="false"/>
                <w:iCs/>
                <w:caps w:val="false"/>
                <w:smallCaps w:val="false"/>
                <w:color w:val="auto"/>
                <w:spacing w:val="0"/>
                <w:kern w:val="0"/>
                <w:sz w:val="28"/>
                <w:szCs w:val="28"/>
                <w:lang w:val="ru-RU" w:eastAsia="en-US" w:bidi="ar-SA"/>
              </w:rPr>
              <w:t xml:space="preserve">Участник закупки должен иметь действующую лицензию на осуществление медицинской деятельности, с наличием в составе работ (услуг), выполняемых (оказываемых) в составе лицензируемого вида деятельности: проведение </w:t>
            </w:r>
            <w:r>
              <w:rPr>
                <w:rFonts w:eastAsia="Calibri" w:cs="Times New Roman" w:ascii="Times New Roman" w:hAnsi="Times New Roman" w:eastAsiaTheme="minorHAnsi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 xml:space="preserve">диспансеризации федеральных государственных гражданских служащих, </w:t>
            </w:r>
            <w:r>
              <w:rPr>
                <w:rFonts w:eastAsia="Calibri" w:cs="Times New Roman" w:ascii="Times New Roman" w:hAnsi="Times New Roman" w:eastAsiaTheme="minorHAnsi"/>
                <w:b w:val="false"/>
                <w:i w:val="false"/>
                <w:iCs/>
                <w:caps w:val="false"/>
                <w:smallCaps w:val="false"/>
                <w:color w:val="auto"/>
                <w:spacing w:val="0"/>
                <w:kern w:val="0"/>
                <w:sz w:val="28"/>
                <w:szCs w:val="28"/>
                <w:lang w:val="ru-RU" w:eastAsia="en-US" w:bidi="ar-SA"/>
              </w:rPr>
              <w:t>психиатрическое и наркологическое освидетельствование. Участник закупки предоставляет копию действующей лицензии и (или) копию выписки из реестра лицензий и (или) сведения о записи в реестре лицензий.</w:t>
            </w:r>
          </w:p>
          <w:p>
            <w:pPr>
              <w:pStyle w:val="Normal"/>
              <w:widowControl w:val="false"/>
              <w:spacing w:before="0" w:after="0"/>
              <w:ind w:firstLine="709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Cs/>
                <w:color w:val="auto"/>
                <w:kern w:val="0"/>
                <w:sz w:val="28"/>
                <w:szCs w:val="28"/>
                <w:lang w:val="ru-RU" w:eastAsia="en-US" w:bidi="ar-SA"/>
              </w:rPr>
              <w:t>5 Требование по безопасности оказания Услуг:</w:t>
            </w:r>
          </w:p>
          <w:p>
            <w:pPr>
              <w:pStyle w:val="Normal"/>
              <w:widowControl w:val="false"/>
              <w:spacing w:before="0" w:after="0"/>
              <w:ind w:firstLine="709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>Постановление Главного государственного санитарного врача РФ от 24 декабря 2020 г. № 44                           «Об утверждении санитарных правил СП 2.1.3678-20 «Санитарно-эпидемиологические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услуг»</w:t>
            </w:r>
          </w:p>
          <w:p>
            <w:pPr>
              <w:pStyle w:val="Normal"/>
              <w:widowControl w:val="false"/>
              <w:spacing w:lineRule="auto" w:line="240" w:before="0" w:after="0"/>
              <w:ind w:right="140" w:firstLine="709"/>
              <w:jc w:val="both"/>
              <w:rPr/>
            </w:pPr>
            <w:r>
              <w:rPr>
                <w:rStyle w:val="2"/>
                <w:rFonts w:eastAsia="Calibri" w:cs="Times New Roman" w:ascii="Times New Roman" w:hAnsi="Times New Roman" w:eastAsiaTheme="minorHAnsi"/>
                <w:bCs/>
                <w:iCs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Style w:val="2"/>
                <w:rFonts w:eastAsia="Calibri" w:cs="Times New Roman" w:ascii="Times New Roman" w:hAnsi="Times New Roman" w:eastAsiaTheme="minorHAnsi"/>
                <w:b w:val="false"/>
                <w:bCs w:val="false"/>
                <w:iCs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приказа Минздравсоцразвития РФ от 14.04.2025 № 201н «Об утверждении порядка прохождения диспансеризации федеральными государственными гражданскими служащими, государственными гражданскими служащими субъектов российской федерации и муниципальными служащими, перечня заболеваний, препятствующих поступлению на государственную гражданскую службу российской федерации и муниципальную службу или ее прохождению, а также формы заключения медицинской организации»;</w:t>
            </w:r>
          </w:p>
          <w:p>
            <w:pPr>
              <w:pStyle w:val="Normal"/>
              <w:widowControl w:val="false"/>
              <w:spacing w:before="0" w:after="0"/>
              <w:ind w:firstLine="709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>6.</w:t>
            </w: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 xml:space="preserve"> Д</w:t>
            </w:r>
            <w:r>
              <w:rPr>
                <w:rFonts w:eastAsia="Calibri" w:cs="Times New Roman" w:ascii="Times New Roman" w:hAnsi="Times New Roman" w:eastAsiaTheme="minorHAnsi"/>
                <w:b w:val="false"/>
                <w:bCs w:val="false"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 xml:space="preserve">испансеризация 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>является завершенным в случае наличия заключений врачей-специалистов и результатов лабораторных и функциональных исследований, с учетом результатов ранее проведенных                          (не позднее одного года) медицинских осмотров, диспансеризации.</w:t>
            </w:r>
          </w:p>
          <w:p>
            <w:pPr>
              <w:pStyle w:val="Normal"/>
              <w:widowControl w:val="false"/>
              <w:spacing w:before="0" w:after="0"/>
              <w:ind w:firstLine="709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 xml:space="preserve">В случаях затруднения в оценке результатов осмотра и определении профессиональной пригодности </w:t>
            </w: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федерального государственного гражданского служащего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 xml:space="preserve"> в связи с имеющимся у него заболеванием </w:t>
            </w: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федеральному государственномугражданскому служащему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 xml:space="preserve"> выдается справка о необходимости дополнительного медицинского обследования. Работодателю направляется информация о выдаче такой справки, федеральный государственный гражданский служащий считается не прошедшим </w:t>
            </w:r>
            <w:r>
              <w:rPr>
                <w:rFonts w:eastAsia="Calibri" w:cs="Times New Roman" w:ascii="Times New Roman" w:hAnsi="Times New Roman" w:eastAsiaTheme="minorHAnsi"/>
                <w:b w:val="false"/>
                <w:bCs w:val="false"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 xml:space="preserve">диспансеризацию 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>с учетом выявленных заболеваний (состояний) и медицинских противопоказаний к осуществлению отдельных видов работ.</w:t>
            </w:r>
          </w:p>
          <w:p>
            <w:pPr>
              <w:pStyle w:val="Normal"/>
              <w:widowControl w:val="false"/>
              <w:spacing w:before="0" w:after="0"/>
              <w:ind w:firstLine="709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 xml:space="preserve">7. </w:t>
            </w: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 xml:space="preserve">По окончанию проведения </w:t>
            </w:r>
            <w:r>
              <w:rPr>
                <w:rFonts w:eastAsia="Calibri" w:cs="Times New Roman" w:ascii="Times New Roman" w:hAnsi="Times New Roman" w:eastAsiaTheme="minorHAnsi"/>
                <w:b w:val="false"/>
                <w:bCs w:val="false"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диспансеризации</w:t>
            </w: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 xml:space="preserve"> Исполнитель предоставляет заказчику следующие документы:</w:t>
            </w:r>
          </w:p>
          <w:p>
            <w:pPr>
              <w:pStyle w:val="Style61"/>
              <w:widowControl w:val="false"/>
              <w:tabs>
                <w:tab w:val="clear" w:pos="708"/>
                <w:tab w:val="left" w:pos="142" w:leader="none"/>
                <w:tab w:val="left" w:pos="709" w:leader="none"/>
                <w:tab w:val="left" w:pos="1418" w:leader="none"/>
              </w:tabs>
              <w:spacing w:lineRule="auto" w:line="240" w:before="0" w:after="0"/>
              <w:ind w:right="27" w:firstLine="567"/>
              <w:contextualSpacing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- медицинские заключения на каждого федерального государственного гражданского служащего.</w:t>
            </w:r>
          </w:p>
          <w:p>
            <w:pPr>
              <w:pStyle w:val="Style61"/>
              <w:widowControl w:val="false"/>
              <w:tabs>
                <w:tab w:val="clear" w:pos="708"/>
                <w:tab w:val="left" w:pos="142" w:leader="none"/>
                <w:tab w:val="left" w:pos="709" w:leader="none"/>
                <w:tab w:val="left" w:pos="1418" w:leader="none"/>
              </w:tabs>
              <w:spacing w:lineRule="auto" w:line="240" w:before="0" w:after="0"/>
              <w:ind w:right="27" w:firstLine="567"/>
              <w:contextualSpacing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- флюрография на каждого федерального государственного гражданского служащего.</w:t>
            </w:r>
          </w:p>
          <w:p>
            <w:pPr>
              <w:pStyle w:val="Style61"/>
              <w:widowControl w:val="false"/>
              <w:tabs>
                <w:tab w:val="clear" w:pos="708"/>
                <w:tab w:val="left" w:pos="142" w:leader="none"/>
                <w:tab w:val="left" w:pos="709" w:leader="none"/>
                <w:tab w:val="left" w:pos="1418" w:leader="none"/>
              </w:tabs>
              <w:spacing w:lineRule="auto" w:line="240" w:before="0" w:after="0"/>
              <w:ind w:right="27" w:firstLine="567"/>
              <w:contextualSpacing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- заключительный акт по результатам диспансеризации.</w:t>
            </w:r>
          </w:p>
          <w:p>
            <w:pPr>
              <w:pStyle w:val="Style61"/>
              <w:widowControl w:val="false"/>
              <w:tabs>
                <w:tab w:val="clear" w:pos="708"/>
                <w:tab w:val="left" w:pos="142" w:leader="none"/>
                <w:tab w:val="left" w:pos="709" w:leader="none"/>
                <w:tab w:val="left" w:pos="1418" w:leader="none"/>
              </w:tabs>
              <w:spacing w:lineRule="auto" w:line="240" w:before="0" w:after="0"/>
              <w:ind w:right="27" w:firstLine="567"/>
              <w:contextualSpacing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- акт выполненных работ с учетом проведенных медицинских услуг по количеству людей.</w:t>
            </w:r>
          </w:p>
          <w:p>
            <w:pPr>
              <w:pStyle w:val="Normal"/>
              <w:widowControl w:val="false"/>
              <w:spacing w:before="0" w:after="0"/>
              <w:ind w:firstLine="709"/>
              <w:jc w:val="both"/>
              <w:rPr/>
            </w:pPr>
            <w:r>
              <w:rPr>
                <w:rStyle w:val="2"/>
                <w:rFonts w:eastAsia="Calibri" w:cs="Times New Roman" w:ascii="Times New Roman" w:hAnsi="Times New Roman" w:eastAsiaTheme="minorHAnsi"/>
                <w:b w:val="false"/>
                <w:bCs w:val="false"/>
                <w:iCs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Заключение оформляется в соответствие с приложением №3  приказа Минздравсоцразвития РФ от 14.04.2025 № 201н «Об утверждении порядка прохождения диспансеризации федеральными государственными гражданскими служащими, государственными гражданскими служащими субъектов российской федерации и муниципальными служащими, перечня заболеваний, препятствующих поступлению на государственную гражданскую службу российской федерации и муниципальную службу или ее прохождению, а также формы заключения медицинской организации».</w:t>
            </w:r>
          </w:p>
          <w:p>
            <w:pPr>
              <w:pStyle w:val="Normal"/>
              <w:widowControl w:val="false"/>
              <w:spacing w:before="0" w:after="0"/>
              <w:ind w:firstLine="709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 xml:space="preserve">8. По итогам проведения </w:t>
            </w:r>
            <w:r>
              <w:rPr>
                <w:rFonts w:eastAsia="Calibri" w:cs="Times New Roman" w:ascii="Times New Roman" w:hAnsi="Times New Roman" w:eastAsiaTheme="minorHAnsi"/>
                <w:b w:val="false"/>
                <w:bCs w:val="false"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 xml:space="preserve">диспансеризации 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>Исполнитель не позднее чем через 30 календарных дней после завершения проведения медицинских осмотров обобщает их результаты и составляет заключительный акт.</w:t>
            </w:r>
          </w:p>
          <w:p>
            <w:pPr>
              <w:pStyle w:val="Normal"/>
              <w:widowControl w:val="false"/>
              <w:spacing w:before="0" w:after="0"/>
              <w:ind w:firstLine="709"/>
              <w:jc w:val="both"/>
              <w:rPr/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 xml:space="preserve">На основании результатов </w:t>
            </w:r>
            <w:r>
              <w:rPr>
                <w:rFonts w:eastAsia="Calibri" w:cs="Times New Roman" w:ascii="Times New Roman" w:hAnsi="Times New Roman" w:eastAsiaTheme="minorHAnsi"/>
                <w:b w:val="false"/>
                <w:bCs w:val="false"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диспансеризации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 xml:space="preserve"> даются рекомендации по профилактике заболеваний, в том числе профессиональных заболеваний.</w:t>
            </w: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 xml:space="preserve">Результаты медицинского осмотра могут использоваться работодателем при установлении принадлежности </w:t>
            </w:r>
            <w:r>
              <w:rPr>
                <w:rStyle w:val="2"/>
                <w:rFonts w:eastAsia="Calibri" w:cs="Times New Roman" w:ascii="Times New Roman" w:hAnsi="Times New Roman" w:eastAsiaTheme="minorHAnsi"/>
                <w:b w:val="false"/>
                <w:bCs w:val="false"/>
                <w:iCs/>
                <w:color w:val="000000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>федеральными государственными гражданскими служащими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 xml:space="preserve"> к одной из групп риска развития профессиональных заболеваний.</w:t>
            </w:r>
          </w:p>
        </w:tc>
      </w:tr>
      <w:tr>
        <w:trPr>
          <w:trHeight w:val="566" w:hRule="atLeast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2.2</w:t>
            </w:r>
          </w:p>
        </w:tc>
        <w:tc>
          <w:tcPr>
            <w:tcW w:w="138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При закупке товара (в том числе поставляемого Заказчику при выполнении закупаемых работ, оказании закупаемых услуг)</w:t>
            </w:r>
          </w:p>
        </w:tc>
      </w:tr>
      <w:tr>
        <w:trPr>
          <w:trHeight w:val="134" w:hRule="atLeast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>п/п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ind w:left="-107" w:right="-46" w:hanging="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>Наименование товара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ind w:left="-108" w:right="-98" w:hanging="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>Номер позиции Каталога товаров, работ, услуг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8" w:right="-103" w:hanging="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>Наименование характеристики товара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ind w:left="-108" w:right="-103" w:hanging="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>Значение характеристики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ind w:left="-108" w:right="-128" w:hanging="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>Единица измерения характеристики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ind w:right="-66" w:hanging="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>Инструкция по заполнению характеристики в заявке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ind w:left="-108" w:right="-108" w:hanging="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>Обоснование включения дополнительной информации в сведения о товаре, работе, услуге</w:t>
            </w:r>
          </w:p>
        </w:tc>
      </w:tr>
      <w:tr>
        <w:trPr>
          <w:trHeight w:val="613" w:hRule="atLeast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ind w:left="-107" w:right="-46" w:hanging="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 w:before="0" w:after="16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ind w:left="-108" w:right="-103" w:hanging="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ind w:right="-103" w:hanging="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ind w:left="-108" w:right="-128" w:hanging="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</w:tr>
      <w:tr>
        <w:trPr>
          <w:trHeight w:val="675" w:hRule="atLeast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3</w:t>
            </w:r>
          </w:p>
        </w:tc>
        <w:tc>
          <w:tcPr>
            <w:tcW w:w="138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Требования к гарантии качества товара, работы, услуги, а также требования к гарантийному сроку и (или) объему предоставления гарантий их качества, к гарантийному обслуживанию</w:t>
            </w:r>
          </w:p>
        </w:tc>
      </w:tr>
      <w:tr>
        <w:trPr>
          <w:trHeight w:val="675" w:hRule="atLeast"/>
        </w:trPr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1384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</w:tbl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f2"/>
        <w:tblW w:w="1468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899"/>
        <w:gridCol w:w="1954"/>
        <w:gridCol w:w="884"/>
        <w:gridCol w:w="2943"/>
      </w:tblGrid>
      <w:tr>
        <w:trPr>
          <w:trHeight w:val="956" w:hRule="atLeast"/>
        </w:trPr>
        <w:tc>
          <w:tcPr>
            <w:tcW w:w="8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Начальник управления материально-технического обеспечения Главного управления МЧС России по Астраханской области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8"/>
                <w:szCs w:val="28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полковник внутренней службы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pBdr>
                <w:bottom w:val="single" w:sz="12" w:space="1" w:color="000000"/>
              </w:pBdr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pBdr>
                <w:bottom w:val="single" w:sz="12" w:space="1" w:color="000000"/>
              </w:pBdr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(подпись)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2"/>
                <w:szCs w:val="28"/>
              </w:rPr>
            </w: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pBdr>
                <w:bottom w:val="single" w:sz="12" w:space="1" w:color="000000"/>
              </w:pBdr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А.В. Якунин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(ФИО)</w:t>
            </w:r>
          </w:p>
        </w:tc>
      </w:tr>
      <w:tr>
        <w:trPr>
          <w:trHeight w:val="965" w:hRule="atLeast"/>
        </w:trPr>
        <w:tc>
          <w:tcPr>
            <w:tcW w:w="8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Начальник отдела медико-психологического обеспечения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управления материально-технического обеспечения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shd w:fill="FFFFFF" w:val="clear"/>
                <w:lang w:val="ru-RU" w:eastAsia="en-US" w:bidi="ar-SA"/>
              </w:rPr>
              <w:t>Главного управления МЧС России по Астраханской области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shd w:fill="FFFFFF" w:val="clear"/>
                <w:lang w:val="ru-RU" w:eastAsia="en-US" w:bidi="ar-SA"/>
              </w:rPr>
              <w:t>старший лейтенант внутренней службы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pBdr>
                <w:bottom w:val="single" w:sz="12" w:space="1" w:color="000000"/>
              </w:pBdr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(подпись)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2"/>
                <w:szCs w:val="28"/>
              </w:rPr>
            </w: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pBdr>
                <w:bottom w:val="single" w:sz="12" w:space="1" w:color="000000"/>
              </w:pBdr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Е.П. Ермилова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(ФИО)</w:t>
            </w:r>
          </w:p>
        </w:tc>
      </w:tr>
    </w:tbl>
    <w:p>
      <w:pPr>
        <w:pStyle w:val="Normal"/>
        <w:widowControl w:val="false"/>
        <w:suppressAutoHyphens w:val="true"/>
        <w:bidi w:val="0"/>
        <w:spacing w:lineRule="auto" w:line="240" w:before="0" w:after="0"/>
        <w:ind w:left="10828" w:right="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10828" w:right="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10828" w:right="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10828" w:right="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10828" w:right="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10828" w:right="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10828" w:right="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10828" w:right="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10828" w:right="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10828" w:right="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10828" w:right="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10828" w:right="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10828" w:right="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10828" w:right="0" w:hanging="0"/>
        <w:jc w:val="center"/>
        <w:rPr>
          <w:sz w:val="28"/>
          <w:szCs w:val="28"/>
        </w:rPr>
      </w:pPr>
      <w:r>
        <w:rPr/>
      </w:r>
    </w:p>
    <w:sectPr>
      <w:headerReference w:type="default" r:id="rId3"/>
      <w:type w:val="nextPage"/>
      <w:pgSz w:orient="landscape" w:w="16838" w:h="11906"/>
      <w:pgMar w:left="1134" w:right="1134" w:gutter="0" w:header="585" w:top="698" w:footer="0" w:bottom="567"/>
      <w:pgNumType w:fmt="decimal"/>
      <w:formProt w:val="false"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1"/>
      <w:widowControl/>
      <w:numPr>
        <w:ilvl w:val="0"/>
        <w:numId w:val="0"/>
      </w:numPr>
      <w:shd w:val="clear" w:fill="FFFFFF"/>
      <w:tabs>
        <w:tab w:val="clear" w:pos="708"/>
        <w:tab w:val="left" w:pos="9465" w:leader="none"/>
      </w:tabs>
      <w:suppressAutoHyphens w:val="true"/>
      <w:bidi w:val="0"/>
      <w:spacing w:lineRule="atLeast" w:line="264" w:before="0" w:after="167"/>
      <w:ind w:left="9128" w:right="0" w:hanging="0"/>
      <w:contextualSpacing/>
      <w:jc w:val="both"/>
      <w:outlineLvl w:val="0"/>
      <w:rPr>
        <w:rFonts w:ascii="Times New Roman" w:hAnsi="Times New Roman" w:cs="Times New Roman"/>
        <w:bCs/>
        <w:kern w:val="2"/>
        <w:sz w:val="28"/>
        <w:szCs w:val="28"/>
      </w:rPr>
    </w:pPr>
    <w:r>
      <w:rPr>
        <w:rFonts w:cs="Times New Roman" w:ascii="Times New Roman" w:hAnsi="Times New Roman"/>
        <w:bCs/>
        <w:kern w:val="2"/>
        <w:sz w:val="28"/>
        <w:szCs w:val="28"/>
      </w:rPr>
    </w:r>
  </w:p>
</w:hdr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7585e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2f58a3"/>
    <w:rPr/>
  </w:style>
  <w:style w:type="character" w:styleId="Style15" w:customStyle="1">
    <w:name w:val="Нижний колонтитул Знак"/>
    <w:basedOn w:val="DefaultParagraphFont"/>
    <w:uiPriority w:val="99"/>
    <w:qFormat/>
    <w:rsid w:val="002f58a3"/>
    <w:rPr/>
  </w:style>
  <w:style w:type="character" w:styleId="Style16" w:customStyle="1">
    <w:name w:val="Текст выноски Знак"/>
    <w:basedOn w:val="DefaultParagraphFont"/>
    <w:uiPriority w:val="99"/>
    <w:semiHidden/>
    <w:qFormat/>
    <w:rsid w:val="009f454e"/>
    <w:rPr>
      <w:rFonts w:ascii="Tahoma" w:hAnsi="Tahoma" w:cs="Tahoma"/>
      <w:sz w:val="16"/>
      <w:szCs w:val="16"/>
    </w:rPr>
  </w:style>
  <w:style w:type="character" w:styleId="Style17">
    <w:name w:val="Выделение"/>
    <w:qFormat/>
    <w:rPr>
      <w:i/>
      <w:iCs/>
    </w:rPr>
  </w:style>
  <w:style w:type="character" w:styleId="Style18">
    <w:name w:val="Интернет-ссылка"/>
    <w:rPr>
      <w:color w:val="000080"/>
      <w:u w:val="single"/>
      <w:lang w:val="zxx" w:eastAsia="zxx" w:bidi="zxx"/>
    </w:rPr>
  </w:style>
  <w:style w:type="character" w:styleId="2">
    <w:name w:val="Основной текст (2)"/>
    <w:qFormat/>
    <w:rPr>
      <w:rFonts w:ascii="Times New Roman" w:hAnsi="Times New Roman" w:cs="Times New Roman"/>
      <w:b/>
      <w:color w:val="000000"/>
      <w:spacing w:val="0"/>
      <w:w w:val="100"/>
      <w:position w:val="0"/>
      <w:sz w:val="22"/>
      <w:sz w:val="22"/>
      <w:u w:val="none"/>
      <w:vertAlign w:val="baseline"/>
      <w:lang w:val="ru-RU"/>
    </w:rPr>
  </w:style>
  <w:style w:type="character" w:styleId="Style19">
    <w:name w:val="Посещённая гиперссылка"/>
    <w:rPr>
      <w:color w:val="800080"/>
      <w:u w:val="single"/>
    </w:rPr>
  </w:style>
  <w:style w:type="character" w:styleId="Style20">
    <w:name w:val="Цветовое выделение для Текст"/>
    <w:qFormat/>
    <w:rPr/>
  </w:style>
  <w:style w:type="paragraph" w:styleId="Style21">
    <w:name w:val="Заголовок"/>
    <w:basedOn w:val="Normal"/>
    <w:next w:val="Style22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2">
    <w:name w:val="Body Text"/>
    <w:basedOn w:val="Normal"/>
    <w:pPr>
      <w:spacing w:lineRule="auto" w:line="276" w:before="0" w:after="140"/>
    </w:pPr>
    <w:rPr/>
  </w:style>
  <w:style w:type="paragraph" w:styleId="Style23">
    <w:name w:val="List"/>
    <w:basedOn w:val="Style22"/>
    <w:pPr/>
    <w:rPr>
      <w:rFonts w:ascii="PT Astra Serif" w:hAnsi="PT Astra Serif" w:cs="Noto Sans Devanagari"/>
    </w:rPr>
  </w:style>
  <w:style w:type="paragraph" w:styleId="Style24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1" w:customStyle="1">
    <w:name w:val="Заголовок1"/>
    <w:basedOn w:val="Normal"/>
    <w:next w:val="Style22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6" w:customStyle="1">
    <w:name w:val="Колонтитул"/>
    <w:basedOn w:val="Normal"/>
    <w:qFormat/>
    <w:pPr/>
    <w:rPr/>
  </w:style>
  <w:style w:type="paragraph" w:styleId="Style27">
    <w:name w:val="Header"/>
    <w:basedOn w:val="Normal"/>
    <w:uiPriority w:val="99"/>
    <w:unhideWhenUsed/>
    <w:rsid w:val="002f58a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8">
    <w:name w:val="Footer"/>
    <w:basedOn w:val="Normal"/>
    <w:uiPriority w:val="99"/>
    <w:unhideWhenUsed/>
    <w:rsid w:val="002f58a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9f454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9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0" w:customStyle="1">
    <w:name w:val="Заголовок таблицы"/>
    <w:basedOn w:val="Style29"/>
    <w:qFormat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f96f11"/>
    <w:pPr>
      <w:spacing w:before="0" w:after="160"/>
      <w:ind w:left="720" w:hanging="0"/>
      <w:contextualSpacing/>
    </w:pPr>
    <w:rPr/>
  </w:style>
  <w:style w:type="paragraph" w:styleId="LOnormal">
    <w:name w:val="LO-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Default">
    <w:name w:val="Default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Style61">
    <w:name w:val="Style6"/>
    <w:basedOn w:val="Normal"/>
    <w:qFormat/>
    <w:pPr>
      <w:widowControl w:val="false"/>
      <w:spacing w:lineRule="exact" w:line="292"/>
      <w:jc w:val="both"/>
    </w:pPr>
    <w:rPr>
      <w:rFonts w:ascii="Arial" w:hAnsi="Arial" w:eastAsia="Times New Roman" w:cs="Arial"/>
      <w:sz w:val="24"/>
      <w:szCs w:val="24"/>
    </w:rPr>
  </w:style>
  <w:style w:type="paragraph" w:styleId="TableParagraph">
    <w:name w:val="Table Paragraph"/>
    <w:basedOn w:val="Normal"/>
    <w:qFormat/>
    <w:pPr/>
    <w:rPr/>
  </w:style>
  <w:style w:type="paragraph" w:styleId="Style31">
    <w:name w:val="Абзац списка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 w:eastAsia="Calibri" w:cs="Calibri"/>
      <w:sz w:val="20"/>
      <w:szCs w:val="20"/>
    </w:rPr>
  </w:style>
  <w:style w:type="paragraph" w:styleId="21">
    <w:name w:val="Основной текст2"/>
    <w:basedOn w:val="Normal"/>
    <w:qFormat/>
    <w:pPr>
      <w:shd w:val="clear" w:fill="FFFFFF"/>
      <w:spacing w:lineRule="exact" w:line="418" w:before="0" w:after="360"/>
      <w:ind w:hanging="1980"/>
      <w:jc w:val="center"/>
    </w:pPr>
    <w:rPr>
      <w:sz w:val="25"/>
      <w:szCs w:val="20"/>
    </w:rPr>
  </w:style>
  <w:style w:type="paragraph" w:styleId="S1">
    <w:name w:val="s_1"/>
    <w:basedOn w:val="Normal"/>
    <w:qFormat/>
    <w:pPr>
      <w:spacing w:before="280" w:after="28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uiPriority w:val="39"/>
    <w:rsid w:val="00e2765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zakupki.gov.ru/epz/ktru/ktruCard/commonInfo.html?itemVersionId=101337" TargetMode="External"/><Relationship Id="rId3" Type="http://schemas.openxmlformats.org/officeDocument/2006/relationships/header" Target="head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45591F-F664-42F2-8B03-EC46B11FE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1195</TotalTime>
  <Application>LibreOffice/7.3.6.2$Linux_X86_64 LibreOffice_project/30$Build-2</Application>
  <AppVersion>15.0000</AppVersion>
  <Pages>7</Pages>
  <Words>1136</Words>
  <Characters>8754</Characters>
  <CharactersWithSpaces>9835</CharactersWithSpaces>
  <Paragraphs>126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2026-02-03T08:21:00Z</dcterms:created>
  <dc:creator>Иванов</dc:creator>
  <dc:description/>
  <dc:language>ru-RU</dc:language>
  <cp:lastModifiedBy/>
  <dcterms:modified xsi:type="dcterms:W3CDTF">2026-10-05T10:39:31Z</dcterms:modified>
  <cp:revision>174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