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CellMar>
          <w:left w:w="0" w:type="dxa"/>
          <w:right w:w="0" w:type="dxa"/>
        </w:tblCellMar>
        <w:tblLook w:val="0000" w:firstRow="0" w:lastRow="0" w:firstColumn="0" w:lastColumn="0" w:noHBand="0" w:noVBand="0"/>
      </w:tblPr>
      <w:tblGrid>
        <w:gridCol w:w="2834"/>
        <w:gridCol w:w="2353"/>
        <w:gridCol w:w="2352"/>
        <w:gridCol w:w="2835"/>
      </w:tblGrid>
      <w:tr w:rsidR="00C119D9">
        <w:tblPrEx>
          <w:tblCellMar>
            <w:top w:w="0" w:type="dxa"/>
            <w:left w:w="0" w:type="dxa"/>
            <w:bottom w:w="0" w:type="dxa"/>
            <w:right w:w="0" w:type="dxa"/>
          </w:tblCellMar>
        </w:tblPrEx>
        <w:tc>
          <w:tcPr>
            <w:tcW w:w="2834" w:type="dxa"/>
            <w:tcBorders>
              <w:top w:val="nil"/>
              <w:left w:val="nil"/>
              <w:bottom w:val="nil"/>
              <w:right w:val="nil"/>
            </w:tcBorders>
          </w:tcPr>
          <w:p w:rsidR="00C119D9" w:rsidRDefault="00C119D9">
            <w:pPr>
              <w:widowControl w:val="0"/>
              <w:autoSpaceDE w:val="0"/>
              <w:autoSpaceDN w:val="0"/>
              <w:adjustRightInd w:val="0"/>
              <w:spacing w:after="0" w:line="240" w:lineRule="auto"/>
              <w:rPr>
                <w:rFonts w:ascii="Times" w:hAnsi="Times" w:cs="Times"/>
                <w:color w:val="000000"/>
                <w:sz w:val="18"/>
                <w:szCs w:val="18"/>
              </w:rPr>
            </w:pPr>
            <w:bookmarkStart w:id="0" w:name="_GoBack"/>
            <w:bookmarkEnd w:id="0"/>
          </w:p>
        </w:tc>
        <w:tc>
          <w:tcPr>
            <w:tcW w:w="4705" w:type="dxa"/>
            <w:gridSpan w:val="2"/>
            <w:tcBorders>
              <w:top w:val="nil"/>
              <w:left w:val="nil"/>
              <w:bottom w:val="nil"/>
              <w:right w:val="nil"/>
            </w:tcBorders>
          </w:tcPr>
          <w:p w:rsidR="00C119D9" w:rsidRDefault="00C119D9">
            <w:pPr>
              <w:widowControl w:val="0"/>
              <w:autoSpaceDE w:val="0"/>
              <w:autoSpaceDN w:val="0"/>
              <w:adjustRightInd w:val="0"/>
              <w:spacing w:after="0" w:line="240" w:lineRule="auto"/>
              <w:jc w:val="center"/>
              <w:rPr>
                <w:rFonts w:ascii="Times" w:hAnsi="Times" w:cs="Times"/>
                <w:b/>
                <w:bCs/>
                <w:color w:val="000000"/>
              </w:rPr>
            </w:pPr>
            <w:r>
              <w:rPr>
                <w:rFonts w:ascii="Times" w:hAnsi="Times" w:cs="Times"/>
                <w:b/>
                <w:bCs/>
                <w:color w:val="000000"/>
              </w:rPr>
              <w:t>ДОГОВОР № </w:t>
            </w:r>
            <w:r w:rsidR="007631F3">
              <w:rPr>
                <w:rFonts w:ascii="Times" w:hAnsi="Times" w:cs="Times"/>
                <w:b/>
                <w:bCs/>
                <w:color w:val="000000"/>
              </w:rPr>
              <w:t>________</w:t>
            </w:r>
          </w:p>
          <w:p w:rsidR="00C119D9" w:rsidRDefault="00C119D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 право использования программы для ЭВМ «Контур.Экстерн» и оказание услуг по сопровождению (технической поддержке)</w:t>
            </w:r>
          </w:p>
        </w:tc>
        <w:tc>
          <w:tcPr>
            <w:tcW w:w="2834" w:type="dxa"/>
            <w:tcBorders>
              <w:top w:val="nil"/>
              <w:left w:val="nil"/>
              <w:bottom w:val="nil"/>
              <w:right w:val="nil"/>
            </w:tcBorders>
          </w:tcPr>
          <w:p w:rsidR="00C119D9" w:rsidRDefault="00F809D3">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noProof/>
                <w:color w:val="000000"/>
                <w:sz w:val="18"/>
                <w:szCs w:val="18"/>
              </w:rPr>
              <w:drawing>
                <wp:inline distT="0" distB="0" distL="0" distR="0">
                  <wp:extent cx="542925" cy="5429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p>
        </w:tc>
      </w:tr>
      <w:tr w:rsidR="00C119D9">
        <w:tblPrEx>
          <w:tblCellMar>
            <w:top w:w="0" w:type="dxa"/>
            <w:left w:w="0" w:type="dxa"/>
            <w:bottom w:w="0" w:type="dxa"/>
            <w:right w:w="0" w:type="dxa"/>
          </w:tblCellMar>
        </w:tblPrEx>
        <w:tc>
          <w:tcPr>
            <w:tcW w:w="5187" w:type="dxa"/>
            <w:gridSpan w:val="2"/>
            <w:tcBorders>
              <w:top w:val="nil"/>
              <w:left w:val="nil"/>
              <w:bottom w:val="nil"/>
              <w:right w:val="nil"/>
            </w:tcBorders>
          </w:tcPr>
          <w:p w:rsidR="00C119D9" w:rsidRDefault="00C119D9">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Екатеринбург</w:t>
            </w:r>
          </w:p>
        </w:tc>
        <w:tc>
          <w:tcPr>
            <w:tcW w:w="5187" w:type="dxa"/>
            <w:gridSpan w:val="2"/>
            <w:tcBorders>
              <w:top w:val="nil"/>
              <w:left w:val="nil"/>
              <w:bottom w:val="nil"/>
              <w:right w:val="nil"/>
            </w:tcBorders>
          </w:tcPr>
          <w:p w:rsidR="00C119D9" w:rsidRDefault="007631F3">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color w:val="000000"/>
                <w:sz w:val="18"/>
                <w:szCs w:val="18"/>
              </w:rPr>
              <w:t>__.__</w:t>
            </w:r>
            <w:r w:rsidR="00C119D9">
              <w:rPr>
                <w:rFonts w:ascii="Times" w:hAnsi="Times" w:cs="Times"/>
                <w:color w:val="000000"/>
                <w:sz w:val="18"/>
                <w:szCs w:val="18"/>
              </w:rPr>
              <w:t>.2026</w:t>
            </w:r>
          </w:p>
        </w:tc>
      </w:tr>
    </w:tbl>
    <w:p w:rsidR="00C119D9" w:rsidRDefault="007631F3">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____________</w:t>
      </w:r>
      <w:r w:rsidR="00C119D9">
        <w:rPr>
          <w:rFonts w:ascii="Times" w:hAnsi="Times" w:cs="Times"/>
          <w:color w:val="000000"/>
          <w:sz w:val="18"/>
          <w:szCs w:val="18"/>
        </w:rPr>
        <w:t xml:space="preserve">, именуемое в дальнейшем ОПЕРАТОР, в лице                                                   , действующ      на основании                                                                                                     , с одной стороны, и </w:t>
      </w:r>
      <w:r>
        <w:rPr>
          <w:rFonts w:ascii="Times" w:hAnsi="Times" w:cs="Times"/>
          <w:color w:val="000000"/>
          <w:sz w:val="18"/>
          <w:szCs w:val="18"/>
        </w:rPr>
        <w:t>_____________</w:t>
      </w:r>
      <w:r w:rsidR="00C119D9">
        <w:rPr>
          <w:rFonts w:ascii="Times" w:hAnsi="Times" w:cs="Times"/>
          <w:color w:val="000000"/>
          <w:sz w:val="18"/>
          <w:szCs w:val="18"/>
        </w:rPr>
        <w:t>, именуем     в дальнейшем АБОНЕНТ, в лице                                                   , действующ     на основании                                                                                                     , с другой стороны, совместно именуемые в дальнейшем Стороны, заключили Договор о нижеследующем.</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 ТЕРМИНЫ И ОПРЕДЕЛЕНИЯ</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 Контур.Экстерн – результат интеллектуальной деятельности – программа для ЭВМ «Контур.Экстерн» (в том числе интеграционные и иные модули, предусмотренные Прайс-листом и позволяющие Абоненту использовать дополнительную функциональность Контур.Экстерна) (далее – Продукт), предназначенная для формирования и представления отчетности, организации электронного документооборота и иных целей.</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1.2. Спецификация (Приложение № 1 к Договору) − документ, содержащий информацию о стоимости и комплекте предоставляемых Абоненту неисключительных прав использования программ для ЭВМ и оказываемых услуг/выполняемых работ.</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1.3. Лицензионный договор (Приложение № 2 к Договору) – договор, устанавливающий порядок передачи и использования Продукта. Является офертой, не требующей подписания Сторонами, полный и безоговорочный акцепт которой Абонентом является существенным условием Договора.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1.4. СКЗИ − программа для ЭВМ средство криптографической защиты информации (средство электронной подписи) «КриптоПро CSP», включая носители и документацию или иные программы для ЭВМ, исключительные права на которые принадлежат ООО «Крипто-Про».</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1.5. Сублицензионный договор на использование программы для ЭВМ СКЗИ «КриптоПро CSP» (Приложение № 3 к Договору) – договор, устанавливающий порядок передачи и использования СКЗИ. Является офертой, не требующей подписания Сторонами, полный и безоговорочный акцепт которой Абонентом является существенным условием Договора, если приобретаются лицензии на право использования СКЗИ.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1.6. Тарифный план – совокупность предоставляемых Оператором неисключительных прав использования Продукта и оказываемых услуг. Состав Тарифного плана определяется Прайс-листом.</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1.7. Прайс-лист − документ (неотъемлемая часть Договора), отражающий ценовую политику Оператора и состав Тарифных планов. Действующая редакция основного Прайс-листа публикуется по адресу </w:t>
      </w:r>
      <w:hyperlink r:id="rId5" w:history="1">
        <w:r w:rsidR="007631F3">
          <w:rPr>
            <w:rFonts w:ascii="Times" w:hAnsi="Times" w:cs="Times"/>
            <w:color w:val="0000CD"/>
            <w:sz w:val="18"/>
            <w:szCs w:val="18"/>
          </w:rPr>
          <w:t>__________</w:t>
        </w:r>
      </w:hyperlink>
      <w:r>
        <w:rPr>
          <w:rFonts w:ascii="Times" w:hAnsi="Times" w:cs="Times"/>
          <w:color w:val="000000"/>
          <w:sz w:val="18"/>
          <w:szCs w:val="18"/>
        </w:rPr>
        <w:t>. Дополнительные Прайс-листы представляются по требованию Абонента. Оператор имеет право в одностороннем порядке вносить изменения и/или дополнения в Прайс-лист путем публикации на сайте.</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1.8. Правила по обеспечению информационной безопасности на рабочем месте − документ, составленный Оператором на основании положений законодательства Российской Федерации в области применения и использования электронной подписи и СКЗИ и обязательный для ознакомления всеми специалистами Абонента, работающими с использованием СКЗИ. Актуальная редакция Правил публикуется на сайте </w:t>
      </w:r>
      <w:hyperlink r:id="rId6" w:history="1">
        <w:r w:rsidR="007631F3">
          <w:rPr>
            <w:rFonts w:ascii="Times" w:hAnsi="Times" w:cs="Times"/>
            <w:color w:val="0000CD"/>
            <w:sz w:val="18"/>
            <w:szCs w:val="18"/>
          </w:rPr>
          <w:t>___________</w:t>
        </w:r>
      </w:hyperlink>
      <w:r>
        <w:rPr>
          <w:rFonts w:ascii="Times" w:hAnsi="Times" w:cs="Times"/>
          <w:color w:val="000000"/>
          <w:sz w:val="18"/>
          <w:szCs w:val="18"/>
        </w:rPr>
        <w:t>. Заключением Договора Абонент подтверждает выполнение Оператором обязанности, установленной ч. 4 ст. 18 Федерального закона Российской Федерации от 06.04.2011 № 63-ФЗ «Об электронной подписи» (далее – Закон об электронной подписи). Оператор имеет право в одностороннем порядке вносить изменения и/или дополнения в Правила путем публикации на сайте.</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1.9. Пользовательская документация – справочный текст, размещенный по адресу </w:t>
      </w:r>
      <w:hyperlink r:id="rId7" w:history="1">
        <w:r w:rsidR="007631F3">
          <w:rPr>
            <w:rFonts w:ascii="Times" w:hAnsi="Times" w:cs="Times"/>
            <w:color w:val="0000CD"/>
            <w:sz w:val="18"/>
            <w:szCs w:val="18"/>
          </w:rPr>
          <w:t>__________</w:t>
        </w:r>
      </w:hyperlink>
      <w:r>
        <w:rPr>
          <w:rFonts w:ascii="Times" w:hAnsi="Times" w:cs="Times"/>
          <w:color w:val="000000"/>
          <w:sz w:val="18"/>
          <w:szCs w:val="18"/>
        </w:rPr>
        <w:t xml:space="preserve"> и описывающий порядок работы с Продуктом.</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1.10. Квалифицированный сертификат ключа проверки электронной подписи (далее − Сертификат) − документ, выданный в соответствии с Законом об электронной подписи любым аккредитованным удостоверяющим центром и подтверждающий принадлежность ключа проверки электронной подписи владельцу сертификата ключа проверки электронной подписи.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1.11. Оператор электронного документооборота – обязанности Оператора по отправке отчетности в различные контролирующие органы, установленные нормативными правовыми актами Российской Федерации.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1.12. Программный интерфейс API (Application Programming Interface) – интерфейс прикладного программирования Продукта, позволяющий провести интеграцию Продукта с информационной системой Абонента.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1.13. АPI-лицензия – передаваемые права использования Продукта на условиях простой (неисключительной) лицензии в формате API, предназначенные для осуществления интеграции Продукта с информационной системой Абонента. Состав API-лицензии определяется Прайс-листом.</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1.14. Ключ разработчика – последовательность символов, буквенно-цифровой код, позволяющий получить доступ к функциональным возможностям Продукта, используя программные методы API.</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1.15. Субъект персональных данных – физическое лицо, персональные данные которого Абонент обрабатывает с использованием Продукта.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1.16. Сервисный центр – юридическое лицо или индивидуальный предприниматель, уполномоченные Оператором на основании агентского договора представлять интересы Оператора во взаимоотношениях с Абонентом. Список Сервисных центров публикуется на сайте </w:t>
      </w:r>
      <w:hyperlink r:id="rId8" w:history="1">
        <w:r w:rsidR="007631F3">
          <w:rPr>
            <w:rFonts w:ascii="Times" w:hAnsi="Times" w:cs="Times"/>
            <w:color w:val="0000CD"/>
            <w:sz w:val="18"/>
            <w:szCs w:val="18"/>
          </w:rPr>
          <w:t>______________-</w:t>
        </w:r>
      </w:hyperlink>
      <w:r>
        <w:rPr>
          <w:rFonts w:ascii="Times" w:hAnsi="Times" w:cs="Times"/>
          <w:color w:val="000000"/>
          <w:sz w:val="18"/>
          <w:szCs w:val="18"/>
        </w:rPr>
        <w:t>.</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2. ПРЕДМЕТ ДОГОВОРА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2.1. Оператор обязуется предоставить Абоненту простую (неисключительную) лицензию на право использования Продукта в пределах, предусмотренных Договором, и оказать услуги по сопровождению Продукта (технической поддержке в виде абонентского обслуживания). Абонент обязуется принять и оплатить предоставленные неисключительные имущественные права и оказанные услуги в порядке, установленном Договором.</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2.2. Передача права использования Продукта осуществляется на условиях Лицензионного договора на срок, установленный выбранным Тарифным планом.</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2.3. Если Абоненту требуется СКЗИ, то Оператор обязуется возмездно передать простые (неисключительные) лицензии на право использования СКЗИ на условиях Сублицензионного договора на срок, установленный выбранным Тарифным планом.</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2.4. При необходимости Абоненту могут быть возмездно предоставлены лицензии на иное программное обеспечение, оказаны иные услуги, выполнены работы, предусмотренные Прайс-листом Оператора.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2.5. Оператор либо Сервисный центр могут дополнительно возмездно оказать Абоненту услуги по установке и настройке программных компонентов, необходимых для получения доступа к Продукту и/или СКЗИ на рабочем месте Абонента, обучению специалистов Абонента работе в Продукте.</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3. ПОРЯДОК ИСПОЛНЕНИЯ ОБЯЗАТЕЛЬСТВ ОПЕРАТОРОМ</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3.1. В течение 5 (пяти) календарных дней </w:t>
      </w:r>
      <w:r w:rsidR="00707451">
        <w:rPr>
          <w:rFonts w:ascii="Times" w:hAnsi="Times" w:cs="Times"/>
          <w:color w:val="000000"/>
          <w:sz w:val="18"/>
          <w:szCs w:val="18"/>
        </w:rPr>
        <w:t>с даты заключения Контракта,</w:t>
      </w:r>
      <w:r>
        <w:rPr>
          <w:rFonts w:ascii="Times" w:hAnsi="Times" w:cs="Times"/>
          <w:color w:val="000000"/>
          <w:sz w:val="18"/>
          <w:szCs w:val="18"/>
        </w:rPr>
        <w:t xml:space="preserve">Оператор предоставляет Абоненту право использования </w:t>
      </w:r>
      <w:r>
        <w:rPr>
          <w:rFonts w:ascii="Times" w:hAnsi="Times" w:cs="Times"/>
          <w:color w:val="000000"/>
          <w:sz w:val="18"/>
          <w:szCs w:val="18"/>
        </w:rPr>
        <w:lastRenderedPageBreak/>
        <w:t>Продукта путем:</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3.1.1. открытия доступа к веб-версии Продукта. Реализация Абонентом доступа к Продукту осуществляется путем установки и настройки необходимых для функционирования Продукта дистрибутивов программных компонентов согласно инструкции на сайте </w:t>
      </w:r>
      <w:hyperlink r:id="rId9" w:history="1">
        <w:r w:rsidR="007631F3">
          <w:rPr>
            <w:rFonts w:ascii="Times" w:hAnsi="Times" w:cs="Times"/>
            <w:color w:val="0000CD"/>
            <w:sz w:val="18"/>
            <w:szCs w:val="18"/>
          </w:rPr>
          <w:t>_________________</w:t>
        </w:r>
      </w:hyperlink>
      <w:r>
        <w:rPr>
          <w:rFonts w:ascii="Times" w:hAnsi="Times" w:cs="Times"/>
          <w:color w:val="000000"/>
          <w:sz w:val="18"/>
          <w:szCs w:val="18"/>
        </w:rPr>
        <w:t>;</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3.1.2. предоставления возможности Абоненту скачать программные компоненты интеграционных модулей для интеграции Продукта с информационными системами. Актуальные версии интеграционных модулей расположены по адресу </w:t>
      </w:r>
      <w:hyperlink r:id="rId10" w:history="1">
        <w:r w:rsidR="007631F3">
          <w:rPr>
            <w:rFonts w:ascii="Times" w:hAnsi="Times" w:cs="Times"/>
            <w:color w:val="0000CD"/>
            <w:sz w:val="18"/>
            <w:szCs w:val="18"/>
          </w:rPr>
          <w:t>_____________</w:t>
        </w:r>
      </w:hyperlink>
      <w:r>
        <w:rPr>
          <w:rFonts w:ascii="Times" w:hAnsi="Times" w:cs="Times"/>
          <w:color w:val="000000"/>
          <w:sz w:val="18"/>
          <w:szCs w:val="18"/>
        </w:rPr>
        <w:t>;</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3.1.3. предоставления Абоненту Ключа разработчика для интеграции Продукта с информационными системами при помощи API.</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 Необходимым условием использования Продукта является наличие у Абонента: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3.2.1. подключения к сети Интернет;</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3.2.2. учетной записи на сервере Оператора;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3.2.3. действующего Сертификата;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3.2.4. СКЗИ.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3.3. Передача права использования Продукта осуществляется в момент открытия доступа Абоненту к серверу Продукта.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3.4. Техническая поддержка Продукта и СКЗИ осуществляется с момента открытия доступа к Продукту и до окончания срока действия выбранного Абонентом Тарифного плана в круглосуточном ежедневном режиме в виде абонентского обслуживания путем телефонных консультаций в Федеральном контакт-центре Оператора по телефону 8-800-500-50-80 без ограничения по времени и количеству обращений.</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4. ПРАВА И ОБЯЗАННОСТИ СТОРОН</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 Обязанности Оператора: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4.1.1. соответствие Продукта заявленной функциональности, описанной в Пользовательской документации;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4.1.2. обеспечение круглосуточной работоспособности и доступности Продукта, за исключением времени проведения профилактических работ. Профилактические работы проводятся не более 2 (двух) рабочих дней в период с 1 по 10 число месяца, преимущественно в ночное время, с извещением Абонента о проводимых работах путем размещения информации в Продукте;</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4.1.3. воздержание от каких-либо действий, способных воспрепятствовать нормальному использованию Абонентом Продукта;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4.1.4. своевременное обновление программного обеспечения на сервере;</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4.1.5. защита информации, обрабатываемой на сервере Оператора, от несанкционированного доступа;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4.1.6. наличие всех необходимых лицензий для исполнения обязательств по Договору. Место публикации лицензий Оператора </w:t>
      </w:r>
      <w:hyperlink r:id="rId11" w:history="1">
        <w:r w:rsidR="007631F3">
          <w:rPr>
            <w:rFonts w:ascii="Times" w:hAnsi="Times" w:cs="Times"/>
            <w:color w:val="0000CD"/>
            <w:sz w:val="18"/>
            <w:szCs w:val="18"/>
          </w:rPr>
          <w:t>____________________</w:t>
        </w:r>
      </w:hyperlink>
      <w:r>
        <w:rPr>
          <w:rFonts w:ascii="Times" w:hAnsi="Times" w:cs="Times"/>
          <w:color w:val="000000"/>
          <w:sz w:val="18"/>
          <w:szCs w:val="18"/>
        </w:rPr>
        <w:t>;</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4.1.7. обеспечение конфиденциальности данных, размещенных Абонентом в Продукте, на весь период их нахождения на сервере;</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4.1.8. осуществление обязанностей Оператора электронного документооборота.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 Обязанности Абонента: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4.2.1. своевременная оплата предоставленных прав использования, услуг, работ Оператора в порядке и сроки, установленные Договором;</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4.2.2. соблюдение требований Пользовательской документации при использовании Продукта и СКЗИ;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4.2.3. соблюдение требований по защите информации на рабочем месте в соответствии с приказом ФСБ России от 09.02.2005 № 66 «Об утверждении Положения о разработке, производстве, реализации и эксплуатации шифровальных (криптографических) средств защиты информации» (Положение ПКЗ-2005) и Правилами по обеспечению информационной безопасности на рабочем месте;</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4.2.4. представление Оператору всех сведений и документов, необходимых для исполнения Оператором обязательств по Договору;</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4.2.5. самостоятельное подключение компьютера к сети Интернет;</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4.2.6. самостоятельная комплектация рабочего места в соответствии с требованиями, размещенными на сайте </w:t>
      </w:r>
      <w:hyperlink r:id="rId12" w:history="1">
        <w:r w:rsidR="007631F3">
          <w:rPr>
            <w:rFonts w:ascii="Times" w:hAnsi="Times" w:cs="Times"/>
            <w:color w:val="0000CD"/>
            <w:sz w:val="18"/>
            <w:szCs w:val="18"/>
          </w:rPr>
          <w:t>________________</w:t>
        </w:r>
      </w:hyperlink>
      <w:r>
        <w:rPr>
          <w:rFonts w:ascii="Times" w:hAnsi="Times" w:cs="Times"/>
          <w:color w:val="000000"/>
          <w:sz w:val="18"/>
          <w:szCs w:val="18"/>
        </w:rPr>
        <w:t>;</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4.2.7. отказ от попыток копировать, модифицировать, декомпилировать, деассемблировать Продукт;</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4.2.8. отказ от попыток получения доступа к информации третьих лиц, хранящейся в Продукте;</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4.2.9. передача контролирующим органам оформленной в соответствии с гражданским законодательством Российской Федерации доверенности, подтверждающей право уполномоченного представителя на передачу отчетности, а также совершение иных действий, необходимых для организации электронного документооборота с контролирующими органами;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4.2.10. отказ от совершения недобросовестных действий с использованием Продукта, в том числе приводящих к повышенной загрузке вычислительных ресурсов и нарушению пропускной способности;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4.2.11. самостоятельное осуществление интеграции информационных систем Абонента с Продуктом с использованием API.</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 Права Оператора: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4.3.1. модификация или выпуск новой версии Продукта в любое время и по любой причине, в том числе в целях удовлетворения потребностей Абонента или требований конкурентоспособности, в целях соблюдения законодательства Российской Федерации. Оператор оставляет за собой право добавлять новые свойства и функциональные возможности Продукта или удалять из Продукта уже существующие свойства и функциональные возможности;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4.3.2. заключение с третьими лицами любых договоров о предоставлении права использования Продукта, в том числе на условиях, аналогичных условиям Договора.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 Права Абонента: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4.4.1. получение круглосуточного доступа к серверу с целью использования всех функциональных возможностей Продукта, за исключением времени проведения профилактических работ;</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4.4.2. внесение предложений по изменению функциональных возможностей Продукта;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4.4.3. непредставление отчетов об использовании Продукта Оператору.</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5. ФИНАНСОВЫЕ УСЛОВИЯ И ПОРЯДОК СДАЧИ-ПРИЕМКИ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 Лицензионное вознаграждение за право использования программы для ЭВМ определяется Прайс-листом Оператора и устанавливается в Спецификации. Реализация права использования программ для ЭВМ, внесенных в единый реестр российских программ для электронных вычислительных машин и баз данных, НДС не облагается на основании подп. 26 п. 2 ст. 149 Налогового кодекса Российской Федерации.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5.2. Цена услуг/работ/ТМЦ Оператора определяется Прайс-листом Оператора и устанавливается в Спецификации без учета НДС. НДС начисляется и предъявляется Абоненту дополнительно к цене по ставке, действующей на дату оплаты счета или осуществления реализации, в соответствии с п. 3 ст. 164 Налогового кодекса Российской Федерации.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5.3. Абонент оплачивает выставленный Оператором счет в течение 10 (десяти) рабочих дней с момента с момента подписания Сторонами УПД.</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5.4. Все расчеты по Договору осуществляются в российских рублях путем безналичного перечисления денежных средств на расчетный счет Оператора.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5.5. Обязательство Абонента по оплате счета считается исполненным с момента поступления денежных средств на расчетный счет Оператора.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5.6. Счет может быть отправлен Абоненту электронной почтой, заказным почтовым отправлением, курьерской службой или в </w:t>
      </w:r>
      <w:r>
        <w:rPr>
          <w:rFonts w:ascii="Times" w:hAnsi="Times" w:cs="Times"/>
          <w:color w:val="000000"/>
          <w:sz w:val="18"/>
          <w:szCs w:val="18"/>
        </w:rPr>
        <w:lastRenderedPageBreak/>
        <w:t>электронном виде, подписанный электронной подписью.</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5.7. Общая цена Договора определяется Спецификацией, является твердой и не может изменяться в ходе его исполнения, за исключением случаев, установленных законодательством Российской Федерации.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5.8. Стороны подтверждают исполнение обязательств по Договору путем подписания УПД. Абонент обязан вернуть Оператору подписанный экземпляр УПД до момента окончания срока, установленного пп. 5.9-5.10 Договора.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5.9. В случае отсутствия в течение 10 (десяти) рабочих дней с момента получения Оператором оплаты или начала использования Абонентом Продукта (в зависимости от того, какое событие наступило ранее) мотивированного отказа в письменном виде от приемки предоставленных прав использования Продукта, API-лицензий, СКЗИ и права на получение услуг по сопровождению (технической поддержке в виде абонентского обслуживания) переданные права признаются принятыми Абонентом в полном объеме без замечаний.</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5.10. В случае отсутствия в течение 10 (десяти) рабочих дней с момента получения Абонентом УПД мотивированного отказа в письменном виде от приемки оказанных разовых услуг и/или выполненных работ оказанные Оператором услуги/выполненные работы признаются принятыми Абонентом в полном объеме без замечаний. При этом разовыми являются услуги, оказываемые не в виде абонентского обслуживания.</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5.11. Мотивированный отказ от приемки прав, услуг, работ может быть отправлен Оператору электронной почтой с последующим отправлением оригинала по почте, либо в электронном виде, подписанный электронной подписью. После истечения срока, установленного для мотивированного отказа, лицензионное вознаграждение, оплаченное Абонентом, возврату не подлежит.</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5.12. В соответствии с законодательством Российской Федерации для проверки предоставленных Оператором прав и оказанных услуг, выполненных работ, предусмотренных Договором, в части их соответствия его условиям, Абонент по собственной инициативе и за свой счет может провести экспертизу.</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6. СРОК ДЕЙСТВИЯ ДОГОВОРА. ПОРЯДОК ИЗМЕНЕНИЯ, ДОПОЛНЕНИЯ И РАСТОРЖЕНИЯ. ПОРЯДОК РАЗРЕШЕНИЯ СПОРОВ</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6.1. Договор вступает в силу с момента принятия его условий и действует до конца календарного года, а в части исполнения обязательств - до их полного исполнения Сторонами. Под принятием условий Договора Стороны понимают: подписание Абонентом Договора, фактическое начало использования Абонентом Продукта, оплату Абонентом выставленного Оператором счета, в зависимости от того, какое из этих событий наступит раньше.</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6.2. Любые изменения и/или дополнения к Договору оформляются дополнительным соглашением, которое подписывается обеими Сторонами в том же порядке, что и Договор.</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6.3. В случае нарушения Абонентом условий Договора Оператор вправе незамедлительно блокировать доступ к Продукту без предварительного уведомления Абонента, а также досрочно расторгнуть Договор. Если нарушение условий связано с неоплатой лицензионного вознаграждения, Оператор блокирует доступ до полного погашения задолженности Абонентом.</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6.4. Договор расторгается в случаях, предусмотренных законодательством Российской Федерации и Договором.</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6.5. Все споры и разногласия, возникающие в связи с исполнением и (или) толкованием Договора, разрешаются Сторонами путем переговоров. При невозможности урегулирования Сторонами возникших разногласий путем переговоров спор подлежит разрешению в порядке арбитражного судопроизводства в соответствии с общими правилами подсудности с обязательным соблюдением претензионного порядка урегулирования споров и разногласий. Срок ответа на претензию составляет 30 (тридцать) календарных дней с момента ее поступления в письменной форме или в электронном виде, подписанной электронной подписью.</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7. ОТВЕТСТВЕННОСТЬ СТОРОН. КОНФИДЕНЦИАЛЬНОСТЬ ИНФОРМАЦИИ. АНТИКОРРУПЦИОННЫЕ УСЛОВИЯ. ФОРС-МАЖОР</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 За неисполнение или ненадлежащее исполнение обязательств по Договору Стороны будут нести ответственность в соответствии с законодательством Российской Федерации и условиями Договора.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7.2. Оператор не будет нести ответственность за невозможность использования Продукта по причинам, не зависящим от Оператора.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7.3. Оператор не будет нести ответственность за несоблюдение Абонентом технических требований к рабочему месту, Пользовательской документации, отсутствие у Абонента подключения к сети Интернет, за функционирование Продукта и СКЗИ на неисправном компьютере, либо компьютере, зараженном каким-либо компьютерным вирусом, использование несертифицированного СКЗИ, а также при использовании Абонентом нелицензионного программного обеспечения, а также в случае несвоевременного осуществления Абонентом интеграции Продукта со своей информационной системой с использованием API.</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7.4. Оператор не будет нести ответственность за ущерб, понесенный Абонентом в результате несоблюдения им Положения ПКЗ-2005 и Правил по обеспечению информационной безопасности на рабочем месте.</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7.5. В случае возникновения у Абонента технических проблем, препятствующих нормальному использованию Продукта, Абонент обязуется незамедлительно обратиться в техническую поддержку Оператора. Оператор не будет нести ответственность за возникшие у Абонента убытки, вызванные техническими проблемами, в случае если Абонент нарушит обязательство, установленное настоящим пунктом.</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7.6. Совокупный размер ответственности Оператора, включая любые убытки (в случае если Абонент в конкретном случае имеет право на их возмещение), не может превышать стоимости прав, услуг и работ, которые были реализованы Оператором Абоненту по Договору в течение одного года, предшествующего моменту возникновения убытков.</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7.7. Оператор будет нести ответственность за неисполнение обязанностей Оператора электронного документооборота в размере реально причиненного ущерба при наличии вины Оператора.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7.8. Оператор будет нести ответственность за утрату, повреждение информации, искажение текста информации, изменившее ее смысл, или недоставку информации адресату в установленные сроки в размере причиненного ущерба при наличии вины Оператора.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7.9. Оператор не будет нести ответственность за утрату, повреждение информации, искажение текста информации, изменившее ее смысл, или недоставку информации адресату в установленные сроки, если будет доказано, что такое неисполнение или ненадлежащее исполнение обязательств произошло по вине Абонента или иного участника документооборота.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7.10. Оператор не будет нести ответственность за содержание и достоверность информации, циркулирующей в Продукте.</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7.11. Оператор не будет нести ответственность за прямые или косвенные убытки, включая упущенную выгоду, возникшие в результате применения Продукта, за исключением случаев, прямо установленных Договором.</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7.12. Оператор не будет нести ответственность за неполное и/или несвоевременное представление Абонентом отчетности, а также совершение/не совершение Абонентом иных действий, необходимых для организации электронного документооборота по телекоммуникационным каналам связи с контролирующими органами.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7.13. Оператор не будет нести ответственность за действия, совершаемые пользователями Абонента в Продукте.</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7.14. Стороны обязуются соблюдать конфиденциальность информации, отнесенной ими к коммерческой тайне в соответствии с законодательством Российской Федерации и ставшей известной Сторонам в процессе исполнения Договора.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7.15. Факт заключения Договора не является конфиденциальной информацией.</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7.16.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денежных средств или ценностей прямо или косвенно любым лицам </w:t>
      </w:r>
      <w:r>
        <w:rPr>
          <w:rFonts w:ascii="Times" w:hAnsi="Times" w:cs="Times"/>
          <w:color w:val="000000"/>
          <w:sz w:val="18"/>
          <w:szCs w:val="18"/>
        </w:rPr>
        <w:lastRenderedPageBreak/>
        <w:t>для оказания влияния на их действия или решения с целью получения каких-либо неправомерных преимуществ или для достижения иных неправомерных целей. Также при исполнении своих обязательств по Договору Стороны и вышеперечисленные лица не осуществляют действия, квалифицируемые законодательством Российской Федерации как дача или получение взятки, коммерческий подкуп, а также иные действия, нарушающие требования законодательства Российской Федерации.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В случае возникновения у Стороны обоснованных подозрений, что произошло или может произойти нарушение положений данного пункта, она обязуется уведомить об этом другую Сторону в письменной форме. В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Сторона, получившая письменное уведомление, обязана рассмотреть его и сообщить другой Стороне об итогах его рассмотрения.</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В случае подтверждения факта нарушения одной Стороной положений настоящего пункта Договора и/или неполучения другой Стороной информации об итогах рассмотрения уведомления о нарушении другая Сторона имеет право отказаться от Договора, направив письменное уведомление. Сторона, по инициативе которой расторгнут Договор, вправе требовать возмещения реального ущерба, возникшего в результате расторжения Договора.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Стороны гарантируют осуществление надлежащего разбирательства по фактам нарушения положений настоящего пункта Договора и применение эффективных мер по предотвращению возможных конфликтных ситуаций.</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7.17. Стороны освобождаются от ответственности за неисполнение или ненадлежащее исполнение условий Договора в случае наступления обстоятельств непреодолимой силы (форс-мажор), определяемых в соответствии с законодательством Российской Федерации, если они предъявят доказательства того, что эти обстоятельства воспрепятствовали исполнению обязательств по Договору. Такими доказательствами являются документы компетентных органов Российской Федерации. С момента устранения обстоятельств непреодолимой силы Договор действует в обычном порядке.</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8. ЗАВЕРЕНИЯ ОБ ОБСТОЯТЕЛЬСТВАХ</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8.1. Каждая из Сторон заявляет и подтверждает другой Стороне, что на момент заключения Договора: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является надлежащим образом зарегистрированным юридическим лицом, состоит на налоговом учете и правомерно осуществляет свою деятельность в соответствии с законодательством Российской Федерации;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фактически находится по адресу, указанному в ЕГРЮЛ;</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располагает полномочиями, денежными, материальными и трудовыми ресурсами, а также прочими условиями, необходимыми для заключения Договора и исполнения обязательств по нему;</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все полномочия, необходимые для заключения Договора и/или осуществления в связи с ним действий, получены должным образом, в том числе получены все необходимые согласия, разрешения, одобрения в соответствии с законодательством.</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8.2. Стороны подтверждают, что:</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Договор заключается добровольно, Стороны не введены в заблуждение относительно правовой природы сделки и/или правовых последствий, которые возникают или могут возникнуть в связи с заключением Договора;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Договор не нарушает каких-либо прав на объекты интеллектуальной собственности или иных имущественных прав какого-либо третьего лица;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Договор заключается в соответствии с законодательством Российской Федерации и не является сделкой, в совершении которой имеется заинтересованность;</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исполнение Договора не влечет за собой нарушение или неисполнение положений каких-либо иных договоров, соглашений, судебных и иных запретов или постановлений.</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8.3. Сторона, полагавшаяся на недостоверные заверения другой Стороны, вправе досрочно расторгнуть Договор независимо от наличия или отсутствия у нее убытков, а также потребовать возмещения убытков, причиненных недостоверностью таких заверений.</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8.4. Стороны вправе использовать фирменные наименования друг друга, коммерческие обозначения, товарные знаки и другие идентифицирующие знаки Сторон, а также информацию о факте заключения Договора для целей публикации на сайтах Сторон, публикации и цитирования в прессе, использования в маркетинговых материалах, а также в корпоративных изданиях: буклетах о компании, примерах, решениях и т.д.; ссылок друг на друга в интервью и презентациях.</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8.5. Абонент заверяет, что при заключении договоров с лицами, обслуживание которых намеревается осуществлять с использованием Продукта, проявил должную осмотрительность, проверил правоспособность таких лиц и полномочия их представителей. Нарушение указанного заверения может привести к незамедлительному одностороннему отказу Оператора от Договора и блокированию Абоненту доступа к Продукту.</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9. ОБЯЗАТЕЛЬСТВА СТОРОН В ОБЛАСТИ ОБРАБОТКИ ПЕРСОНАЛЬНЫХ ДАННЫХ</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9.1. Заключение Договора рассматривается Сторонами как поручение Оператора персональных данных (Абонента по Договору) другому лицу, предусмотренное частью 3 статьи 6 Федерального закона от 27.07.2006 № 152-ФЗ «О персональных данных». При этом Абонент поручает Оператору осуществление следующих действий (операций) с персональными данными, совершаемых с использованием средств автоматизации или без использования таких средств: сбор через заполнение Абонентом веб-форм Продукта, запись, систематизацию, накопление, хранение на сервере Оператора, уточнение (обновление, изменение) после внесения изменений Абонентом, извлечение, использование, передачу (предоставление, доступ) по телекоммуникационным каналам связи в контролирующие органы, обезличивание, блокирование, удаление, уничтожение персональных данных – исключительно с целью исполнения обязательств, предусмотренных Договором. Абонент дает поручение Оператору в отношении следующего перечня возможных персональных данных (включая, но не ограничиваясь ФИО, ИНН, СНИЛС, пол, дата и место рождения, сведения из документа, удостоверяющего личность, гражданство, место жительства, должность, контактные данные), которые Абонент может разместить в Продукте.</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 Абонент гарантирует:</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9.2.1. что при обработке персональных данных им соблюдены все права субъектов персональных данных, предусмотренные законодательством Российской Федерации в области защиты персональных данных;</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9.2.2. что им получено согласие субъектов персональных данных на обработку принадлежащих им персональных данных, в том числе на поручение такой обработки Оператору как третьему лицу;</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9.2.3. что при размещении персональных данных им соблюдены все принципы и условия обработки персональных данных и ограничения, предусмотренные законодательством Российской Федерации.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9.3. Оператор гарантирует:</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9.3.1. соблюдение конфиденциальности и обеспечение безопасности обрабатываемых персональных данных;</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9.3.2. обработку персональных данных на территории Российской Федерации;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9.3.3. принятие необходимых организационных и технических мер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 в отношении персональных данных, в частности: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определение угроз безопасности персональных данных при их обработке;</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установление правил доступа к обрабатываемым персональным данным;</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lastRenderedPageBreak/>
        <w:t>– обнаружение фактов несанкционированного доступа к персональным данным и принятие мер по их пресечению;</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проведение оценки эффективности принимаемых мер по обеспечению безопасности персональных данных и контроля за принимаемыми мерами.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9.4. Оператор уведомляет, что им направлено в уполномоченный орган по защите прав субъектов персональных данных уведомление о намерении осуществлять обработку персональных данных в порядке, предусмотренном законодательством Российской Федерации. Политика обработки персональных данных публикуется Оператором на сайте </w:t>
      </w:r>
      <w:hyperlink r:id="rId13" w:history="1">
        <w:r w:rsidR="007631F3">
          <w:rPr>
            <w:rFonts w:ascii="Times" w:hAnsi="Times" w:cs="Times"/>
            <w:color w:val="0000CD"/>
            <w:sz w:val="18"/>
            <w:szCs w:val="18"/>
          </w:rPr>
          <w:t>___________</w:t>
        </w:r>
      </w:hyperlink>
      <w:r>
        <w:rPr>
          <w:rFonts w:ascii="Times" w:hAnsi="Times" w:cs="Times"/>
          <w:color w:val="000000"/>
          <w:sz w:val="18"/>
          <w:szCs w:val="18"/>
        </w:rPr>
        <w:t>.</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9.5. В случае прекращения действия Договора и/или получения запроса субъекта персональных данных, содержащего отзыв согласия на обработку персональных данных, Абонент вправе направить уведомление Оператору о необходимости удаления персональных данных, размещенных в Продукте. Уведомление о необходимости удаления персональных данных по запросу субъекта, содержащего отзыв согласия на обработку персональных данных, должно быть направлено Оператору не позднее 5 (пяти) рабочих дней с момента получения такого запроса.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9.6. По требованию Оператора Абонент обязан предоставить доказательства соблюдения прав субъекта персональных данных, предусмотренных законодательством в области обработки персональных данных.</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9.7. Оператор обязуется:</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9.7.1. по письменному запросу Абонента в течение срока действия его поручения на обработку персональных данных, в том числе до обработки персональных данных, предоставлять Абоненту документы и иную информацию, подтверждающие принятие мер и соблюдение в целях исполнения поручения Абонента требований, установленных Федеральным законом Российской Федерации от 27.07.2006 № 152-ФЗ «О персональных данных»;</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9.7.2. своевременно уведомлять Абонента о случаях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9.8. Принимая условия Договора, Абонент заверяет (по смыслу ст. 431.2 Гражданского кодекса Российской Федерации) о наличии согласий субъектов персональных данных – уполномоченных лиц Абонента, контактные данные (ФИО, номер телефона, адрес электронной почты) которых передаются Абонентом Оператору, на обработку принадлежащих им персональных данных, в том числе на передачу персональных данных Оператору и Сервисным центрам в целях исполнения Договора, включая совершение массовых и (или) автоматических вызовов (все вызовы Оператора, совершаемые с его АТС).</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10. ДОПОЛНИТЕЛЬНЫЕ УСЛОВИЯ</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10.1. Приложениями к Договору являются:</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Спецификация;</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Лицензионный договор;</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Сублицензионный договор.</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10.2. Стороны договорились о возможности использования факсимиле подписи уполномоченного лица Оператора для подписания Договора и документов, необходимых для заключения и исполнения Договора, в качестве аналога собственноручной подписи, равнозначного собственноручной подписи. При этом указанные документы имеют такую же юридическую силу, какую бы имели документы, подписанные уполномоченным лицом Оператора собственноручно на основании п. 2 ст. 160 Гражданского кодекса Российской Федерации. Кроме того, Стороны могут использовать для указанных целей квалифицированные электронные подписи Сторон (или их уполномоченных физических лиц), условия признания которых установлены ст. 11 Закона об электронной подписи, в рамках электронного документооборота в программе для ЭВМ «Контур.Диадок», правообладателем которой является Оператор и использование которой для целей обмена электронными документами с Оператором в рамках Договора не будет тарифицироваться для Абонента.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10.3. Стороны обязуются информировать друг друга в течение 15 (пятнадцати) календарных дней об изменении своих реквизитов, указанных в Договоре и возможных приложениях к нему, а также о любых решениях, касающихся их ликвидации, реорганизации как юридического лица. В случае неисполнения указанного обязательства одной из Сторон, другая Сторона не будет нести ответственность за вызванные таким неисполнением последствия.</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10.4. Принимая условия Договора, Абонент дает согласие на получение от Оператора и/или Сервисного центра дополнительной информации и информационных рассылок по указанному при регистрации, а также предоставленному Оператору и/или Сервисному центру в ходе исполнения Договора адресу электронной почты и телефону.</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10.5. Принимая условия Договора, Абонент подтверждает наличие у него законных оснований для обработки с использованием Продукта принадлежащей ему информации.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10.6. Принимая условия Договора, Абонент соглашается на массовые и (или) автоматические телефонные вызовы (все вызовы Оператора, совершаемые с его АТС), получение сообщений в мессенджеры, а также на получение голосовых и текстовых сообщений с использованием голосовых роботов, чат-ботов и почтовых ботов Оператора на номер подвижной мобильной связи или адрес электронной почты, с которых произведено обращение, либо указанные уполномоченным лицом Абонента. Согласие распространяется в том числе, но не ограничиваясь на информирование о результатах обращения в Федеральный контакт-центр Оператора, о результатах выполнения работ, оказания услуг, о необходимости обновления/проведения необходимых доработок интеграционных модулей.</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10.7. Абонент подтверждает, что по смыслу п. 4 ст. 185 Гражданского кодекса Российской Федерации все действия, совершаемые пользователями Абонента в Продукте, признаются Сторонами совершаемыми от имени и в интересах Абонента.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10.8. Оператор вправе, в том числе в случае изменения требований законодательства или появления необходимости урегулирования отношений Сторон, которые не были урегулированы на момент заключения Договора, вносить изменения в договор-оферту, публикуемый в Продукте. В таком случае к отношениям Сторон в этой части будут применяться условия оферты с момента ее публикации с изменениями. Такие изменения не могут вводить новые меры ответственности и иным явным образом ухудшать положение Абонента.</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11. СВЕДЕНИЯ ОБ ОПЕРАТОРЕ</w:t>
      </w:r>
    </w:p>
    <w:tbl>
      <w:tblPr>
        <w:tblW w:w="0" w:type="auto"/>
        <w:tblLayout w:type="fixed"/>
        <w:tblCellMar>
          <w:left w:w="0" w:type="dxa"/>
          <w:right w:w="0" w:type="dxa"/>
        </w:tblCellMar>
        <w:tblLook w:val="0000" w:firstRow="0" w:lastRow="0" w:firstColumn="0" w:lastColumn="0" w:noHBand="0" w:noVBand="0"/>
      </w:tblPr>
      <w:tblGrid>
        <w:gridCol w:w="2593"/>
        <w:gridCol w:w="2593"/>
        <w:gridCol w:w="2593"/>
        <w:gridCol w:w="2593"/>
      </w:tblGrid>
      <w:tr w:rsidR="00C119D9">
        <w:tblPrEx>
          <w:tblCellMar>
            <w:top w:w="0" w:type="dxa"/>
            <w:left w:w="0" w:type="dxa"/>
            <w:bottom w:w="0" w:type="dxa"/>
            <w:right w:w="0" w:type="dxa"/>
          </w:tblCellMar>
        </w:tblPrEx>
        <w:tc>
          <w:tcPr>
            <w:tcW w:w="10372" w:type="dxa"/>
            <w:gridSpan w:val="4"/>
            <w:tcBorders>
              <w:top w:val="nil"/>
              <w:left w:val="nil"/>
              <w:bottom w:val="nil"/>
              <w:right w:val="nil"/>
            </w:tcBorders>
          </w:tcPr>
          <w:p w:rsidR="00C119D9" w:rsidRDefault="00C119D9">
            <w:pPr>
              <w:widowControl w:val="0"/>
              <w:autoSpaceDE w:val="0"/>
              <w:autoSpaceDN w:val="0"/>
              <w:adjustRightInd w:val="0"/>
              <w:spacing w:after="0" w:line="240" w:lineRule="auto"/>
              <w:rPr>
                <w:rFonts w:ascii="Times" w:hAnsi="Times" w:cs="Times"/>
                <w:color w:val="000000"/>
                <w:sz w:val="18"/>
                <w:szCs w:val="18"/>
              </w:rPr>
            </w:pPr>
          </w:p>
        </w:tc>
      </w:tr>
      <w:tr w:rsidR="00C119D9">
        <w:tblPrEx>
          <w:tblCellMar>
            <w:top w:w="0" w:type="dxa"/>
            <w:left w:w="0" w:type="dxa"/>
            <w:bottom w:w="0" w:type="dxa"/>
            <w:right w:w="0" w:type="dxa"/>
          </w:tblCellMar>
        </w:tblPrEx>
        <w:tc>
          <w:tcPr>
            <w:tcW w:w="10372" w:type="dxa"/>
            <w:gridSpan w:val="4"/>
            <w:tcBorders>
              <w:top w:val="nil"/>
              <w:left w:val="nil"/>
              <w:bottom w:val="nil"/>
              <w:right w:val="nil"/>
            </w:tcBorders>
          </w:tcPr>
          <w:p w:rsidR="00C119D9" w:rsidRDefault="00C119D9">
            <w:pPr>
              <w:widowControl w:val="0"/>
              <w:autoSpaceDE w:val="0"/>
              <w:autoSpaceDN w:val="0"/>
              <w:adjustRightInd w:val="0"/>
              <w:spacing w:after="0" w:line="240" w:lineRule="auto"/>
              <w:rPr>
                <w:rFonts w:ascii="Times" w:hAnsi="Times" w:cs="Times"/>
                <w:b/>
                <w:bCs/>
                <w:color w:val="000000"/>
                <w:sz w:val="18"/>
                <w:szCs w:val="18"/>
              </w:rPr>
            </w:pPr>
            <w:r>
              <w:rPr>
                <w:rFonts w:ascii="Times" w:hAnsi="Times" w:cs="Times"/>
                <w:b/>
                <w:bCs/>
                <w:color w:val="000000"/>
                <w:sz w:val="18"/>
                <w:szCs w:val="18"/>
              </w:rPr>
              <w:t>12. СВЕДЕНИЯ ОБ АБОНЕНТЕ</w:t>
            </w:r>
          </w:p>
          <w:p w:rsidR="00C119D9" w:rsidRDefault="00C119D9">
            <w:pPr>
              <w:widowControl w:val="0"/>
              <w:autoSpaceDE w:val="0"/>
              <w:autoSpaceDN w:val="0"/>
              <w:adjustRightInd w:val="0"/>
              <w:spacing w:after="0" w:line="240" w:lineRule="auto"/>
              <w:rPr>
                <w:rFonts w:ascii="Times" w:hAnsi="Times" w:cs="Times"/>
                <w:color w:val="000000"/>
                <w:sz w:val="18"/>
                <w:szCs w:val="18"/>
              </w:rPr>
            </w:pPr>
          </w:p>
          <w:p w:rsidR="00C119D9" w:rsidRDefault="00C119D9">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 </w:t>
            </w:r>
          </w:p>
        </w:tc>
      </w:tr>
      <w:tr w:rsidR="00C119D9">
        <w:tblPrEx>
          <w:tblCellMar>
            <w:top w:w="0" w:type="dxa"/>
            <w:left w:w="0" w:type="dxa"/>
            <w:bottom w:w="0" w:type="dxa"/>
            <w:right w:w="0" w:type="dxa"/>
          </w:tblCellMar>
        </w:tblPrEx>
        <w:trPr>
          <w:gridAfter w:val="3"/>
          <w:wAfter w:w="7779" w:type="dxa"/>
        </w:trPr>
        <w:tc>
          <w:tcPr>
            <w:tcW w:w="2593" w:type="dxa"/>
            <w:tcBorders>
              <w:top w:val="nil"/>
              <w:left w:val="nil"/>
              <w:bottom w:val="nil"/>
              <w:right w:val="nil"/>
            </w:tcBorders>
          </w:tcPr>
          <w:p w:rsidR="00C119D9" w:rsidRDefault="00C119D9">
            <w:pPr>
              <w:widowControl w:val="0"/>
              <w:autoSpaceDE w:val="0"/>
              <w:autoSpaceDN w:val="0"/>
              <w:adjustRightInd w:val="0"/>
              <w:spacing w:after="0" w:line="240" w:lineRule="auto"/>
              <w:rPr>
                <w:rFonts w:ascii="Times" w:hAnsi="Times" w:cs="Times"/>
                <w:b/>
                <w:bCs/>
                <w:color w:val="000000"/>
                <w:sz w:val="18"/>
                <w:szCs w:val="18"/>
              </w:rPr>
            </w:pPr>
            <w:r>
              <w:rPr>
                <w:rFonts w:ascii="Times" w:hAnsi="Times" w:cs="Times"/>
                <w:b/>
                <w:bCs/>
                <w:color w:val="000000"/>
                <w:sz w:val="18"/>
                <w:szCs w:val="18"/>
              </w:rPr>
              <w:t>13. ПОДПИСИ СТОРОН</w:t>
            </w:r>
          </w:p>
        </w:tc>
      </w:tr>
      <w:tr w:rsidR="00C119D9">
        <w:tblPrEx>
          <w:tblCellMar>
            <w:top w:w="0" w:type="dxa"/>
            <w:left w:w="0" w:type="dxa"/>
            <w:bottom w:w="0" w:type="dxa"/>
            <w:right w:w="0" w:type="dxa"/>
          </w:tblCellMar>
        </w:tblPrEx>
        <w:tc>
          <w:tcPr>
            <w:tcW w:w="5186" w:type="dxa"/>
            <w:gridSpan w:val="2"/>
            <w:tcBorders>
              <w:top w:val="nil"/>
              <w:left w:val="nil"/>
              <w:bottom w:val="nil"/>
              <w:right w:val="nil"/>
            </w:tcBorders>
          </w:tcPr>
          <w:p w:rsidR="00C119D9" w:rsidRDefault="00C119D9">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ОПЕРАТОР</w:t>
            </w:r>
          </w:p>
        </w:tc>
        <w:tc>
          <w:tcPr>
            <w:tcW w:w="5186" w:type="dxa"/>
            <w:gridSpan w:val="2"/>
            <w:tcBorders>
              <w:top w:val="nil"/>
              <w:left w:val="nil"/>
              <w:bottom w:val="nil"/>
              <w:right w:val="nil"/>
            </w:tcBorders>
          </w:tcPr>
          <w:p w:rsidR="00C119D9" w:rsidRDefault="00C119D9">
            <w:pPr>
              <w:widowControl w:val="0"/>
              <w:autoSpaceDE w:val="0"/>
              <w:autoSpaceDN w:val="0"/>
              <w:adjustRightInd w:val="0"/>
              <w:spacing w:after="0" w:line="240" w:lineRule="auto"/>
              <w:rPr>
                <w:rFonts w:ascii="Times" w:hAnsi="Times" w:cs="Times"/>
                <w:color w:val="000000"/>
                <w:sz w:val="18"/>
                <w:szCs w:val="18"/>
              </w:rPr>
            </w:pPr>
            <w:r>
              <w:rPr>
                <w:rFonts w:ascii="Times" w:hAnsi="Times" w:cs="Times"/>
                <w:color w:val="000000"/>
                <w:sz w:val="18"/>
                <w:szCs w:val="18"/>
              </w:rPr>
              <w:t>АБОНЕНТ</w:t>
            </w:r>
          </w:p>
        </w:tc>
      </w:tr>
      <w:tr w:rsidR="00C119D9">
        <w:tblPrEx>
          <w:tblCellMar>
            <w:top w:w="0" w:type="dxa"/>
            <w:left w:w="0" w:type="dxa"/>
            <w:bottom w:w="0" w:type="dxa"/>
            <w:right w:w="0" w:type="dxa"/>
          </w:tblCellMar>
        </w:tblPrEx>
        <w:trPr>
          <w:trHeight w:val="170"/>
        </w:trPr>
        <w:tc>
          <w:tcPr>
            <w:tcW w:w="2593" w:type="dxa"/>
            <w:tcBorders>
              <w:top w:val="nil"/>
              <w:left w:val="nil"/>
              <w:bottom w:val="single" w:sz="6" w:space="0" w:color="000000"/>
              <w:right w:val="nil"/>
            </w:tcBorders>
          </w:tcPr>
          <w:p w:rsidR="00C119D9" w:rsidRDefault="00C119D9">
            <w:pPr>
              <w:widowControl w:val="0"/>
              <w:autoSpaceDE w:val="0"/>
              <w:autoSpaceDN w:val="0"/>
              <w:adjustRightInd w:val="0"/>
              <w:spacing w:after="0" w:line="240" w:lineRule="auto"/>
              <w:rPr>
                <w:rFonts w:ascii="Times" w:hAnsi="Times" w:cs="Times"/>
                <w:color w:val="000000"/>
                <w:sz w:val="18"/>
                <w:szCs w:val="18"/>
              </w:rPr>
            </w:pPr>
          </w:p>
        </w:tc>
        <w:tc>
          <w:tcPr>
            <w:tcW w:w="2593" w:type="dxa"/>
            <w:tcBorders>
              <w:top w:val="nil"/>
              <w:left w:val="nil"/>
              <w:bottom w:val="nil"/>
              <w:right w:val="nil"/>
            </w:tcBorders>
          </w:tcPr>
          <w:p w:rsidR="00C119D9" w:rsidRDefault="00C119D9">
            <w:pPr>
              <w:widowControl w:val="0"/>
              <w:autoSpaceDE w:val="0"/>
              <w:autoSpaceDN w:val="0"/>
              <w:adjustRightInd w:val="0"/>
              <w:spacing w:after="0" w:line="240" w:lineRule="auto"/>
              <w:rPr>
                <w:rFonts w:ascii="Times" w:hAnsi="Times" w:cs="Times"/>
                <w:color w:val="000000"/>
                <w:sz w:val="18"/>
                <w:szCs w:val="18"/>
              </w:rPr>
            </w:pPr>
          </w:p>
        </w:tc>
        <w:tc>
          <w:tcPr>
            <w:tcW w:w="2593" w:type="dxa"/>
            <w:tcBorders>
              <w:top w:val="nil"/>
              <w:left w:val="nil"/>
              <w:bottom w:val="single" w:sz="6" w:space="0" w:color="000000"/>
              <w:right w:val="nil"/>
            </w:tcBorders>
          </w:tcPr>
          <w:p w:rsidR="00C119D9" w:rsidRDefault="00C119D9">
            <w:pPr>
              <w:widowControl w:val="0"/>
              <w:autoSpaceDE w:val="0"/>
              <w:autoSpaceDN w:val="0"/>
              <w:adjustRightInd w:val="0"/>
              <w:spacing w:after="0" w:line="240" w:lineRule="auto"/>
              <w:rPr>
                <w:rFonts w:ascii="Times" w:hAnsi="Times" w:cs="Times"/>
                <w:color w:val="000000"/>
                <w:sz w:val="18"/>
                <w:szCs w:val="18"/>
              </w:rPr>
            </w:pPr>
          </w:p>
        </w:tc>
        <w:tc>
          <w:tcPr>
            <w:tcW w:w="2593" w:type="dxa"/>
            <w:tcBorders>
              <w:top w:val="nil"/>
              <w:left w:val="nil"/>
              <w:bottom w:val="nil"/>
              <w:right w:val="nil"/>
            </w:tcBorders>
          </w:tcPr>
          <w:p w:rsidR="00C119D9" w:rsidRDefault="00C119D9">
            <w:pPr>
              <w:widowControl w:val="0"/>
              <w:autoSpaceDE w:val="0"/>
              <w:autoSpaceDN w:val="0"/>
              <w:adjustRightInd w:val="0"/>
              <w:spacing w:after="0" w:line="240" w:lineRule="auto"/>
              <w:rPr>
                <w:rFonts w:ascii="Times" w:hAnsi="Times" w:cs="Times"/>
                <w:color w:val="000000"/>
                <w:sz w:val="18"/>
                <w:szCs w:val="18"/>
              </w:rPr>
            </w:pPr>
          </w:p>
        </w:tc>
      </w:tr>
      <w:tr w:rsidR="00C119D9">
        <w:tblPrEx>
          <w:tblCellMar>
            <w:top w:w="0" w:type="dxa"/>
            <w:left w:w="0" w:type="dxa"/>
            <w:bottom w:w="0" w:type="dxa"/>
            <w:right w:w="0" w:type="dxa"/>
          </w:tblCellMar>
        </w:tblPrEx>
        <w:trPr>
          <w:trHeight w:val="170"/>
        </w:trPr>
        <w:tc>
          <w:tcPr>
            <w:tcW w:w="5186" w:type="dxa"/>
            <w:gridSpan w:val="2"/>
            <w:tcBorders>
              <w:top w:val="nil"/>
              <w:left w:val="nil"/>
              <w:bottom w:val="nil"/>
              <w:right w:val="nil"/>
            </w:tcBorders>
          </w:tcPr>
          <w:p w:rsidR="00C119D9" w:rsidRDefault="00C119D9">
            <w:pPr>
              <w:widowControl w:val="0"/>
              <w:autoSpaceDE w:val="0"/>
              <w:autoSpaceDN w:val="0"/>
              <w:adjustRightInd w:val="0"/>
              <w:spacing w:after="0" w:line="240" w:lineRule="auto"/>
              <w:jc w:val="center"/>
              <w:rPr>
                <w:rFonts w:ascii="Times" w:hAnsi="Times" w:cs="Times"/>
                <w:color w:val="000000"/>
                <w:sz w:val="18"/>
                <w:szCs w:val="18"/>
              </w:rPr>
            </w:pPr>
            <w:r>
              <w:rPr>
                <w:rFonts w:ascii="Times" w:hAnsi="Times" w:cs="Times"/>
                <w:color w:val="000000"/>
                <w:sz w:val="18"/>
                <w:szCs w:val="18"/>
              </w:rPr>
              <w:t>М.П.</w:t>
            </w:r>
          </w:p>
        </w:tc>
        <w:tc>
          <w:tcPr>
            <w:tcW w:w="5186" w:type="dxa"/>
            <w:gridSpan w:val="2"/>
            <w:tcBorders>
              <w:top w:val="nil"/>
              <w:left w:val="nil"/>
              <w:bottom w:val="nil"/>
              <w:right w:val="nil"/>
            </w:tcBorders>
          </w:tcPr>
          <w:p w:rsidR="00C119D9" w:rsidRDefault="00C119D9">
            <w:pPr>
              <w:widowControl w:val="0"/>
              <w:autoSpaceDE w:val="0"/>
              <w:autoSpaceDN w:val="0"/>
              <w:adjustRightInd w:val="0"/>
              <w:spacing w:after="0" w:line="240" w:lineRule="auto"/>
              <w:jc w:val="center"/>
              <w:rPr>
                <w:rFonts w:ascii="Times" w:hAnsi="Times" w:cs="Times"/>
                <w:color w:val="000000"/>
                <w:sz w:val="18"/>
                <w:szCs w:val="18"/>
              </w:rPr>
            </w:pPr>
            <w:r>
              <w:rPr>
                <w:rFonts w:ascii="Times" w:hAnsi="Times" w:cs="Times"/>
                <w:color w:val="000000"/>
                <w:sz w:val="18"/>
                <w:szCs w:val="18"/>
              </w:rPr>
              <w:t>М.П.</w:t>
            </w:r>
          </w:p>
        </w:tc>
      </w:tr>
    </w:tbl>
    <w:p w:rsidR="00C119D9" w:rsidRDefault="00C119D9">
      <w:pPr>
        <w:widowControl w:val="0"/>
        <w:autoSpaceDE w:val="0"/>
        <w:autoSpaceDN w:val="0"/>
        <w:adjustRightInd w:val="0"/>
        <w:spacing w:after="0" w:line="240" w:lineRule="auto"/>
        <w:rPr>
          <w:rFonts w:ascii="Arial" w:hAnsi="Arial" w:cs="Arial"/>
          <w:sz w:val="24"/>
          <w:szCs w:val="24"/>
        </w:rPr>
        <w:sectPr w:rsidR="00C119D9">
          <w:pgSz w:w="11905" w:h="16837"/>
          <w:pgMar w:top="623" w:right="623" w:bottom="623" w:left="907" w:header="720" w:footer="720" w:gutter="0"/>
          <w:cols w:space="720"/>
          <w:noEndnote/>
        </w:sectPr>
      </w:pPr>
    </w:p>
    <w:tbl>
      <w:tblPr>
        <w:tblW w:w="0" w:type="auto"/>
        <w:tblLayout w:type="fixed"/>
        <w:tblCellMar>
          <w:left w:w="0" w:type="dxa"/>
          <w:right w:w="0" w:type="dxa"/>
        </w:tblCellMar>
        <w:tblLook w:val="0000" w:firstRow="0" w:lastRow="0" w:firstColumn="0" w:lastColumn="0" w:noHBand="0" w:noVBand="0"/>
      </w:tblPr>
      <w:tblGrid>
        <w:gridCol w:w="1133"/>
        <w:gridCol w:w="9467"/>
      </w:tblGrid>
      <w:tr w:rsidR="00C119D9">
        <w:tblPrEx>
          <w:tblCellMar>
            <w:top w:w="0" w:type="dxa"/>
            <w:left w:w="0" w:type="dxa"/>
            <w:bottom w:w="0" w:type="dxa"/>
            <w:right w:w="0" w:type="dxa"/>
          </w:tblCellMar>
        </w:tblPrEx>
        <w:tc>
          <w:tcPr>
            <w:tcW w:w="1133" w:type="dxa"/>
            <w:tcBorders>
              <w:top w:val="nil"/>
              <w:left w:val="nil"/>
              <w:bottom w:val="nil"/>
              <w:right w:val="nil"/>
            </w:tcBorders>
          </w:tcPr>
          <w:p w:rsidR="00C119D9" w:rsidRDefault="00C119D9">
            <w:pPr>
              <w:widowControl w:val="0"/>
              <w:autoSpaceDE w:val="0"/>
              <w:autoSpaceDN w:val="0"/>
              <w:adjustRightInd w:val="0"/>
              <w:spacing w:after="0" w:line="240" w:lineRule="auto"/>
              <w:rPr>
                <w:rFonts w:ascii="Times" w:hAnsi="Times" w:cs="Times"/>
                <w:color w:val="000000"/>
                <w:sz w:val="17"/>
                <w:szCs w:val="17"/>
              </w:rPr>
            </w:pPr>
          </w:p>
        </w:tc>
        <w:tc>
          <w:tcPr>
            <w:tcW w:w="9467" w:type="dxa"/>
            <w:tcBorders>
              <w:top w:val="nil"/>
              <w:left w:val="nil"/>
              <w:bottom w:val="nil"/>
              <w:right w:val="nil"/>
            </w:tcBorders>
          </w:tcPr>
          <w:p w:rsidR="00C119D9" w:rsidRDefault="00C119D9">
            <w:pPr>
              <w:widowControl w:val="0"/>
              <w:autoSpaceDE w:val="0"/>
              <w:autoSpaceDN w:val="0"/>
              <w:adjustRightInd w:val="0"/>
              <w:spacing w:after="0" w:line="240" w:lineRule="auto"/>
              <w:jc w:val="right"/>
              <w:rPr>
                <w:rFonts w:ascii="Times" w:hAnsi="Times" w:cs="Times"/>
                <w:b/>
                <w:bCs/>
                <w:color w:val="000000"/>
                <w:sz w:val="17"/>
                <w:szCs w:val="17"/>
              </w:rPr>
            </w:pPr>
            <w:r>
              <w:rPr>
                <w:rFonts w:ascii="Times" w:hAnsi="Times" w:cs="Times"/>
                <w:b/>
                <w:bCs/>
                <w:color w:val="000000"/>
                <w:sz w:val="17"/>
                <w:szCs w:val="17"/>
              </w:rPr>
              <w:t>Приложение 1</w:t>
            </w:r>
          </w:p>
          <w:p w:rsidR="00C119D9" w:rsidRDefault="00C119D9" w:rsidP="007631F3">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к Договору № </w:t>
            </w:r>
            <w:r w:rsidR="007631F3">
              <w:rPr>
                <w:rFonts w:ascii="Times" w:hAnsi="Times" w:cs="Times"/>
                <w:color w:val="000000"/>
                <w:sz w:val="17"/>
                <w:szCs w:val="17"/>
              </w:rPr>
              <w:t>_______</w:t>
            </w:r>
            <w:r>
              <w:rPr>
                <w:rFonts w:ascii="Times" w:hAnsi="Times" w:cs="Times"/>
                <w:color w:val="000000"/>
                <w:sz w:val="17"/>
                <w:szCs w:val="17"/>
              </w:rPr>
              <w:t> от </w:t>
            </w:r>
            <w:r w:rsidR="007631F3">
              <w:rPr>
                <w:rFonts w:ascii="Times" w:hAnsi="Times" w:cs="Times"/>
                <w:color w:val="000000"/>
                <w:sz w:val="17"/>
                <w:szCs w:val="17"/>
              </w:rPr>
              <w:t>__.__</w:t>
            </w:r>
            <w:r>
              <w:rPr>
                <w:rFonts w:ascii="Times" w:hAnsi="Times" w:cs="Times"/>
                <w:color w:val="000000"/>
                <w:sz w:val="17"/>
                <w:szCs w:val="17"/>
              </w:rPr>
              <w:t>.2026</w:t>
            </w:r>
          </w:p>
        </w:tc>
      </w:tr>
      <w:tr w:rsidR="00C119D9">
        <w:tblPrEx>
          <w:tblCellMar>
            <w:top w:w="0" w:type="dxa"/>
            <w:left w:w="0" w:type="dxa"/>
            <w:bottom w:w="0" w:type="dxa"/>
            <w:right w:w="0" w:type="dxa"/>
          </w:tblCellMar>
        </w:tblPrEx>
        <w:tc>
          <w:tcPr>
            <w:tcW w:w="10600" w:type="dxa"/>
            <w:gridSpan w:val="2"/>
            <w:tcBorders>
              <w:top w:val="nil"/>
              <w:left w:val="nil"/>
              <w:bottom w:val="nil"/>
              <w:right w:val="nil"/>
            </w:tcBorders>
          </w:tcPr>
          <w:p w:rsidR="00C119D9" w:rsidRDefault="00C119D9">
            <w:pPr>
              <w:widowControl w:val="0"/>
              <w:autoSpaceDE w:val="0"/>
              <w:autoSpaceDN w:val="0"/>
              <w:adjustRightInd w:val="0"/>
              <w:spacing w:after="0" w:line="240" w:lineRule="auto"/>
              <w:jc w:val="center"/>
              <w:rPr>
                <w:rFonts w:ascii="Times" w:hAnsi="Times" w:cs="Times"/>
                <w:b/>
                <w:bCs/>
                <w:color w:val="000000"/>
                <w:sz w:val="17"/>
                <w:szCs w:val="17"/>
              </w:rPr>
            </w:pPr>
            <w:r>
              <w:rPr>
                <w:rFonts w:ascii="Times" w:hAnsi="Times" w:cs="Times"/>
                <w:b/>
                <w:bCs/>
                <w:color w:val="000000"/>
                <w:sz w:val="17"/>
                <w:szCs w:val="17"/>
              </w:rPr>
              <w:t xml:space="preserve">Спецификация №1 от </w:t>
            </w:r>
            <w:r w:rsidR="007631F3">
              <w:rPr>
                <w:rFonts w:ascii="Times" w:hAnsi="Times" w:cs="Times"/>
                <w:b/>
                <w:bCs/>
                <w:color w:val="000000"/>
                <w:sz w:val="17"/>
                <w:szCs w:val="17"/>
              </w:rPr>
              <w:t>__.__</w:t>
            </w:r>
            <w:r>
              <w:rPr>
                <w:rFonts w:ascii="Times" w:hAnsi="Times" w:cs="Times"/>
                <w:b/>
                <w:bCs/>
                <w:color w:val="000000"/>
                <w:sz w:val="17"/>
                <w:szCs w:val="17"/>
              </w:rPr>
              <w:t>.2026</w:t>
            </w:r>
          </w:p>
          <w:p w:rsidR="00C119D9" w:rsidRDefault="00C119D9" w:rsidP="007631F3">
            <w:pPr>
              <w:widowControl w:val="0"/>
              <w:autoSpaceDE w:val="0"/>
              <w:autoSpaceDN w:val="0"/>
              <w:adjustRightInd w:val="0"/>
              <w:spacing w:after="0" w:line="240" w:lineRule="auto"/>
              <w:jc w:val="center"/>
              <w:rPr>
                <w:rFonts w:ascii="Times" w:hAnsi="Times" w:cs="Times"/>
                <w:color w:val="000000"/>
                <w:sz w:val="17"/>
                <w:szCs w:val="17"/>
              </w:rPr>
            </w:pPr>
            <w:r>
              <w:rPr>
                <w:rFonts w:ascii="Times" w:hAnsi="Times" w:cs="Times"/>
                <w:color w:val="000000"/>
                <w:sz w:val="17"/>
                <w:szCs w:val="17"/>
              </w:rPr>
              <w:t xml:space="preserve">с </w:t>
            </w:r>
            <w:r w:rsidR="007631F3">
              <w:rPr>
                <w:rFonts w:ascii="Times" w:hAnsi="Times" w:cs="Times"/>
                <w:color w:val="000000"/>
                <w:sz w:val="17"/>
                <w:szCs w:val="17"/>
              </w:rPr>
              <w:t>__________</w:t>
            </w:r>
            <w:r>
              <w:rPr>
                <w:rFonts w:ascii="Times" w:hAnsi="Times" w:cs="Times"/>
                <w:color w:val="000000"/>
                <w:sz w:val="17"/>
                <w:szCs w:val="17"/>
              </w:rPr>
              <w:t xml:space="preserve"> (ИНН </w:t>
            </w:r>
            <w:r w:rsidR="007631F3">
              <w:rPr>
                <w:rFonts w:ascii="Times" w:hAnsi="Times" w:cs="Times"/>
                <w:color w:val="000000"/>
                <w:sz w:val="17"/>
                <w:szCs w:val="17"/>
              </w:rPr>
              <w:t>________</w:t>
            </w:r>
            <w:r>
              <w:rPr>
                <w:rFonts w:ascii="Times" w:hAnsi="Times" w:cs="Times"/>
                <w:color w:val="000000"/>
                <w:sz w:val="17"/>
                <w:szCs w:val="17"/>
              </w:rPr>
              <w:t xml:space="preserve">; КПП </w:t>
            </w:r>
            <w:r w:rsidR="007631F3">
              <w:rPr>
                <w:rFonts w:ascii="Times" w:hAnsi="Times" w:cs="Times"/>
                <w:color w:val="000000"/>
                <w:sz w:val="17"/>
                <w:szCs w:val="17"/>
              </w:rPr>
              <w:t>_____________-</w:t>
            </w:r>
            <w:r>
              <w:rPr>
                <w:rFonts w:ascii="Times" w:hAnsi="Times" w:cs="Times"/>
                <w:color w:val="000000"/>
                <w:sz w:val="17"/>
                <w:szCs w:val="17"/>
              </w:rPr>
              <w:t>)</w:t>
            </w:r>
          </w:p>
        </w:tc>
      </w:tr>
    </w:tbl>
    <w:p w:rsidR="00C119D9" w:rsidRDefault="00C119D9">
      <w:pPr>
        <w:widowControl w:val="0"/>
        <w:autoSpaceDE w:val="0"/>
        <w:autoSpaceDN w:val="0"/>
        <w:adjustRightInd w:val="0"/>
        <w:spacing w:before="226" w:after="113" w:line="240" w:lineRule="auto"/>
        <w:rPr>
          <w:rFonts w:ascii="Times" w:hAnsi="Times" w:cs="Times"/>
          <w:color w:val="000000"/>
          <w:sz w:val="17"/>
          <w:szCs w:val="17"/>
        </w:rPr>
      </w:pPr>
      <w:r>
        <w:rPr>
          <w:rFonts w:ascii="Times" w:hAnsi="Times" w:cs="Times"/>
          <w:color w:val="000000"/>
          <w:sz w:val="17"/>
          <w:szCs w:val="17"/>
        </w:rPr>
        <w:t>1.1. Право использования программы для ЭВМ</w:t>
      </w:r>
    </w:p>
    <w:tbl>
      <w:tblPr>
        <w:tblW w:w="0" w:type="auto"/>
        <w:tblInd w:w="56" w:type="dxa"/>
        <w:tblLayout w:type="fixed"/>
        <w:tblCellMar>
          <w:left w:w="0" w:type="dxa"/>
          <w:right w:w="0" w:type="dxa"/>
        </w:tblCellMar>
        <w:tblLook w:val="0000" w:firstRow="0" w:lastRow="0" w:firstColumn="0" w:lastColumn="0" w:noHBand="0" w:noVBand="0"/>
      </w:tblPr>
      <w:tblGrid>
        <w:gridCol w:w="340"/>
        <w:gridCol w:w="3401"/>
        <w:gridCol w:w="453"/>
        <w:gridCol w:w="566"/>
        <w:gridCol w:w="907"/>
        <w:gridCol w:w="1247"/>
        <w:gridCol w:w="1190"/>
        <w:gridCol w:w="850"/>
        <w:gridCol w:w="1247"/>
      </w:tblGrid>
      <w:tr w:rsidR="00C119D9">
        <w:tblPrEx>
          <w:tblCellMar>
            <w:top w:w="0" w:type="dxa"/>
            <w:left w:w="0" w:type="dxa"/>
            <w:bottom w:w="0" w:type="dxa"/>
            <w:right w:w="0" w:type="dxa"/>
          </w:tblCellMar>
        </w:tblPrEx>
        <w:trPr>
          <w:tblHeader/>
        </w:trPr>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Наименование</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Ед.</w:t>
            </w:r>
          </w:p>
        </w:tc>
        <w:tc>
          <w:tcPr>
            <w:tcW w:w="56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Кол-во</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Цена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без налога</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Налоговая ставка</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Сумма налога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с налогом</w:t>
            </w:r>
          </w:p>
        </w:tc>
      </w:tr>
      <w:tr w:rsidR="00C119D9">
        <w:tblPrEx>
          <w:tblCellMar>
            <w:top w:w="0" w:type="dxa"/>
            <w:left w:w="0" w:type="dxa"/>
            <w:bottom w:w="0" w:type="dxa"/>
            <w:right w:w="0" w:type="dxa"/>
          </w:tblCellMar>
        </w:tblPrEx>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1A7CA1" w:rsidP="0051658D">
            <w:pPr>
              <w:widowControl w:val="0"/>
              <w:autoSpaceDE w:val="0"/>
              <w:autoSpaceDN w:val="0"/>
              <w:adjustRightInd w:val="0"/>
              <w:spacing w:after="0" w:line="240" w:lineRule="auto"/>
              <w:rPr>
                <w:rFonts w:ascii="Times" w:hAnsi="Times" w:cs="Times"/>
                <w:color w:val="000000"/>
                <w:sz w:val="16"/>
                <w:szCs w:val="16"/>
              </w:rPr>
            </w:pPr>
            <w:r w:rsidRPr="001A7CA1">
              <w:rPr>
                <w:rFonts w:ascii="Times" w:hAnsi="Times" w:cs="Times"/>
                <w:color w:val="000000"/>
                <w:sz w:val="16"/>
                <w:szCs w:val="16"/>
              </w:rPr>
              <w:t>Право использования программы для ЭВМ "Контур.Экстерн" по тарифному плану "Бюджетник плюс" на 1год, с применением встроенных в сертификат/ключевой контейнер СКЗИ "КриптоПро CSP"</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шт.</w:t>
            </w:r>
          </w:p>
        </w:tc>
        <w:tc>
          <w:tcPr>
            <w:tcW w:w="56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1,00</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064539">
            <w:pPr>
              <w:widowControl w:val="0"/>
              <w:autoSpaceDE w:val="0"/>
              <w:autoSpaceDN w:val="0"/>
              <w:adjustRightInd w:val="0"/>
              <w:spacing w:after="0" w:line="240" w:lineRule="auto"/>
              <w:jc w:val="right"/>
              <w:rPr>
                <w:rFonts w:ascii="Times" w:hAnsi="Times" w:cs="Times"/>
                <w:color w:val="000000"/>
                <w:sz w:val="16"/>
                <w:szCs w:val="16"/>
              </w:rPr>
            </w:pPr>
            <w:r>
              <w:rPr>
                <w:rFonts w:ascii="Times" w:hAnsi="Times" w:cs="Times"/>
                <w:color w:val="000000"/>
                <w:sz w:val="16"/>
                <w:szCs w:val="16"/>
              </w:rPr>
              <w:t>3984,67</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064539">
            <w:pPr>
              <w:widowControl w:val="0"/>
              <w:autoSpaceDE w:val="0"/>
              <w:autoSpaceDN w:val="0"/>
              <w:adjustRightInd w:val="0"/>
              <w:spacing w:after="0" w:line="240" w:lineRule="auto"/>
              <w:jc w:val="right"/>
              <w:rPr>
                <w:rFonts w:ascii="Times" w:hAnsi="Times" w:cs="Times"/>
                <w:color w:val="000000"/>
                <w:sz w:val="16"/>
                <w:szCs w:val="16"/>
              </w:rPr>
            </w:pPr>
            <w:r>
              <w:rPr>
                <w:rFonts w:ascii="Times" w:hAnsi="Times" w:cs="Times"/>
                <w:color w:val="000000"/>
                <w:sz w:val="16"/>
                <w:szCs w:val="16"/>
              </w:rPr>
              <w:t>3984,67</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A06016">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Без НДС</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A06016">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Без НДС</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064539" w:rsidP="00A06016">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3984,67</w:t>
            </w:r>
          </w:p>
        </w:tc>
      </w:tr>
      <w:tr w:rsidR="00C119D9">
        <w:tblPrEx>
          <w:tblCellMar>
            <w:top w:w="0" w:type="dxa"/>
            <w:left w:w="0" w:type="dxa"/>
            <w:bottom w:w="0" w:type="dxa"/>
            <w:right w:w="0" w:type="dxa"/>
          </w:tblCellMar>
        </w:tblPrEx>
        <w:tc>
          <w:tcPr>
            <w:tcW w:w="8104" w:type="dxa"/>
            <w:gridSpan w:val="7"/>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right"/>
              <w:rPr>
                <w:rFonts w:ascii="Times" w:hAnsi="Times" w:cs="Times"/>
                <w:b/>
                <w:bCs/>
                <w:color w:val="000000"/>
                <w:sz w:val="16"/>
                <w:szCs w:val="16"/>
              </w:rPr>
            </w:pPr>
            <w:r>
              <w:rPr>
                <w:rFonts w:ascii="Times" w:hAnsi="Times" w:cs="Times"/>
                <w:b/>
                <w:bCs/>
                <w:color w:val="000000"/>
                <w:sz w:val="16"/>
                <w:szCs w:val="16"/>
              </w:rPr>
              <w:t>ИТОГО:</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right"/>
              <w:rPr>
                <w:rFonts w:ascii="Times" w:hAnsi="Times" w:cs="Times"/>
                <w:b/>
                <w:bCs/>
                <w:color w:val="000000"/>
                <w:sz w:val="16"/>
                <w:szCs w:val="16"/>
              </w:rPr>
            </w:pP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right"/>
              <w:rPr>
                <w:rFonts w:ascii="Times" w:hAnsi="Times" w:cs="Times"/>
                <w:b/>
                <w:bCs/>
                <w:color w:val="000000"/>
                <w:sz w:val="16"/>
                <w:szCs w:val="16"/>
              </w:rPr>
            </w:pPr>
          </w:p>
        </w:tc>
      </w:tr>
    </w:tbl>
    <w:p w:rsidR="00C119D9" w:rsidRDefault="00C119D9">
      <w:pPr>
        <w:widowControl w:val="0"/>
        <w:autoSpaceDE w:val="0"/>
        <w:autoSpaceDN w:val="0"/>
        <w:adjustRightInd w:val="0"/>
        <w:spacing w:before="226" w:after="113" w:line="240" w:lineRule="auto"/>
        <w:rPr>
          <w:rFonts w:ascii="Times" w:hAnsi="Times" w:cs="Times"/>
          <w:color w:val="000000"/>
          <w:sz w:val="17"/>
          <w:szCs w:val="17"/>
        </w:rPr>
      </w:pPr>
      <w:r>
        <w:rPr>
          <w:rFonts w:ascii="Times" w:hAnsi="Times" w:cs="Times"/>
          <w:color w:val="000000"/>
          <w:sz w:val="17"/>
          <w:szCs w:val="17"/>
        </w:rPr>
        <w:t>1.2. Оказание услуг/выполнение работ/передача ТМЦ</w:t>
      </w:r>
    </w:p>
    <w:tbl>
      <w:tblPr>
        <w:tblW w:w="0" w:type="auto"/>
        <w:tblInd w:w="56" w:type="dxa"/>
        <w:tblLayout w:type="fixed"/>
        <w:tblCellMar>
          <w:left w:w="0" w:type="dxa"/>
          <w:right w:w="0" w:type="dxa"/>
        </w:tblCellMar>
        <w:tblLook w:val="0000" w:firstRow="0" w:lastRow="0" w:firstColumn="0" w:lastColumn="0" w:noHBand="0" w:noVBand="0"/>
      </w:tblPr>
      <w:tblGrid>
        <w:gridCol w:w="340"/>
        <w:gridCol w:w="3401"/>
        <w:gridCol w:w="453"/>
        <w:gridCol w:w="566"/>
        <w:gridCol w:w="907"/>
        <w:gridCol w:w="1247"/>
        <w:gridCol w:w="1190"/>
        <w:gridCol w:w="850"/>
        <w:gridCol w:w="1247"/>
      </w:tblGrid>
      <w:tr w:rsidR="00C119D9">
        <w:tblPrEx>
          <w:tblCellMar>
            <w:top w:w="0" w:type="dxa"/>
            <w:left w:w="0" w:type="dxa"/>
            <w:bottom w:w="0" w:type="dxa"/>
            <w:right w:w="0" w:type="dxa"/>
          </w:tblCellMar>
        </w:tblPrEx>
        <w:trPr>
          <w:tblHeader/>
        </w:trPr>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Наименование</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Ед.</w:t>
            </w:r>
          </w:p>
        </w:tc>
        <w:tc>
          <w:tcPr>
            <w:tcW w:w="56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Кол-во</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Цена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без налога</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Налоговая ставка</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Сумма налога</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Стоимость с налогом</w:t>
            </w:r>
          </w:p>
        </w:tc>
      </w:tr>
      <w:tr w:rsidR="00C119D9">
        <w:tblPrEx>
          <w:tblCellMar>
            <w:top w:w="0" w:type="dxa"/>
            <w:left w:w="0" w:type="dxa"/>
            <w:bottom w:w="0" w:type="dxa"/>
            <w:right w:w="0" w:type="dxa"/>
          </w:tblCellMar>
        </w:tblPrEx>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w:t>
            </w:r>
          </w:p>
        </w:tc>
        <w:tc>
          <w:tcPr>
            <w:tcW w:w="340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1A7CA1" w:rsidP="0051658D">
            <w:pPr>
              <w:widowControl w:val="0"/>
              <w:autoSpaceDE w:val="0"/>
              <w:autoSpaceDN w:val="0"/>
              <w:adjustRightInd w:val="0"/>
              <w:spacing w:after="0" w:line="240" w:lineRule="auto"/>
              <w:rPr>
                <w:rFonts w:ascii="Times" w:hAnsi="Times" w:cs="Times"/>
                <w:color w:val="000000"/>
                <w:sz w:val="16"/>
                <w:szCs w:val="16"/>
              </w:rPr>
            </w:pPr>
            <w:r w:rsidRPr="001A7CA1">
              <w:rPr>
                <w:rFonts w:ascii="Times" w:hAnsi="Times" w:cs="Times"/>
                <w:color w:val="000000"/>
                <w:sz w:val="16"/>
                <w:szCs w:val="16"/>
              </w:rPr>
              <w:t>Услуги по сопровождению программы для ЭВМ "Контур.Экстерн" (техническая поддержка в виде</w:t>
            </w:r>
            <w:r>
              <w:rPr>
                <w:rFonts w:ascii="Times" w:hAnsi="Times" w:cs="Times"/>
                <w:color w:val="000000"/>
                <w:sz w:val="16"/>
                <w:szCs w:val="16"/>
              </w:rPr>
              <w:t xml:space="preserve"> </w:t>
            </w:r>
            <w:r w:rsidRPr="001A7CA1">
              <w:rPr>
                <w:rFonts w:ascii="Times" w:hAnsi="Times" w:cs="Times"/>
                <w:color w:val="000000"/>
                <w:sz w:val="16"/>
                <w:szCs w:val="16"/>
              </w:rPr>
              <w:t>абонентского обслуживания) по тарифному плану "Бюджетник плюс" на 1 год</w:t>
            </w:r>
          </w:p>
        </w:tc>
        <w:tc>
          <w:tcPr>
            <w:tcW w:w="453"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шт.</w:t>
            </w:r>
          </w:p>
        </w:tc>
        <w:tc>
          <w:tcPr>
            <w:tcW w:w="566"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1,00</w:t>
            </w:r>
          </w:p>
        </w:tc>
        <w:tc>
          <w:tcPr>
            <w:tcW w:w="90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064539">
            <w:pPr>
              <w:widowControl w:val="0"/>
              <w:autoSpaceDE w:val="0"/>
              <w:autoSpaceDN w:val="0"/>
              <w:adjustRightInd w:val="0"/>
              <w:spacing w:after="0" w:line="240" w:lineRule="auto"/>
              <w:jc w:val="right"/>
              <w:rPr>
                <w:rFonts w:ascii="Times" w:hAnsi="Times" w:cs="Times"/>
                <w:color w:val="000000"/>
                <w:sz w:val="16"/>
                <w:szCs w:val="16"/>
              </w:rPr>
            </w:pPr>
            <w:r>
              <w:rPr>
                <w:rFonts w:ascii="Times" w:hAnsi="Times" w:cs="Times"/>
                <w:color w:val="000000"/>
                <w:sz w:val="16"/>
                <w:szCs w:val="16"/>
              </w:rPr>
              <w:t>996,17</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064539">
            <w:pPr>
              <w:widowControl w:val="0"/>
              <w:autoSpaceDE w:val="0"/>
              <w:autoSpaceDN w:val="0"/>
              <w:adjustRightInd w:val="0"/>
              <w:spacing w:after="0" w:line="240" w:lineRule="auto"/>
              <w:jc w:val="right"/>
              <w:rPr>
                <w:rFonts w:ascii="Times" w:hAnsi="Times" w:cs="Times"/>
                <w:color w:val="000000"/>
                <w:sz w:val="16"/>
                <w:szCs w:val="16"/>
              </w:rPr>
            </w:pPr>
            <w:r>
              <w:rPr>
                <w:rFonts w:ascii="Times" w:hAnsi="Times" w:cs="Times"/>
                <w:color w:val="000000"/>
                <w:sz w:val="16"/>
                <w:szCs w:val="16"/>
              </w:rPr>
              <w:t>996,17</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A06016">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22</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064539">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219,16</w:t>
            </w: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064539" w:rsidP="00064539">
            <w:pPr>
              <w:widowControl w:val="0"/>
              <w:autoSpaceDE w:val="0"/>
              <w:autoSpaceDN w:val="0"/>
              <w:adjustRightInd w:val="0"/>
              <w:spacing w:after="0" w:line="240" w:lineRule="auto"/>
              <w:jc w:val="center"/>
              <w:rPr>
                <w:rFonts w:ascii="Times" w:hAnsi="Times" w:cs="Times"/>
                <w:color w:val="000000"/>
                <w:sz w:val="16"/>
                <w:szCs w:val="16"/>
              </w:rPr>
            </w:pPr>
            <w:r>
              <w:rPr>
                <w:rFonts w:ascii="Times" w:hAnsi="Times" w:cs="Times"/>
                <w:color w:val="000000"/>
                <w:sz w:val="16"/>
                <w:szCs w:val="16"/>
              </w:rPr>
              <w:t xml:space="preserve">1215,33 </w:t>
            </w:r>
          </w:p>
        </w:tc>
      </w:tr>
      <w:tr w:rsidR="00C119D9">
        <w:tblPrEx>
          <w:tblCellMar>
            <w:top w:w="0" w:type="dxa"/>
            <w:left w:w="0" w:type="dxa"/>
            <w:bottom w:w="0" w:type="dxa"/>
            <w:right w:w="0" w:type="dxa"/>
          </w:tblCellMar>
        </w:tblPrEx>
        <w:tc>
          <w:tcPr>
            <w:tcW w:w="8104" w:type="dxa"/>
            <w:gridSpan w:val="7"/>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right"/>
              <w:rPr>
                <w:rFonts w:ascii="Times" w:hAnsi="Times" w:cs="Times"/>
                <w:b/>
                <w:bCs/>
                <w:color w:val="000000"/>
                <w:sz w:val="16"/>
                <w:szCs w:val="16"/>
              </w:rPr>
            </w:pPr>
            <w:r>
              <w:rPr>
                <w:rFonts w:ascii="Times" w:hAnsi="Times" w:cs="Times"/>
                <w:b/>
                <w:bCs/>
                <w:color w:val="000000"/>
                <w:sz w:val="16"/>
                <w:szCs w:val="16"/>
              </w:rPr>
              <w:t>ИТОГО:</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right"/>
              <w:rPr>
                <w:rFonts w:ascii="Times" w:hAnsi="Times" w:cs="Times"/>
                <w:b/>
                <w:bCs/>
                <w:color w:val="000000"/>
                <w:sz w:val="16"/>
                <w:szCs w:val="16"/>
              </w:rPr>
            </w:pPr>
          </w:p>
        </w:tc>
        <w:tc>
          <w:tcPr>
            <w:tcW w:w="124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C119D9" w:rsidRDefault="00C119D9">
            <w:pPr>
              <w:widowControl w:val="0"/>
              <w:autoSpaceDE w:val="0"/>
              <w:autoSpaceDN w:val="0"/>
              <w:adjustRightInd w:val="0"/>
              <w:spacing w:after="0" w:line="240" w:lineRule="auto"/>
              <w:jc w:val="right"/>
              <w:rPr>
                <w:rFonts w:ascii="Times" w:hAnsi="Times" w:cs="Times"/>
                <w:b/>
                <w:bCs/>
                <w:color w:val="000000"/>
                <w:sz w:val="16"/>
                <w:szCs w:val="16"/>
              </w:rPr>
            </w:pPr>
          </w:p>
        </w:tc>
      </w:tr>
    </w:tbl>
    <w:p w:rsidR="00C119D9" w:rsidRDefault="00C119D9">
      <w:pPr>
        <w:widowControl w:val="0"/>
        <w:autoSpaceDE w:val="0"/>
        <w:autoSpaceDN w:val="0"/>
        <w:adjustRightInd w:val="0"/>
        <w:spacing w:before="226" w:after="0" w:line="240" w:lineRule="auto"/>
        <w:rPr>
          <w:rFonts w:ascii="Times" w:hAnsi="Times" w:cs="Times"/>
          <w:color w:val="000000"/>
          <w:sz w:val="17"/>
          <w:szCs w:val="17"/>
        </w:rPr>
      </w:pPr>
      <w:r>
        <w:rPr>
          <w:rFonts w:ascii="Times" w:hAnsi="Times" w:cs="Times"/>
          <w:color w:val="000000"/>
          <w:sz w:val="17"/>
          <w:szCs w:val="17"/>
        </w:rPr>
        <w:t>Общая стоимость Спецификации по п.1 составляет</w:t>
      </w:r>
      <w:r w:rsidR="007631F3">
        <w:rPr>
          <w:rFonts w:ascii="Times" w:hAnsi="Times" w:cs="Times"/>
          <w:color w:val="000000"/>
          <w:sz w:val="17"/>
          <w:szCs w:val="17"/>
        </w:rPr>
        <w:t>________</w:t>
      </w:r>
      <w:r>
        <w:rPr>
          <w:rFonts w:ascii="Times" w:hAnsi="Times" w:cs="Times"/>
          <w:color w:val="000000"/>
          <w:sz w:val="17"/>
          <w:szCs w:val="17"/>
        </w:rPr>
        <w:t> руб. (</w:t>
      </w:r>
      <w:r w:rsidR="007631F3">
        <w:rPr>
          <w:rFonts w:ascii="Times" w:hAnsi="Times" w:cs="Times"/>
          <w:color w:val="000000"/>
          <w:sz w:val="17"/>
          <w:szCs w:val="17"/>
        </w:rPr>
        <w:t>________</w:t>
      </w:r>
      <w:r>
        <w:rPr>
          <w:rFonts w:ascii="Times" w:hAnsi="Times" w:cs="Times"/>
          <w:color w:val="000000"/>
          <w:sz w:val="17"/>
          <w:szCs w:val="17"/>
        </w:rPr>
        <w:t xml:space="preserve"> рублей </w:t>
      </w:r>
      <w:r w:rsidR="007631F3">
        <w:rPr>
          <w:rFonts w:ascii="Times" w:hAnsi="Times" w:cs="Times"/>
          <w:color w:val="000000"/>
          <w:sz w:val="17"/>
          <w:szCs w:val="17"/>
        </w:rPr>
        <w:t>___</w:t>
      </w:r>
      <w:r>
        <w:rPr>
          <w:rFonts w:ascii="Times" w:hAnsi="Times" w:cs="Times"/>
          <w:color w:val="000000"/>
          <w:sz w:val="17"/>
          <w:szCs w:val="17"/>
        </w:rPr>
        <w:t xml:space="preserve"> копеек), НДС, исчисленный по ставке, установленной п. 3 ст. 164 Налогового кодекса Российской Федерации, составляет: </w:t>
      </w:r>
      <w:r w:rsidR="007631F3">
        <w:rPr>
          <w:rFonts w:ascii="Times" w:hAnsi="Times" w:cs="Times"/>
          <w:color w:val="000000"/>
          <w:sz w:val="17"/>
          <w:szCs w:val="17"/>
        </w:rPr>
        <w:t>____________</w:t>
      </w:r>
    </w:p>
    <w:p w:rsidR="00C119D9" w:rsidRDefault="00C119D9">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  </w:t>
      </w:r>
    </w:p>
    <w:p w:rsidR="00C119D9" w:rsidRDefault="00C119D9">
      <w:pPr>
        <w:widowControl w:val="0"/>
        <w:autoSpaceDE w:val="0"/>
        <w:autoSpaceDN w:val="0"/>
        <w:adjustRightInd w:val="0"/>
        <w:spacing w:before="226" w:after="226" w:line="240" w:lineRule="auto"/>
        <w:rPr>
          <w:rFonts w:ascii="Times" w:hAnsi="Times" w:cs="Times"/>
          <w:b/>
          <w:bCs/>
          <w:color w:val="000000"/>
          <w:sz w:val="17"/>
          <w:szCs w:val="17"/>
        </w:rPr>
      </w:pPr>
      <w:r>
        <w:rPr>
          <w:rFonts w:ascii="Times" w:hAnsi="Times" w:cs="Times"/>
          <w:b/>
          <w:bCs/>
          <w:color w:val="000000"/>
          <w:sz w:val="17"/>
          <w:szCs w:val="17"/>
        </w:rPr>
        <w:t>ВНИМАНИЕ! Стоимость права использования программы для ЭВМ, внесенной в единый реестр российских программ для электронных вычислительных машин и баз данных, НДС не облагается на основании подпункта 26 пункта 2 статьи 149 Налогового кодекса Российской Федерации, не внесенной – облагается НДС по ставке, установленной пунктом 3 статьи 164 Налогового кодекса Российской Федерации.</w:t>
      </w:r>
    </w:p>
    <w:p w:rsidR="00C119D9" w:rsidRDefault="00C119D9">
      <w:pPr>
        <w:widowControl w:val="0"/>
        <w:autoSpaceDE w:val="0"/>
        <w:autoSpaceDN w:val="0"/>
        <w:adjustRightInd w:val="0"/>
        <w:spacing w:after="0" w:line="240" w:lineRule="auto"/>
        <w:rPr>
          <w:rFonts w:ascii="Times" w:hAnsi="Times" w:cs="Times"/>
          <w:color w:val="000000"/>
          <w:sz w:val="17"/>
          <w:szCs w:val="17"/>
        </w:rPr>
      </w:pPr>
      <w:r>
        <w:rPr>
          <w:rFonts w:ascii="Times" w:hAnsi="Times" w:cs="Times"/>
          <w:color w:val="000000"/>
          <w:sz w:val="17"/>
          <w:szCs w:val="17"/>
        </w:rPr>
        <w:t>  </w:t>
      </w:r>
    </w:p>
    <w:tbl>
      <w:tblPr>
        <w:tblW w:w="0" w:type="auto"/>
        <w:tblLayout w:type="fixed"/>
        <w:tblCellMar>
          <w:left w:w="0" w:type="dxa"/>
          <w:right w:w="0" w:type="dxa"/>
        </w:tblCellMar>
        <w:tblLook w:val="0000" w:firstRow="0" w:lastRow="0" w:firstColumn="0" w:lastColumn="0" w:noHBand="0" w:noVBand="0"/>
      </w:tblPr>
      <w:tblGrid>
        <w:gridCol w:w="2650"/>
        <w:gridCol w:w="2650"/>
        <w:gridCol w:w="2650"/>
        <w:gridCol w:w="2650"/>
      </w:tblGrid>
      <w:tr w:rsidR="00C119D9">
        <w:tblPrEx>
          <w:tblCellMar>
            <w:top w:w="0" w:type="dxa"/>
            <w:left w:w="0" w:type="dxa"/>
            <w:bottom w:w="0" w:type="dxa"/>
            <w:right w:w="0" w:type="dxa"/>
          </w:tblCellMar>
        </w:tblPrEx>
        <w:tc>
          <w:tcPr>
            <w:tcW w:w="5300" w:type="dxa"/>
            <w:gridSpan w:val="2"/>
            <w:tcBorders>
              <w:top w:val="nil"/>
              <w:left w:val="nil"/>
              <w:bottom w:val="nil"/>
              <w:right w:val="nil"/>
            </w:tcBorders>
          </w:tcPr>
          <w:p w:rsidR="00C119D9" w:rsidRDefault="00C119D9">
            <w:pPr>
              <w:widowControl w:val="0"/>
              <w:autoSpaceDE w:val="0"/>
              <w:autoSpaceDN w:val="0"/>
              <w:adjustRightInd w:val="0"/>
              <w:spacing w:after="0" w:line="240" w:lineRule="auto"/>
              <w:rPr>
                <w:rFonts w:ascii="Times" w:hAnsi="Times" w:cs="Times"/>
                <w:b/>
                <w:bCs/>
                <w:color w:val="000000"/>
                <w:sz w:val="17"/>
                <w:szCs w:val="17"/>
              </w:rPr>
            </w:pPr>
            <w:r>
              <w:rPr>
                <w:rFonts w:ascii="Times" w:hAnsi="Times" w:cs="Times"/>
                <w:b/>
                <w:bCs/>
                <w:color w:val="000000"/>
                <w:sz w:val="17"/>
                <w:szCs w:val="17"/>
              </w:rPr>
              <w:t>ОПЕРАТОР</w:t>
            </w:r>
          </w:p>
        </w:tc>
        <w:tc>
          <w:tcPr>
            <w:tcW w:w="5300" w:type="dxa"/>
            <w:gridSpan w:val="2"/>
            <w:tcBorders>
              <w:top w:val="nil"/>
              <w:left w:val="nil"/>
              <w:bottom w:val="nil"/>
              <w:right w:val="nil"/>
            </w:tcBorders>
          </w:tcPr>
          <w:p w:rsidR="00C119D9" w:rsidRDefault="00C119D9">
            <w:pPr>
              <w:widowControl w:val="0"/>
              <w:autoSpaceDE w:val="0"/>
              <w:autoSpaceDN w:val="0"/>
              <w:adjustRightInd w:val="0"/>
              <w:spacing w:after="0" w:line="240" w:lineRule="auto"/>
              <w:rPr>
                <w:rFonts w:ascii="Times" w:hAnsi="Times" w:cs="Times"/>
                <w:b/>
                <w:bCs/>
                <w:color w:val="000000"/>
                <w:sz w:val="17"/>
                <w:szCs w:val="17"/>
              </w:rPr>
            </w:pPr>
            <w:r>
              <w:rPr>
                <w:rFonts w:ascii="Times" w:hAnsi="Times" w:cs="Times"/>
                <w:b/>
                <w:bCs/>
                <w:color w:val="000000"/>
                <w:sz w:val="17"/>
                <w:szCs w:val="17"/>
              </w:rPr>
              <w:t>АБОНЕНТ</w:t>
            </w:r>
          </w:p>
        </w:tc>
      </w:tr>
      <w:tr w:rsidR="00C119D9">
        <w:tblPrEx>
          <w:tblCellMar>
            <w:top w:w="0" w:type="dxa"/>
            <w:left w:w="0" w:type="dxa"/>
            <w:bottom w:w="0" w:type="dxa"/>
            <w:right w:w="0" w:type="dxa"/>
          </w:tblCellMar>
        </w:tblPrEx>
        <w:tc>
          <w:tcPr>
            <w:tcW w:w="5300" w:type="dxa"/>
            <w:gridSpan w:val="2"/>
            <w:tcBorders>
              <w:top w:val="nil"/>
              <w:left w:val="nil"/>
              <w:bottom w:val="nil"/>
              <w:right w:val="nil"/>
            </w:tcBorders>
          </w:tcPr>
          <w:p w:rsidR="00C119D9" w:rsidRDefault="00C119D9">
            <w:pPr>
              <w:widowControl w:val="0"/>
              <w:autoSpaceDE w:val="0"/>
              <w:autoSpaceDN w:val="0"/>
              <w:adjustRightInd w:val="0"/>
              <w:spacing w:after="0" w:line="240" w:lineRule="auto"/>
              <w:rPr>
                <w:rFonts w:ascii="Times" w:hAnsi="Times" w:cs="Times"/>
                <w:color w:val="000000"/>
                <w:sz w:val="17"/>
                <w:szCs w:val="17"/>
              </w:rPr>
            </w:pPr>
          </w:p>
        </w:tc>
        <w:tc>
          <w:tcPr>
            <w:tcW w:w="5300" w:type="dxa"/>
            <w:gridSpan w:val="2"/>
            <w:tcBorders>
              <w:top w:val="nil"/>
              <w:left w:val="nil"/>
              <w:bottom w:val="nil"/>
              <w:right w:val="nil"/>
            </w:tcBorders>
          </w:tcPr>
          <w:p w:rsidR="00C119D9" w:rsidRDefault="00C119D9">
            <w:pPr>
              <w:widowControl w:val="0"/>
              <w:autoSpaceDE w:val="0"/>
              <w:autoSpaceDN w:val="0"/>
              <w:adjustRightInd w:val="0"/>
              <w:spacing w:after="0" w:line="240" w:lineRule="auto"/>
              <w:rPr>
                <w:rFonts w:ascii="Times" w:hAnsi="Times" w:cs="Times"/>
                <w:color w:val="000000"/>
                <w:sz w:val="17"/>
                <w:szCs w:val="17"/>
              </w:rPr>
            </w:pPr>
          </w:p>
        </w:tc>
      </w:tr>
      <w:tr w:rsidR="00C119D9">
        <w:tblPrEx>
          <w:tblCellMar>
            <w:top w:w="0" w:type="dxa"/>
            <w:left w:w="0" w:type="dxa"/>
            <w:bottom w:w="0" w:type="dxa"/>
            <w:right w:w="0" w:type="dxa"/>
          </w:tblCellMar>
        </w:tblPrEx>
        <w:tc>
          <w:tcPr>
            <w:tcW w:w="5300" w:type="dxa"/>
            <w:gridSpan w:val="2"/>
            <w:tcBorders>
              <w:top w:val="nil"/>
              <w:left w:val="nil"/>
              <w:bottom w:val="nil"/>
              <w:right w:val="nil"/>
            </w:tcBorders>
          </w:tcPr>
          <w:p w:rsidR="00C119D9" w:rsidRDefault="00C119D9">
            <w:pPr>
              <w:widowControl w:val="0"/>
              <w:autoSpaceDE w:val="0"/>
              <w:autoSpaceDN w:val="0"/>
              <w:adjustRightInd w:val="0"/>
              <w:spacing w:after="0" w:line="240" w:lineRule="auto"/>
              <w:rPr>
                <w:rFonts w:ascii="Times" w:hAnsi="Times" w:cs="Times"/>
                <w:color w:val="000000"/>
                <w:sz w:val="17"/>
                <w:szCs w:val="17"/>
              </w:rPr>
            </w:pPr>
          </w:p>
        </w:tc>
        <w:tc>
          <w:tcPr>
            <w:tcW w:w="5300" w:type="dxa"/>
            <w:gridSpan w:val="2"/>
            <w:tcBorders>
              <w:top w:val="nil"/>
              <w:left w:val="nil"/>
              <w:bottom w:val="nil"/>
              <w:right w:val="nil"/>
            </w:tcBorders>
          </w:tcPr>
          <w:p w:rsidR="00C119D9" w:rsidRDefault="00C119D9">
            <w:pPr>
              <w:widowControl w:val="0"/>
              <w:autoSpaceDE w:val="0"/>
              <w:autoSpaceDN w:val="0"/>
              <w:adjustRightInd w:val="0"/>
              <w:spacing w:after="0" w:line="240" w:lineRule="auto"/>
              <w:rPr>
                <w:rFonts w:ascii="Times" w:hAnsi="Times" w:cs="Times"/>
                <w:color w:val="000000"/>
                <w:sz w:val="17"/>
                <w:szCs w:val="17"/>
              </w:rPr>
            </w:pPr>
          </w:p>
        </w:tc>
      </w:tr>
      <w:tr w:rsidR="00C119D9">
        <w:tblPrEx>
          <w:tblCellMar>
            <w:top w:w="0" w:type="dxa"/>
            <w:left w:w="0" w:type="dxa"/>
            <w:bottom w:w="0" w:type="dxa"/>
            <w:right w:w="0" w:type="dxa"/>
          </w:tblCellMar>
        </w:tblPrEx>
        <w:tc>
          <w:tcPr>
            <w:tcW w:w="2650" w:type="dxa"/>
            <w:tcBorders>
              <w:top w:val="nil"/>
              <w:left w:val="nil"/>
              <w:bottom w:val="single" w:sz="6" w:space="0" w:color="000000"/>
              <w:right w:val="nil"/>
            </w:tcBorders>
          </w:tcPr>
          <w:p w:rsidR="00C119D9" w:rsidRDefault="00C119D9">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rsidR="00C119D9" w:rsidRDefault="00C119D9">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single" w:sz="6" w:space="0" w:color="000000"/>
              <w:right w:val="nil"/>
            </w:tcBorders>
          </w:tcPr>
          <w:p w:rsidR="00C119D9" w:rsidRDefault="00C119D9">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rsidR="00C119D9" w:rsidRDefault="00C119D9">
            <w:pPr>
              <w:widowControl w:val="0"/>
              <w:autoSpaceDE w:val="0"/>
              <w:autoSpaceDN w:val="0"/>
              <w:adjustRightInd w:val="0"/>
              <w:spacing w:after="0" w:line="240" w:lineRule="auto"/>
              <w:rPr>
                <w:rFonts w:ascii="Times" w:hAnsi="Times" w:cs="Times"/>
                <w:color w:val="000000"/>
                <w:sz w:val="17"/>
                <w:szCs w:val="17"/>
              </w:rPr>
            </w:pPr>
          </w:p>
        </w:tc>
      </w:tr>
      <w:tr w:rsidR="00C119D9">
        <w:tblPrEx>
          <w:tblCellMar>
            <w:top w:w="0" w:type="dxa"/>
            <w:left w:w="0" w:type="dxa"/>
            <w:bottom w:w="0" w:type="dxa"/>
            <w:right w:w="0" w:type="dxa"/>
          </w:tblCellMar>
        </w:tblPrEx>
        <w:tc>
          <w:tcPr>
            <w:tcW w:w="2650" w:type="dxa"/>
            <w:tcBorders>
              <w:top w:val="nil"/>
              <w:left w:val="nil"/>
              <w:bottom w:val="nil"/>
              <w:right w:val="nil"/>
            </w:tcBorders>
          </w:tcPr>
          <w:p w:rsidR="00C119D9" w:rsidRDefault="00C119D9">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М.П.</w:t>
            </w:r>
          </w:p>
        </w:tc>
        <w:tc>
          <w:tcPr>
            <w:tcW w:w="2650" w:type="dxa"/>
            <w:tcBorders>
              <w:top w:val="nil"/>
              <w:left w:val="nil"/>
              <w:bottom w:val="nil"/>
              <w:right w:val="nil"/>
            </w:tcBorders>
          </w:tcPr>
          <w:p w:rsidR="00C119D9" w:rsidRDefault="00C119D9">
            <w:pPr>
              <w:widowControl w:val="0"/>
              <w:autoSpaceDE w:val="0"/>
              <w:autoSpaceDN w:val="0"/>
              <w:adjustRightInd w:val="0"/>
              <w:spacing w:after="0" w:line="240" w:lineRule="auto"/>
              <w:rPr>
                <w:rFonts w:ascii="Times" w:hAnsi="Times" w:cs="Times"/>
                <w:color w:val="000000"/>
                <w:sz w:val="17"/>
                <w:szCs w:val="17"/>
              </w:rPr>
            </w:pPr>
          </w:p>
        </w:tc>
        <w:tc>
          <w:tcPr>
            <w:tcW w:w="2650" w:type="dxa"/>
            <w:tcBorders>
              <w:top w:val="nil"/>
              <w:left w:val="nil"/>
              <w:bottom w:val="nil"/>
              <w:right w:val="nil"/>
            </w:tcBorders>
          </w:tcPr>
          <w:p w:rsidR="00C119D9" w:rsidRDefault="00C119D9">
            <w:pPr>
              <w:widowControl w:val="0"/>
              <w:autoSpaceDE w:val="0"/>
              <w:autoSpaceDN w:val="0"/>
              <w:adjustRightInd w:val="0"/>
              <w:spacing w:after="0" w:line="240" w:lineRule="auto"/>
              <w:jc w:val="right"/>
              <w:rPr>
                <w:rFonts w:ascii="Times" w:hAnsi="Times" w:cs="Times"/>
                <w:color w:val="000000"/>
                <w:sz w:val="17"/>
                <w:szCs w:val="17"/>
              </w:rPr>
            </w:pPr>
            <w:r>
              <w:rPr>
                <w:rFonts w:ascii="Times" w:hAnsi="Times" w:cs="Times"/>
                <w:color w:val="000000"/>
                <w:sz w:val="17"/>
                <w:szCs w:val="17"/>
              </w:rPr>
              <w:t>М.П.</w:t>
            </w:r>
          </w:p>
        </w:tc>
        <w:tc>
          <w:tcPr>
            <w:tcW w:w="2650" w:type="dxa"/>
            <w:tcBorders>
              <w:top w:val="nil"/>
              <w:left w:val="nil"/>
              <w:bottom w:val="nil"/>
              <w:right w:val="nil"/>
            </w:tcBorders>
          </w:tcPr>
          <w:p w:rsidR="00C119D9" w:rsidRDefault="00C119D9">
            <w:pPr>
              <w:widowControl w:val="0"/>
              <w:autoSpaceDE w:val="0"/>
              <w:autoSpaceDN w:val="0"/>
              <w:adjustRightInd w:val="0"/>
              <w:spacing w:after="0" w:line="240" w:lineRule="auto"/>
              <w:rPr>
                <w:rFonts w:ascii="Times" w:hAnsi="Times" w:cs="Times"/>
                <w:color w:val="000000"/>
                <w:sz w:val="17"/>
                <w:szCs w:val="17"/>
              </w:rPr>
            </w:pPr>
          </w:p>
        </w:tc>
      </w:tr>
    </w:tbl>
    <w:p w:rsidR="00C119D9" w:rsidRDefault="00C119D9">
      <w:pPr>
        <w:widowControl w:val="0"/>
        <w:autoSpaceDE w:val="0"/>
        <w:autoSpaceDN w:val="0"/>
        <w:adjustRightInd w:val="0"/>
        <w:spacing w:after="0" w:line="240" w:lineRule="auto"/>
        <w:rPr>
          <w:rFonts w:ascii="Arial" w:hAnsi="Arial" w:cs="Arial"/>
          <w:sz w:val="24"/>
          <w:szCs w:val="24"/>
        </w:rPr>
        <w:sectPr w:rsidR="00C119D9">
          <w:pgSz w:w="11905" w:h="16837"/>
          <w:pgMar w:top="623" w:right="623" w:bottom="623" w:left="907" w:header="720" w:footer="720" w:gutter="0"/>
          <w:cols w:space="720"/>
          <w:noEndnote/>
        </w:sectPr>
      </w:pPr>
    </w:p>
    <w:p w:rsidR="00C119D9" w:rsidRDefault="00C119D9">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color w:val="000000"/>
          <w:sz w:val="18"/>
          <w:szCs w:val="18"/>
        </w:rPr>
        <w:lastRenderedPageBreak/>
        <w:t>Приложение 2</w:t>
      </w:r>
    </w:p>
    <w:p w:rsidR="00C119D9" w:rsidRDefault="00C119D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 xml:space="preserve">ЛИЦЕНЗИОННЫЙ ДОГОВОР № </w:t>
      </w:r>
      <w:r w:rsidR="007631F3">
        <w:rPr>
          <w:rFonts w:ascii="Times" w:hAnsi="Times" w:cs="Times"/>
          <w:b/>
          <w:bCs/>
          <w:color w:val="000000"/>
          <w:sz w:val="18"/>
          <w:szCs w:val="18"/>
        </w:rPr>
        <w:t>____</w:t>
      </w:r>
    </w:p>
    <w:tbl>
      <w:tblPr>
        <w:tblW w:w="0" w:type="auto"/>
        <w:tblLayout w:type="fixed"/>
        <w:tblCellMar>
          <w:left w:w="0" w:type="dxa"/>
          <w:right w:w="0" w:type="dxa"/>
        </w:tblCellMar>
        <w:tblLook w:val="0000" w:firstRow="0" w:lastRow="0" w:firstColumn="0" w:lastColumn="0" w:noHBand="0" w:noVBand="0"/>
      </w:tblPr>
      <w:tblGrid>
        <w:gridCol w:w="8277"/>
        <w:gridCol w:w="2097"/>
      </w:tblGrid>
      <w:tr w:rsidR="00C119D9">
        <w:tblPrEx>
          <w:tblCellMar>
            <w:top w:w="0" w:type="dxa"/>
            <w:left w:w="0" w:type="dxa"/>
            <w:bottom w:w="0" w:type="dxa"/>
            <w:right w:w="0" w:type="dxa"/>
          </w:tblCellMar>
        </w:tblPrEx>
        <w:tc>
          <w:tcPr>
            <w:tcW w:w="8277" w:type="dxa"/>
            <w:tcBorders>
              <w:top w:val="nil"/>
              <w:left w:val="nil"/>
              <w:bottom w:val="nil"/>
              <w:right w:val="nil"/>
            </w:tcBorders>
          </w:tcPr>
          <w:p w:rsidR="00C119D9" w:rsidRDefault="00C119D9">
            <w:pPr>
              <w:widowControl w:val="0"/>
              <w:autoSpaceDE w:val="0"/>
              <w:autoSpaceDN w:val="0"/>
              <w:adjustRightInd w:val="0"/>
              <w:spacing w:after="0" w:line="240" w:lineRule="auto"/>
              <w:rPr>
                <w:rFonts w:ascii="Times" w:hAnsi="Times" w:cs="Times"/>
                <w:color w:val="000000"/>
                <w:sz w:val="16"/>
                <w:szCs w:val="16"/>
              </w:rPr>
            </w:pPr>
            <w:r>
              <w:rPr>
                <w:rFonts w:ascii="Times" w:hAnsi="Times" w:cs="Times"/>
                <w:color w:val="000000"/>
                <w:sz w:val="16"/>
                <w:szCs w:val="16"/>
              </w:rPr>
              <w:t>Екатеринбург</w:t>
            </w:r>
          </w:p>
        </w:tc>
        <w:tc>
          <w:tcPr>
            <w:tcW w:w="2097" w:type="dxa"/>
            <w:tcBorders>
              <w:top w:val="nil"/>
              <w:left w:val="nil"/>
              <w:bottom w:val="nil"/>
              <w:right w:val="nil"/>
            </w:tcBorders>
          </w:tcPr>
          <w:p w:rsidR="00C119D9" w:rsidRDefault="007631F3" w:rsidP="007631F3">
            <w:pPr>
              <w:widowControl w:val="0"/>
              <w:autoSpaceDE w:val="0"/>
              <w:autoSpaceDN w:val="0"/>
              <w:adjustRightInd w:val="0"/>
              <w:spacing w:after="0" w:line="240" w:lineRule="auto"/>
              <w:jc w:val="right"/>
              <w:rPr>
                <w:rFonts w:ascii="Times" w:hAnsi="Times" w:cs="Times"/>
                <w:color w:val="000000"/>
                <w:sz w:val="16"/>
                <w:szCs w:val="16"/>
              </w:rPr>
            </w:pPr>
            <w:r>
              <w:rPr>
                <w:rFonts w:ascii="Times" w:hAnsi="Times" w:cs="Times"/>
                <w:color w:val="000000"/>
                <w:sz w:val="16"/>
                <w:szCs w:val="16"/>
              </w:rPr>
              <w:t>__</w:t>
            </w:r>
            <w:r w:rsidR="00C119D9">
              <w:rPr>
                <w:rFonts w:ascii="Times" w:hAnsi="Times" w:cs="Times"/>
                <w:color w:val="000000"/>
                <w:sz w:val="16"/>
                <w:szCs w:val="16"/>
              </w:rPr>
              <w:t>.</w:t>
            </w:r>
            <w:r>
              <w:rPr>
                <w:rFonts w:ascii="Times" w:hAnsi="Times" w:cs="Times"/>
                <w:color w:val="000000"/>
                <w:sz w:val="16"/>
                <w:szCs w:val="16"/>
              </w:rPr>
              <w:t>__</w:t>
            </w:r>
            <w:r w:rsidR="00C119D9">
              <w:rPr>
                <w:rFonts w:ascii="Times" w:hAnsi="Times" w:cs="Times"/>
                <w:color w:val="000000"/>
                <w:sz w:val="16"/>
                <w:szCs w:val="16"/>
              </w:rPr>
              <w:t>2026</w:t>
            </w:r>
          </w:p>
        </w:tc>
      </w:tr>
    </w:tbl>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Лицензионный договор является офертой </w:t>
      </w:r>
      <w:r w:rsidR="007631F3">
        <w:rPr>
          <w:rFonts w:ascii="Times" w:hAnsi="Times" w:cs="Times"/>
          <w:color w:val="000000"/>
          <w:sz w:val="18"/>
          <w:szCs w:val="18"/>
        </w:rPr>
        <w:t>_________</w:t>
      </w:r>
      <w:r>
        <w:rPr>
          <w:rFonts w:ascii="Times" w:hAnsi="Times" w:cs="Times"/>
          <w:color w:val="000000"/>
          <w:sz w:val="18"/>
          <w:szCs w:val="18"/>
        </w:rPr>
        <w:t xml:space="preserve">, именуемого в дальнейшем Лицензиар, Пользователю − юридическому лицу, именуемому в дальнейшем Лицензиат, заключающему с </w:t>
      </w:r>
      <w:r w:rsidR="007631F3">
        <w:rPr>
          <w:rFonts w:ascii="Times" w:hAnsi="Times" w:cs="Times"/>
          <w:color w:val="000000"/>
          <w:sz w:val="18"/>
          <w:szCs w:val="18"/>
        </w:rPr>
        <w:t>___________</w:t>
      </w:r>
      <w:r>
        <w:rPr>
          <w:rFonts w:ascii="Times" w:hAnsi="Times" w:cs="Times"/>
          <w:color w:val="000000"/>
          <w:sz w:val="18"/>
          <w:szCs w:val="18"/>
        </w:rPr>
        <w:t>» Договор на право использования программы для ЭВМ «Контур.Экстерн» и оказание услуг по сопровождению (технической поддержке) (далее – Договор). Лицензионный договор признается заключенным с момента его акцепта Лицензиатом. Под акцептом в целях Лицензионного договора признается факт начала использования Продукта или факт оплаты вознаграждения по Договору, в зависимости от того, какое событие наступит раньше.</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 Термины и определения</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 Контур.Экстерн – результат интеллектуальной деятельности – программа для ЭВМ «Контур.Экстерн» (в том числе интеграционные и иные Модули, предусмотренные Прайс-листом и позволяющие Лицензиату использовать дополнительную функциональность Контур.Экстерна) (далее – Продукт), предназначенная для формирования и представления отчетности, организации электронного документооборота и иных целей.</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2. Предмет Лицензионного договора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2.1. Лицензиар предоставляет Лицензиату право использования Продукта на условиях простой (неисключительной) лицензии.</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3. Исключительные права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3.1. Исключительные права на Продукт принадлежат Лицензиару и охраняются как объект интеллектуальной собственности.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 Право использования Продукта предоставляется исключительно Лицензиату без права передачи третьим лицам, исключительно в объеме, установленном Лицензионным договором, если нет письменного согласия Лицензиара на иное.</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3.3. Свидетельство о государственной регистрации прав на Продукт официально публикуется на сайте Лицензиара </w:t>
      </w:r>
      <w:hyperlink r:id="rId14" w:history="1">
        <w:r w:rsidR="007631F3">
          <w:rPr>
            <w:rFonts w:ascii="Times" w:hAnsi="Times" w:cs="Times"/>
            <w:color w:val="0000CD"/>
            <w:sz w:val="18"/>
            <w:szCs w:val="18"/>
          </w:rPr>
          <w:t>____________</w:t>
        </w:r>
      </w:hyperlink>
      <w:r>
        <w:rPr>
          <w:rFonts w:ascii="Times" w:hAnsi="Times" w:cs="Times"/>
          <w:color w:val="000000"/>
          <w:sz w:val="18"/>
          <w:szCs w:val="18"/>
        </w:rPr>
        <w:t>.</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3.4. Продукт внесен в единый реестр российских программ для электронных вычислительных машин и баз данных 29.04.2016, регистрационный номер 523.</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3.5. Продукт передается Лицензиату «как есть», и Лицензиар не гарантирует, что функциональные возможности Продукта будут полностью отвечать ожиданиям, потребностям и представлениям Лицензиата.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3.6. Лицензиар гарантирует, что Продукт не содержит вредоносных, шпионских элементов и программного кода, созданных для вывода из строя, нарушения работы или выполнения несанкционированных действий в компьютерной системе или для передачи каких-либо данных с компьютера пользователя без его предварительного уведомления и согласия.</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4. Гарантии Лицензиара. Условия использования (объем предоставляемых прав)</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 Лицензиар гарантирует:</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4.1.1. что является обладателем исключительных прав на Продукт, и что в Продукте не используются никакие элементы в нарушение прав третьих лиц. В случае если эти гарантии будут нарушены, Лицензиар обязуется принять меры, которые обеспечат Лицензиату беспрепятственное использование прав, передаваемых по Лицензионному договору;</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4.1.2. что Продукт сертифицирован в соответствии с законодательством Российской Федерации. Данные по сертификации расположены на сайте по адресу </w:t>
      </w:r>
      <w:hyperlink r:id="rId15" w:history="1">
        <w:r w:rsidR="007631F3">
          <w:rPr>
            <w:rFonts w:ascii="Times" w:hAnsi="Times" w:cs="Times"/>
            <w:color w:val="0000CD"/>
            <w:sz w:val="18"/>
            <w:szCs w:val="18"/>
          </w:rPr>
          <w:t>_________</w:t>
        </w:r>
      </w:hyperlink>
      <w:r>
        <w:rPr>
          <w:rFonts w:ascii="Times" w:hAnsi="Times" w:cs="Times"/>
          <w:color w:val="000000"/>
          <w:sz w:val="18"/>
          <w:szCs w:val="18"/>
        </w:rPr>
        <w:t>;</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4.1.3. что Продукт будет соответствовать функциональности, описанной в Пользовательской документации, публикуемой на сайте </w:t>
      </w:r>
      <w:hyperlink r:id="rId16" w:history="1">
        <w:r w:rsidR="007631F3">
          <w:rPr>
            <w:rFonts w:ascii="Times" w:hAnsi="Times" w:cs="Times"/>
            <w:color w:val="0000CD"/>
            <w:sz w:val="18"/>
            <w:szCs w:val="18"/>
          </w:rPr>
          <w:t>______________</w:t>
        </w:r>
      </w:hyperlink>
      <w:r>
        <w:rPr>
          <w:rFonts w:ascii="Times" w:hAnsi="Times" w:cs="Times"/>
          <w:color w:val="000000"/>
          <w:sz w:val="18"/>
          <w:szCs w:val="18"/>
        </w:rPr>
        <w:t>;</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4.1.4. защиту информации, обрабатываемой на сервере Лицензиара, от несанкционированного доступа;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4.1.5. своевременное обновление вспомогательного программного обеспечения на сервере Лицензиара;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4.1.6. круглосуточную доступность сервера Лицензиара, за исключением времени проведения профилактических работ.</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 Лицензиату предоставляется право не отправлять отчеты об использовании Продукта Лицензиару.</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5. Порядок предоставления доступа и способы использования</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 Неисключительное право использования Продукта предоставляется Лицензиату путем открытия доступа к серверу Лицензиара и необходимым для функционирования Продукта дистрибутивам программных компонентов на срок, установленный оплаченным Тарифным планом.</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При этом Лицензиат может использовать Продукт следующими способами: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круглосуточно получать доступ к серверу Лицензиара, за исключением времени проведения профилактических работ, и воспроизводить графическую часть (рабочий интерфейс) на экране персонального компьютера;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самостоятельно осуществлять интеграцию информационных систем Лицензиата с Продуктом с использованием API;</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использовать все функциональные возможности Продукта, описанные Тарифным планом в Прайс-листе Лицензиара;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размножать Пользовательскую документацию Продукта для личного использования;</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использовать Продукт для оказания собственных услуг третьим лицам при условии приобретения Тарифного плана, предусматривающего такую возможность.</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5.2. Лицензиат не вправе:</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использовать Продукт в нарушение законодательства;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копировать, модифицировать, декомпилировать, деассемблировать Продукт;</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использовать Продукт в нарушение Пользовательской документации;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предоставлять Продукт в прокат, в аренду или во временное пользование третьим лицам с целью извлечения прибыли, а также совершать относительно Продукта другие действия, нарушающие российские и международные нормы по авторскому праву и использованию программных средств.</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6. Территория действия Лицензионного договора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6.1. Лицензионный договор действует на всей территории Российской Федерации.</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7. Срок действия Лицензионного договора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7.1. Лицензионный договор действует с момента его акцепта Лицензиатом в течение срока действия Договора на право использования программы для ЭВМ «Контур.Экстерн» и оказание услуг по сопровождению (технической поддержке).</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8. Вознаграждение</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8.1. Лицензиат уплачивает по Лицензионному договору вознаграждение Лицензиару в размере и на условиях согласно Договору на право использования программы для ЭВМ «Контур.Экстерн» и оказание услуг по сопровождению (технической поддержке).</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9. Прочие условия</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9.1. Все иные условия, не урегулированные Лицензионным договором, регулируются Договором на право использования программы для ЭВМ «Контур.Экстерн» и оказание услуг по сопровождению (технической поддержке).</w:t>
      </w:r>
    </w:p>
    <w:p w:rsidR="00C119D9" w:rsidRDefault="00C119D9">
      <w:pPr>
        <w:widowControl w:val="0"/>
        <w:autoSpaceDE w:val="0"/>
        <w:autoSpaceDN w:val="0"/>
        <w:adjustRightInd w:val="0"/>
        <w:spacing w:after="0" w:line="240" w:lineRule="auto"/>
        <w:rPr>
          <w:rFonts w:ascii="Arial" w:hAnsi="Arial" w:cs="Arial"/>
          <w:sz w:val="24"/>
          <w:szCs w:val="24"/>
        </w:rPr>
        <w:sectPr w:rsidR="00C119D9">
          <w:pgSz w:w="11905" w:h="16837"/>
          <w:pgMar w:top="623" w:right="623" w:bottom="623" w:left="907" w:header="720" w:footer="720" w:gutter="0"/>
          <w:cols w:space="720"/>
          <w:noEndnote/>
        </w:sectPr>
      </w:pPr>
    </w:p>
    <w:p w:rsidR="00C119D9" w:rsidRDefault="00C119D9">
      <w:pPr>
        <w:widowControl w:val="0"/>
        <w:autoSpaceDE w:val="0"/>
        <w:autoSpaceDN w:val="0"/>
        <w:adjustRightInd w:val="0"/>
        <w:spacing w:after="0" w:line="240" w:lineRule="auto"/>
        <w:jc w:val="right"/>
        <w:rPr>
          <w:rFonts w:ascii="Times" w:hAnsi="Times" w:cs="Times"/>
          <w:color w:val="000000"/>
          <w:sz w:val="18"/>
          <w:szCs w:val="18"/>
        </w:rPr>
      </w:pPr>
      <w:r>
        <w:rPr>
          <w:rFonts w:ascii="Times" w:hAnsi="Times" w:cs="Times"/>
          <w:color w:val="000000"/>
          <w:sz w:val="18"/>
          <w:szCs w:val="18"/>
        </w:rPr>
        <w:lastRenderedPageBreak/>
        <w:t>Приложение 3</w:t>
      </w:r>
    </w:p>
    <w:p w:rsidR="00C119D9" w:rsidRDefault="00C119D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 xml:space="preserve">СУБЛИЦЕНЗИОННЫЙ ДОГОВОР № </w:t>
      </w:r>
      <w:r w:rsidR="007631F3">
        <w:rPr>
          <w:rFonts w:ascii="Times" w:hAnsi="Times" w:cs="Times"/>
          <w:b/>
          <w:bCs/>
          <w:color w:val="000000"/>
          <w:sz w:val="18"/>
          <w:szCs w:val="18"/>
        </w:rPr>
        <w:t>________</w:t>
      </w:r>
    </w:p>
    <w:p w:rsidR="00C119D9" w:rsidRDefault="00C119D9">
      <w:pPr>
        <w:widowControl w:val="0"/>
        <w:autoSpaceDE w:val="0"/>
        <w:autoSpaceDN w:val="0"/>
        <w:adjustRightInd w:val="0"/>
        <w:spacing w:after="0" w:line="240" w:lineRule="auto"/>
        <w:jc w:val="center"/>
        <w:rPr>
          <w:rFonts w:ascii="Times" w:hAnsi="Times" w:cs="Times"/>
          <w:b/>
          <w:bCs/>
          <w:color w:val="000000"/>
          <w:sz w:val="18"/>
          <w:szCs w:val="18"/>
        </w:rPr>
      </w:pPr>
      <w:r>
        <w:rPr>
          <w:rFonts w:ascii="Times" w:hAnsi="Times" w:cs="Times"/>
          <w:b/>
          <w:bCs/>
          <w:color w:val="000000"/>
          <w:sz w:val="18"/>
          <w:szCs w:val="18"/>
        </w:rPr>
        <w:t>на использование программы для ЭВМ СКЗИ «КриптоПро»</w:t>
      </w:r>
    </w:p>
    <w:tbl>
      <w:tblPr>
        <w:tblW w:w="0" w:type="auto"/>
        <w:tblLayout w:type="fixed"/>
        <w:tblCellMar>
          <w:left w:w="0" w:type="dxa"/>
          <w:right w:w="0" w:type="dxa"/>
        </w:tblCellMar>
        <w:tblLook w:val="0000" w:firstRow="0" w:lastRow="0" w:firstColumn="0" w:lastColumn="0" w:noHBand="0" w:noVBand="0"/>
      </w:tblPr>
      <w:tblGrid>
        <w:gridCol w:w="8277"/>
        <w:gridCol w:w="2097"/>
      </w:tblGrid>
      <w:tr w:rsidR="00C119D9">
        <w:tblPrEx>
          <w:tblCellMar>
            <w:top w:w="0" w:type="dxa"/>
            <w:left w:w="0" w:type="dxa"/>
            <w:bottom w:w="0" w:type="dxa"/>
            <w:right w:w="0" w:type="dxa"/>
          </w:tblCellMar>
        </w:tblPrEx>
        <w:tc>
          <w:tcPr>
            <w:tcW w:w="8277" w:type="dxa"/>
            <w:tcBorders>
              <w:top w:val="nil"/>
              <w:left w:val="nil"/>
              <w:bottom w:val="nil"/>
              <w:right w:val="nil"/>
            </w:tcBorders>
          </w:tcPr>
          <w:p w:rsidR="00C119D9" w:rsidRDefault="00C119D9">
            <w:pPr>
              <w:widowControl w:val="0"/>
              <w:autoSpaceDE w:val="0"/>
              <w:autoSpaceDN w:val="0"/>
              <w:adjustRightInd w:val="0"/>
              <w:spacing w:after="0" w:line="240" w:lineRule="auto"/>
              <w:rPr>
                <w:rFonts w:ascii="Times" w:hAnsi="Times" w:cs="Times"/>
                <w:color w:val="000000"/>
                <w:sz w:val="16"/>
                <w:szCs w:val="16"/>
              </w:rPr>
            </w:pPr>
            <w:r>
              <w:rPr>
                <w:rFonts w:ascii="Times" w:hAnsi="Times" w:cs="Times"/>
                <w:color w:val="000000"/>
                <w:sz w:val="16"/>
                <w:szCs w:val="16"/>
              </w:rPr>
              <w:t>Екатеринбург</w:t>
            </w:r>
          </w:p>
        </w:tc>
        <w:tc>
          <w:tcPr>
            <w:tcW w:w="2097" w:type="dxa"/>
            <w:tcBorders>
              <w:top w:val="nil"/>
              <w:left w:val="nil"/>
              <w:bottom w:val="nil"/>
              <w:right w:val="nil"/>
            </w:tcBorders>
          </w:tcPr>
          <w:p w:rsidR="00C119D9" w:rsidRDefault="007631F3">
            <w:pPr>
              <w:widowControl w:val="0"/>
              <w:autoSpaceDE w:val="0"/>
              <w:autoSpaceDN w:val="0"/>
              <w:adjustRightInd w:val="0"/>
              <w:spacing w:after="0" w:line="240" w:lineRule="auto"/>
              <w:jc w:val="right"/>
              <w:rPr>
                <w:rFonts w:ascii="Times" w:hAnsi="Times" w:cs="Times"/>
                <w:color w:val="000000"/>
                <w:sz w:val="16"/>
                <w:szCs w:val="16"/>
              </w:rPr>
            </w:pPr>
            <w:r>
              <w:rPr>
                <w:rFonts w:ascii="Times" w:hAnsi="Times" w:cs="Times"/>
                <w:color w:val="000000"/>
                <w:sz w:val="16"/>
                <w:szCs w:val="16"/>
              </w:rPr>
              <w:t>___.__</w:t>
            </w:r>
            <w:r w:rsidR="00C119D9">
              <w:rPr>
                <w:rFonts w:ascii="Times" w:hAnsi="Times" w:cs="Times"/>
                <w:color w:val="000000"/>
                <w:sz w:val="16"/>
                <w:szCs w:val="16"/>
              </w:rPr>
              <w:t>.2026</w:t>
            </w:r>
          </w:p>
        </w:tc>
      </w:tr>
    </w:tbl>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xml:space="preserve">Сублицензионный договор является офертой </w:t>
      </w:r>
      <w:r w:rsidR="007631F3">
        <w:rPr>
          <w:rFonts w:ascii="Times" w:hAnsi="Times" w:cs="Times"/>
          <w:color w:val="000000"/>
          <w:sz w:val="18"/>
          <w:szCs w:val="18"/>
        </w:rPr>
        <w:t>_______</w:t>
      </w:r>
      <w:r>
        <w:rPr>
          <w:rFonts w:ascii="Times" w:hAnsi="Times" w:cs="Times"/>
          <w:color w:val="000000"/>
          <w:sz w:val="18"/>
          <w:szCs w:val="18"/>
        </w:rPr>
        <w:t xml:space="preserve"> именуемого в дальнейшем Лицензиат, Пользователю − физическому или юридическому лицу, именуемому в дальнейшем Сублицензиат, заключающему с </w:t>
      </w:r>
      <w:r w:rsidR="007631F3">
        <w:rPr>
          <w:rFonts w:ascii="Times" w:hAnsi="Times" w:cs="Times"/>
          <w:color w:val="000000"/>
          <w:sz w:val="18"/>
          <w:szCs w:val="18"/>
        </w:rPr>
        <w:t>_________</w:t>
      </w:r>
      <w:r>
        <w:rPr>
          <w:rFonts w:ascii="Times" w:hAnsi="Times" w:cs="Times"/>
          <w:color w:val="000000"/>
          <w:sz w:val="18"/>
          <w:szCs w:val="18"/>
        </w:rPr>
        <w:t xml:space="preserve"> Договор на право использования программы для ЭВМ «Контур.Экстерн» и оказание услуг по сопровождению (технической поддержке) (далее – Договор). Сублицензионный договор признается заключенным с момента его акцепта Сублицензиатом. Под акцептом в целях Сублицензионного договора признается факт оплаты вознаграждения по Договору, либо факт получения сертификата ключа проверки электронной подписи, в составе которого имеется лицензия на использование программы для ЭВМ СКЗИ «КриптоПро», либо факт передачи Лицензиатом Сублицензиату лицензии на использование программы для ЭВМ СКЗИ «КриптоПро», в зависимости от того какое событие наступит раньше.</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1. Термины и определения</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1.1. СКЗИ − программа для ЭВМ, средства криптографической защиты информации (средства электронной подписи), включая носители и документацию, или иные программы для ЭВМ, исключительные права на которую принадлежат ООО «Крипто-Про» (далее − Правообладатель). Точное наименование программ устанавливается в Спецификации в случае, если в период действия Договора Стороны согласовывают финансовые условия путем подписания Спецификаций, и/или в выставленном Лицензиатом счете.</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1.2. Документация − печатные материалы и носители, содержащие документы в электронном виде. Документация является неотъемлемой частью СКЗИ.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1.3. Сертификат ключа – сертификат ключа проверки электронной подписи.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1.4. Бланк лицензии – документ с указанием серийного номера (лицензионного ключа), предоставляющий право использования СКЗИ на одном рабочем месте с указанием срока действия лицензии.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1.5. Лицензия в составе сертификата ключа – программные алгоритмы, встроенные в сертификат ключа, позволяющие активировать СКЗИ, установленное на рабочем месте. Не сопровождается бланком лицензии.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1.6. Лицензия, встроенная в ключевой контейнер, − серийный номер, привязанный к ключевому контейнеру, позволяющий активировать СКЗИ, установленные на рабочем месте. Не сопровождается бланком лицензии.</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2. Предмет Сублицензионного договора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2.1. Предметом Сублицензионного договора является возмездная передача Лицензиатом неисключительных прав использования СКЗИ Сублицензиату (простая (неисключительная) лицензия). Сублицензиат не имеет права передавать третьим лицам права, принадлежащие ему на основании Сублицензионного договора.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2.2. Право использования СКЗИ предоставляется только Сублицензиату (и никаким иным третьим лицам), за исключением случаев, когда Договором предусмотрено наличие Конечных пользователей, список которых устанавливается в указанном Договоре или приложении к нему. В таких случаях право использования СКЗИ предоставляется также Конечным пользователям.</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3. Исключительные права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3.1. СКЗИ является результатом интеллектуальной деятельности Правообладателя и защищается законодательством Российской Федерации об авторском праве.</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3.2. Средство криптографической защиты информации «КриптоПро CSP» (версия 5.0) внесено в единый реестр российских программ для электронных вычислительных машин и баз данных 29.03.2018, регистрационный номер 4332. Лицензия в составе сертификата ключа позволяет Сублицензиату активировать СКЗИ версии 5.0, установленное на рабочем месте Сублицензиата.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3.3. Право использования СКЗИ предоставляется Сублицензиату исключительно в объеме, оговоренном Сублицензионным договором, если нет письменного согласия Правообладателя на иное.</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4. Условия использования СКЗИ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4.1. Сублицензиат имеет право использовать СКЗИ на одном рабочем месте (или сервере) в соответствии с объемом и типом приобретенных Лицензий, назначением и правилами пользования, изложенными в эксплуатационной документации, следующими способами: хранить и устанавливать СКЗИ в память ЭВМ, воспроизводить СКЗИ путем его записи в память ЭВМ.</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4.2. Сублицензиат обязуется не распространять СКЗИ третьим лицам путем продажи, проката, сдачи внаем, предоставления взаймы или иными другими способами отчуждения.</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4.3. Сублицензиат не имеет права осуществлять следующую деятельность:</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допускать использование СКЗИ лицами, не имеющими прав на такое использование;</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дизассемблировать (анализировать и исследовать объектный код), декомпилировать (преобразовывать объектный код в исходный текст), адаптировать и модифицировать СКЗИ;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вносить какие-либо изменения в объектный код программ за исключением тех, которые вносятся средствами, включенными в комплект СКЗИ, и описанными в документации;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 совершать относительно СКЗИ другие действия, нарушающие российские и международные нормы по авторскому праву и использованию программных средств.</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5. Территория действия Сублицензионного договора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5.1. Сублицензионный договор действует на территории всего мира.</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6. Срок действия Сублицензионного договора и передаваемых прав использования (лицензии)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6.1. Сублицензионный договор вступает в силу с момента его акцепта Сублицензиатом и действует в течение срока, установленного заключенным между Лицензиатом и Сублицензиатом Договором и автоматически пролонгируется на срок и по условиям пролонгации Договора.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6.2. Передача бессрочных лицензий осуществляется на весь период действия исключительного права Правообладателя.</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6.3. Передача лицензий в составе сертификата ключа осуществляется на срок, указанный в таком сертификате. В случае досрочного прекращения срока действия сертификата ключа по любой причине – досрочно прекращается срок действия лицензии.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6.4. После окончания срока действия сертификата ключа при условии сохранения ключа электронной подписи (закрытого ключа) лицензия в составе сертификата ключа позволяет производить операции расшифрования и проверки электронной подписи.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6.5. Передача лицензий, встроенных в ключевой контейнер, осуществляется на срок, указанный в сертификате, привязанном к ключевому контейнеру. В случае досрочного прекращения срока действия сертификата ключа по любой причине – досрочно прекращается срок действия лицензии.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6.6. После окончания срока действия сертификата ключа при условии сохранения ключевого контейнера лицензия, встроенная в ключевой контейнер, позволяет производить операции расшифрования и проверки электронной подписи.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6.7. В случае нарушения условий Сублицензионного договора или неспособности далее выполнять его условия, все компоненты СКЗИ (включая печатные материалы, магнитные носители, файлы с информацией, архивные копии) должны быть уничтожены, бланки лицензий возвращены.</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7. Вознаграждение</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lastRenderedPageBreak/>
        <w:t>7.1. Сублицензиат уплачивает Лицензиату по Сублицензионному договору вознаграждение в размере и на условиях согласно заключенному между Лицензиатом и Сублицензиатом Договору.</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7.2. Общий размер лицензионного вознаграждения определяется объемом и типом (количеством) приобретаемых Лицензий и/или Лицензий в составе сертификата ключа.</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7.3. Количество лицензий и общий размер лицензионного вознаграждения устанавливаются Лицензиатом в Договоре.</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8. Ответственность</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8.1. Сублицензиат приобретает право использования СКЗИ в объеме, оговоренном Сублицензионным договором, и несет ответственность за его использование в соответствии с рекомендациями, изложенными в эксплуатационной документации, и действующим законодательством Российской Федерации.</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8.2. Незаконное использование СКЗИ является нарушением законодательства Российской Федерации и преследуется по закону.</w:t>
      </w:r>
    </w:p>
    <w:p w:rsidR="00C119D9" w:rsidRDefault="00C119D9">
      <w:pPr>
        <w:widowControl w:val="0"/>
        <w:autoSpaceDE w:val="0"/>
        <w:autoSpaceDN w:val="0"/>
        <w:adjustRightInd w:val="0"/>
        <w:spacing w:after="0" w:line="240" w:lineRule="auto"/>
        <w:jc w:val="both"/>
        <w:rPr>
          <w:rFonts w:ascii="Times" w:hAnsi="Times" w:cs="Times"/>
          <w:b/>
          <w:bCs/>
          <w:color w:val="000000"/>
          <w:sz w:val="18"/>
          <w:szCs w:val="18"/>
        </w:rPr>
      </w:pPr>
      <w:r>
        <w:rPr>
          <w:rFonts w:ascii="Times" w:hAnsi="Times" w:cs="Times"/>
          <w:b/>
          <w:bCs/>
          <w:color w:val="000000"/>
          <w:sz w:val="18"/>
          <w:szCs w:val="18"/>
        </w:rPr>
        <w:t>9. Гарантии изготовителя (Правообладателя)</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9.1. Правообладатель СКЗИ гарантирует работоспособность СКЗИ при условии его эксплуатации на оборудовании, соответствующем техническим требованиям, изложенным в эксплуатационной документации, и отсутствия несанкционированного вмешательства в работу СКЗИ на низком уровне.</w:t>
      </w:r>
    </w:p>
    <w:p w:rsidR="00C119D9" w:rsidRDefault="00C119D9">
      <w:pPr>
        <w:widowControl w:val="0"/>
        <w:autoSpaceDE w:val="0"/>
        <w:autoSpaceDN w:val="0"/>
        <w:adjustRightInd w:val="0"/>
        <w:spacing w:after="0" w:line="240" w:lineRule="auto"/>
        <w:jc w:val="both"/>
        <w:rPr>
          <w:rFonts w:ascii="Times" w:hAnsi="Times" w:cs="Times"/>
          <w:color w:val="000000"/>
          <w:sz w:val="18"/>
          <w:szCs w:val="18"/>
        </w:rPr>
      </w:pPr>
      <w:r>
        <w:rPr>
          <w:rFonts w:ascii="Times" w:hAnsi="Times" w:cs="Times"/>
          <w:color w:val="000000"/>
          <w:sz w:val="18"/>
          <w:szCs w:val="18"/>
        </w:rPr>
        <w:t>9.2. Гарантийный срок эксплуатации СКЗИ устанавливается 12 (двенадцать) месяцев с момента установки СКЗИ на рабочем месте пользователя СКЗИ при условии наличия у него лицензии на использование СКЗИ.</w:t>
      </w:r>
    </w:p>
    <w:sectPr w:rsidR="00C119D9">
      <w:pgSz w:w="11905" w:h="16837"/>
      <w:pgMar w:top="623" w:right="623" w:bottom="623" w:left="90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1F3"/>
    <w:rsid w:val="00064539"/>
    <w:rsid w:val="001A7CA1"/>
    <w:rsid w:val="0051658D"/>
    <w:rsid w:val="00707451"/>
    <w:rsid w:val="007631F3"/>
    <w:rsid w:val="00A06016"/>
    <w:rsid w:val="00C119D9"/>
    <w:rsid w:val="00D6067D"/>
    <w:rsid w:val="00F11707"/>
    <w:rsid w:val="00F809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CC21FCB-FE17-4CCE-AAC7-D5D52DA07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ontur.ru/contacts/all" TargetMode="External"/><Relationship Id="rId13" Type="http://schemas.openxmlformats.org/officeDocument/2006/relationships/hyperlink" Target="https://kontur.ru"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support.kontur.ru/extern" TargetMode="External"/><Relationship Id="rId12" Type="http://schemas.openxmlformats.org/officeDocument/2006/relationships/hyperlink" Target="https://support.kontur.ru/extern"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support.kontur.ru/extern" TargetMode="External"/><Relationship Id="rId1" Type="http://schemas.openxmlformats.org/officeDocument/2006/relationships/styles" Target="styles.xml"/><Relationship Id="rId6" Type="http://schemas.openxmlformats.org/officeDocument/2006/relationships/hyperlink" Target="https://ca.kontur.ru" TargetMode="External"/><Relationship Id="rId11" Type="http://schemas.openxmlformats.org/officeDocument/2006/relationships/hyperlink" Target="https://kontur.ru/about/licences" TargetMode="External"/><Relationship Id="rId5" Type="http://schemas.openxmlformats.org/officeDocument/2006/relationships/hyperlink" Target="https://www.kontur-extern.ru" TargetMode="External"/><Relationship Id="rId15" Type="http://schemas.openxmlformats.org/officeDocument/2006/relationships/hyperlink" Target="https://kontur.ru" TargetMode="External"/><Relationship Id="rId10" Type="http://schemas.openxmlformats.org/officeDocument/2006/relationships/hyperlink" Target="https://www.kontur.ru/extern" TargetMode="External"/><Relationship Id="rId4" Type="http://schemas.openxmlformats.org/officeDocument/2006/relationships/image" Target="media/image1.png"/><Relationship Id="rId9" Type="http://schemas.openxmlformats.org/officeDocument/2006/relationships/hyperlink" Target="https://www.kontur-extern.ru/support/start" TargetMode="External"/><Relationship Id="rId14" Type="http://schemas.openxmlformats.org/officeDocument/2006/relationships/hyperlink" Target="https://kontur.ru/about/licence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7436</Words>
  <Characters>42390</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2026-10-12T11:25:00Z</dcterms:created>
  <dcterms:modified xsi:type="dcterms:W3CDTF">2026-10-12T11:25:00Z</dcterms:modified>
</cp:coreProperties>
</file>