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center"/>
        <w:rPr>
          <w:lang w:eastAsia="ar-SA"/>
        </w:rPr>
      </w:pPr>
      <w:r>
        <w:rPr>
          <w:b/>
          <w:bCs/>
        </w:rPr>
        <w:t>ОПИСАНИЕ ОБЪЕКТА ЗАКУПКИ (Техническое задание)</w:t>
      </w:r>
    </w:p>
    <w:p>
      <w:pPr>
        <w:pStyle w:val="Normal"/>
        <w:jc w:val="center"/>
        <w:rPr/>
      </w:pPr>
      <w:r>
        <w:rPr>
          <w:lang w:eastAsia="ar-SA"/>
        </w:rPr>
        <w:t>Выполнение работ по разработке проектно-сметной документации  по объекту:  «Выполнение работ по ремонту крыши здания ОСП по Эжвинскому району</w:t>
      </w:r>
      <w:r>
        <w:rPr/>
        <w:t xml:space="preserve"> УФССП России</w:t>
        <w:br/>
        <w:t xml:space="preserve"> по Республике Коми</w:t>
      </w:r>
      <w:r>
        <w:rPr>
          <w:lang w:eastAsia="ar-SA"/>
        </w:rPr>
        <w:t>»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 xml:space="preserve">ИКЗ  </w:t>
      </w:r>
      <w:r>
        <w:rPr>
          <w:rFonts w:cs="Liberation Serif;Times New Roman" w:ascii="Liberation Serif;Times New Roman" w:hAnsi="Liberation Serif;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261110148623711010100100290000000000</w:t>
      </w:r>
    </w:p>
    <w:p>
      <w:pPr>
        <w:pStyle w:val="Normal"/>
        <w:jc w:val="center"/>
        <w:rPr/>
      </w:pPr>
      <w:r>
        <w:rPr/>
      </w:r>
    </w:p>
    <w:tbl>
      <w:tblPr>
        <w:tblW w:w="5000" w:type="pct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350"/>
        <w:gridCol w:w="7715"/>
      </w:tblGrid>
      <w:tr>
        <w:trPr>
          <w:trHeight w:val="670" w:hRule="atLeast"/>
        </w:trPr>
        <w:tc>
          <w:tcPr>
            <w:tcW w:w="2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Перечень основных данных и требований</w:t>
            </w:r>
          </w:p>
        </w:tc>
        <w:tc>
          <w:tcPr>
            <w:tcW w:w="77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 требований</w:t>
            </w:r>
          </w:p>
        </w:tc>
      </w:tr>
      <w:tr>
        <w:trPr>
          <w:trHeight w:val="310" w:hRule="atLeast"/>
        </w:trPr>
        <w:tc>
          <w:tcPr>
            <w:tcW w:w="1006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Общие данные</w:t>
            </w:r>
          </w:p>
        </w:tc>
      </w:tr>
      <w:tr>
        <w:trPr>
          <w:trHeight w:val="670" w:hRule="atLeast"/>
        </w:trPr>
        <w:tc>
          <w:tcPr>
            <w:tcW w:w="2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1. Заказчик</w:t>
            </w:r>
          </w:p>
        </w:tc>
        <w:tc>
          <w:tcPr>
            <w:tcW w:w="77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Управление Федеральной службы судебных приставов по Республике Коми (УФССП России по Республике Коми)</w:t>
            </w:r>
          </w:p>
        </w:tc>
      </w:tr>
      <w:tr>
        <w:trPr>
          <w:trHeight w:val="963" w:hRule="atLeast"/>
        </w:trPr>
        <w:tc>
          <w:tcPr>
            <w:tcW w:w="2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2. Наименование объекта</w:t>
            </w:r>
          </w:p>
        </w:tc>
        <w:tc>
          <w:tcPr>
            <w:tcW w:w="77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284" w:leader="none"/>
              </w:tabs>
              <w:jc w:val="both"/>
              <w:rPr/>
            </w:pPr>
            <w:r>
              <w:rPr>
                <w:lang w:eastAsia="ar-SA"/>
              </w:rPr>
              <w:t>Выполнение работ по разработке проектно-сметной документации  по объекту: «Выполнение работ по ремонту крыши здания ОСП по Эжвинскому району</w:t>
            </w:r>
            <w:r>
              <w:rPr/>
              <w:t xml:space="preserve"> УФССП России по Республике Коми</w:t>
            </w:r>
            <w:r>
              <w:rPr>
                <w:lang w:eastAsia="ar-SA"/>
              </w:rPr>
              <w:t xml:space="preserve">» </w:t>
            </w:r>
          </w:p>
        </w:tc>
      </w:tr>
      <w:tr>
        <w:trPr>
          <w:trHeight w:val="544" w:hRule="atLeast"/>
        </w:trPr>
        <w:tc>
          <w:tcPr>
            <w:tcW w:w="2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3. Место нахождения объекта</w:t>
            </w:r>
          </w:p>
        </w:tc>
        <w:tc>
          <w:tcPr>
            <w:tcW w:w="77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28"/>
              <w:ind w:hanging="0" w:start="0" w:end="0"/>
              <w:jc w:val="both"/>
              <w:outlineLvl w:val="2"/>
              <w:rPr/>
            </w:pPr>
            <w:r>
              <w:rPr/>
              <w:t>Республика Коми, г. Сыктывкар, ул. Мира, д.27/7</w:t>
            </w:r>
          </w:p>
        </w:tc>
      </w:tr>
      <w:tr>
        <w:trPr>
          <w:trHeight w:val="881" w:hRule="atLeast"/>
        </w:trPr>
        <w:tc>
          <w:tcPr>
            <w:tcW w:w="2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4. Предмет контракта</w:t>
            </w:r>
          </w:p>
        </w:tc>
        <w:tc>
          <w:tcPr>
            <w:tcW w:w="77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284" w:leader="none"/>
              </w:tabs>
              <w:jc w:val="both"/>
              <w:rPr/>
            </w:pPr>
            <w:r>
              <w:rPr>
                <w:lang w:eastAsia="ar-SA"/>
              </w:rPr>
              <w:t>Разработка проектно-сметной документации  на выполнение работ  по ремонту крыши здания ОСП по Эжвинскому району</w:t>
            </w:r>
            <w:r>
              <w:rPr/>
              <w:t xml:space="preserve"> УФССП России по Республике Коми</w:t>
            </w:r>
            <w:r>
              <w:rPr>
                <w:lang w:eastAsia="ar-SA"/>
              </w:rPr>
              <w:t xml:space="preserve"> </w:t>
            </w:r>
          </w:p>
        </w:tc>
      </w:tr>
      <w:tr>
        <w:trPr>
          <w:trHeight w:val="881" w:hRule="atLeast"/>
        </w:trPr>
        <w:tc>
          <w:tcPr>
            <w:tcW w:w="235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/>
              <w:t>5. Краткие сведения об объекте, его техническом состоянии</w:t>
            </w:r>
          </w:p>
        </w:tc>
        <w:tc>
          <w:tcPr>
            <w:tcW w:w="771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284" w:leader="none"/>
              </w:tabs>
              <w:jc w:val="both"/>
              <w:rPr/>
            </w:pPr>
            <w:r>
              <w:rPr/>
              <w:t xml:space="preserve">Существующий объект. Нежилое здание (литер А). </w:t>
            </w:r>
          </w:p>
          <w:p>
            <w:pPr>
              <w:pStyle w:val="Normal"/>
              <w:tabs>
                <w:tab w:val="clear" w:pos="708"/>
                <w:tab w:val="left" w:pos="284" w:leader="none"/>
              </w:tabs>
              <w:jc w:val="both"/>
              <w:rPr/>
            </w:pPr>
            <w:r>
              <w:rPr/>
              <w:t>Число этажей -2, имеются пристройки, веранда.</w:t>
            </w:r>
          </w:p>
          <w:p>
            <w:pPr>
              <w:pStyle w:val="Normal"/>
              <w:tabs>
                <w:tab w:val="clear" w:pos="708"/>
                <w:tab w:val="left" w:pos="284" w:leader="none"/>
              </w:tabs>
              <w:jc w:val="both"/>
              <w:rPr/>
            </w:pPr>
            <w:r>
              <w:rPr/>
              <w:t>Общая площадь 293,4 кв. м.</w:t>
            </w:r>
          </w:p>
          <w:p>
            <w:pPr>
              <w:pStyle w:val="Normal"/>
              <w:tabs>
                <w:tab w:val="clear" w:pos="708"/>
                <w:tab w:val="left" w:pos="284" w:leader="none"/>
              </w:tabs>
              <w:jc w:val="both"/>
              <w:rPr/>
            </w:pPr>
            <w:r>
              <w:rPr/>
              <w:t>Фундамент: бетонный ленточный.</w:t>
            </w:r>
          </w:p>
          <w:p>
            <w:pPr>
              <w:pStyle w:val="Normal"/>
              <w:tabs>
                <w:tab w:val="clear" w:pos="708"/>
                <w:tab w:val="left" w:pos="284" w:leader="none"/>
              </w:tabs>
              <w:jc w:val="both"/>
              <w:rPr/>
            </w:pPr>
            <w:r>
              <w:rPr/>
              <w:t>Стены — кирпичные. Перегородки: ячеистобетонные блоки кирпичные.</w:t>
            </w:r>
          </w:p>
          <w:p>
            <w:pPr>
              <w:pStyle w:val="Normal"/>
              <w:tabs>
                <w:tab w:val="clear" w:pos="708"/>
                <w:tab w:val="left" w:pos="284" w:leader="none"/>
              </w:tabs>
              <w:jc w:val="both"/>
              <w:rPr/>
            </w:pPr>
            <w:r>
              <w:rPr/>
              <w:t>Чердачное перекрытие: железобетонные плиты.</w:t>
            </w:r>
          </w:p>
          <w:p>
            <w:pPr>
              <w:pStyle w:val="Normal"/>
              <w:tabs>
                <w:tab w:val="clear" w:pos="708"/>
                <w:tab w:val="left" w:pos="284" w:leader="none"/>
              </w:tabs>
              <w:jc w:val="both"/>
              <w:rPr/>
            </w:pPr>
            <w:r>
              <w:rPr/>
              <w:t xml:space="preserve">Крыша: профнастил, железо.  </w:t>
            </w:r>
          </w:p>
        </w:tc>
      </w:tr>
      <w:tr>
        <w:trPr>
          <w:trHeight w:val="603" w:hRule="atLeast"/>
        </w:trPr>
        <w:tc>
          <w:tcPr>
            <w:tcW w:w="2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hd w:fill="auto" w:val="clear"/>
              </w:rPr>
              <w:t>6. С</w:t>
            </w:r>
            <w:r>
              <w:rPr/>
              <w:t>тадийность проектирования</w:t>
            </w:r>
          </w:p>
        </w:tc>
        <w:tc>
          <w:tcPr>
            <w:tcW w:w="77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5"/>
              </w:numPr>
              <w:jc w:val="both"/>
              <w:rPr/>
            </w:pPr>
            <w:r>
              <w:rPr/>
              <w:t>Обмерные и обследовательские работы;</w:t>
            </w:r>
          </w:p>
          <w:p>
            <w:pPr>
              <w:pStyle w:val="Normal"/>
              <w:numPr>
                <w:ilvl w:val="0"/>
                <w:numId w:val="5"/>
              </w:numPr>
              <w:jc w:val="both"/>
              <w:rPr/>
            </w:pPr>
            <w:r>
              <w:rPr/>
              <w:t>Проектно-сметная документация;</w:t>
            </w:r>
          </w:p>
          <w:p>
            <w:pPr>
              <w:pStyle w:val="Normal"/>
              <w:numPr>
                <w:ilvl w:val="0"/>
                <w:numId w:val="5"/>
              </w:numPr>
              <w:jc w:val="both"/>
              <w:rPr/>
            </w:pPr>
            <w:r>
              <w:rPr/>
              <w:t>Согласование проектной документации</w:t>
            </w:r>
          </w:p>
        </w:tc>
      </w:tr>
      <w:tr>
        <w:trPr>
          <w:trHeight w:val="632" w:hRule="atLeast"/>
        </w:trPr>
        <w:tc>
          <w:tcPr>
            <w:tcW w:w="2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b/>
                <w:bCs/>
              </w:rPr>
              <w:t xml:space="preserve">7. </w:t>
            </w:r>
            <w:r>
              <w:rPr/>
              <w:t>Сроки выполнения работ</w:t>
            </w:r>
          </w:p>
        </w:tc>
        <w:tc>
          <w:tcPr>
            <w:tcW w:w="77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autoSpaceDE w:val="false"/>
              <w:jc w:val="both"/>
              <w:rPr>
                <w:color w:val="000000"/>
              </w:rPr>
            </w:pPr>
            <w:r>
              <w:rPr/>
              <w:t xml:space="preserve">- </w:t>
            </w:r>
            <w:r>
              <w:rPr>
                <w:color w:val="000000"/>
              </w:rPr>
              <w:t xml:space="preserve">дата начала: </w:t>
            </w:r>
            <w:r>
              <w:rPr>
                <w:i/>
              </w:rPr>
              <w:t>с даты заключения контракта;</w:t>
            </w:r>
          </w:p>
          <w:p>
            <w:pPr>
              <w:pStyle w:val="Normal"/>
              <w:widowControl w:val="false"/>
              <w:autoSpaceDE w:val="false"/>
              <w:jc w:val="both"/>
              <w:rPr/>
            </w:pPr>
            <w:r>
              <w:rPr>
                <w:color w:val="000000"/>
              </w:rPr>
              <w:t xml:space="preserve">- дата окончания: </w:t>
            </w:r>
            <w:r>
              <w:rPr>
                <w:i/>
                <w:iCs/>
                <w:color w:val="000000"/>
              </w:rPr>
              <w:t>по 30</w:t>
            </w:r>
            <w:r>
              <w:rPr>
                <w:i/>
                <w:color w:val="000000"/>
              </w:rPr>
              <w:t>.11.</w:t>
            </w:r>
            <w:r>
              <w:rPr>
                <w:i/>
              </w:rPr>
              <w:t>2026 г.</w:t>
            </w:r>
          </w:p>
        </w:tc>
      </w:tr>
      <w:tr>
        <w:trPr>
          <w:trHeight w:val="603" w:hRule="atLeast"/>
        </w:trPr>
        <w:tc>
          <w:tcPr>
            <w:tcW w:w="2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szCs w:val="22"/>
              </w:rPr>
            </w:pPr>
            <w:r>
              <w:rPr>
                <w:szCs w:val="22"/>
              </w:rPr>
              <w:t xml:space="preserve">8. Исходная документация </w:t>
              <w:br/>
              <w:t>для проектирования</w:t>
            </w:r>
          </w:p>
        </w:tc>
        <w:tc>
          <w:tcPr>
            <w:tcW w:w="77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47" w:leader="none"/>
              </w:tabs>
              <w:rPr>
                <w:szCs w:val="22"/>
              </w:rPr>
            </w:pPr>
            <w:r>
              <w:rPr>
                <w:szCs w:val="22"/>
              </w:rPr>
              <w:t>Предоставляется Заказчиком: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360" w:leader="none"/>
              </w:tabs>
              <w:jc w:val="both"/>
              <w:rPr>
                <w:szCs w:val="22"/>
                <w:lang w:eastAsia="ar-SA"/>
              </w:rPr>
            </w:pPr>
            <w:r>
              <w:rPr>
                <w:szCs w:val="22"/>
              </w:rPr>
              <w:t>- технический паспорт здания;</w:t>
            </w:r>
          </w:p>
          <w:p>
            <w:pPr>
              <w:pStyle w:val="Normal"/>
              <w:widowControl w:val="false"/>
              <w:jc w:val="both"/>
              <w:rPr>
                <w:szCs w:val="22"/>
                <w:lang w:eastAsia="ar-SA"/>
              </w:rPr>
            </w:pPr>
            <w:r>
              <w:rPr>
                <w:szCs w:val="22"/>
                <w:lang w:eastAsia="ar-SA"/>
              </w:rPr>
              <w:t>При необходимости, по запросу, Заказчиком предоставляется дополнительная информация.</w:t>
            </w:r>
          </w:p>
        </w:tc>
      </w:tr>
      <w:tr>
        <w:trPr>
          <w:trHeight w:val="278" w:hRule="atLeast"/>
        </w:trPr>
        <w:tc>
          <w:tcPr>
            <w:tcW w:w="2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szCs w:val="22"/>
              </w:rPr>
            </w:pPr>
            <w:r>
              <w:rPr>
                <w:szCs w:val="22"/>
              </w:rPr>
              <w:t>9. Требования и условия по проектированию</w:t>
              <w:br/>
            </w:r>
          </w:p>
        </w:tc>
        <w:tc>
          <w:tcPr>
            <w:tcW w:w="77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34"/>
              <w:shd w:fill="FFFFFF" w:val="clea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 До начала проектирования провести инструментальное обследование и обмерные работы в объеме, необходимом для разработки проектно-сметной документации.</w:t>
            </w:r>
          </w:p>
          <w:p>
            <w:pPr>
              <w:pStyle w:val="Style30"/>
              <w:tabs>
                <w:tab w:val="clear" w:pos="708"/>
                <w:tab w:val="left" w:pos="567" w:leader="none"/>
                <w:tab w:val="left" w:pos="851" w:leader="none"/>
                <w:tab w:val="left" w:pos="1418" w:leader="none"/>
              </w:tabs>
              <w:suppressAutoHyphens w:val="false"/>
              <w:spacing w:lineRule="auto" w:line="240" w:before="0" w:after="0"/>
              <w:ind w:start="0" w:end="0"/>
              <w:contextualSpacing/>
              <w:jc w:val="both"/>
              <w:rPr>
                <w:rFonts w:ascii="Times New Roman" w:hAnsi="Times New Roman" w:eastAsia="Calibri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ru-RU"/>
              </w:rPr>
              <w:t xml:space="preserve">2. </w:t>
            </w:r>
            <w:r>
              <w:rPr>
                <w:rFonts w:eastAsia="Calibri" w:cs="Calibri"/>
                <w:bCs/>
                <w:lang w:val="ru-RU" w:eastAsia="en-US"/>
              </w:rPr>
              <w:t xml:space="preserve"> </w:t>
            </w:r>
            <w:r>
              <w:rPr>
                <w:rFonts w:eastAsia="Calibri" w:cs="Times New Roman" w:ascii="Times New Roman" w:hAnsi="Times New Roman"/>
                <w:bCs/>
                <w:sz w:val="24"/>
                <w:szCs w:val="24"/>
                <w:lang w:val="ru-RU" w:eastAsia="en-US"/>
              </w:rPr>
              <w:t>Предоставить заказчику разработанные с соблюдением действующих строительных, противопожарных и санитарных норм и правил на рассмотрение и согласование варианты отделки крыши здания.</w:t>
            </w:r>
          </w:p>
          <w:p>
            <w:pPr>
              <w:pStyle w:val="Style30"/>
              <w:tabs>
                <w:tab w:val="clear" w:pos="708"/>
                <w:tab w:val="left" w:pos="567" w:leader="none"/>
                <w:tab w:val="left" w:pos="851" w:leader="none"/>
                <w:tab w:val="left" w:pos="1418" w:leader="none"/>
              </w:tabs>
              <w:suppressAutoHyphens w:val="false"/>
              <w:spacing w:lineRule="auto" w:line="240" w:before="0" w:after="0"/>
              <w:ind w:start="0" w:end="0"/>
              <w:contextualSpacing/>
              <w:jc w:val="both"/>
              <w:rPr>
                <w:rFonts w:ascii="Times New Roman" w:hAnsi="Times New Roman" w:eastAsia="Calibri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eastAsia="Calibri" w:cs="Times New Roman" w:ascii="Times New Roman" w:hAnsi="Times New Roman"/>
                <w:bCs/>
                <w:sz w:val="24"/>
                <w:szCs w:val="24"/>
                <w:lang w:val="ru-RU" w:eastAsia="en-US"/>
              </w:rPr>
              <w:t>3. Предусмотреть проведение демонтажных  работ на объекте.</w:t>
            </w:r>
          </w:p>
          <w:p>
            <w:pPr>
              <w:pStyle w:val="Style30"/>
              <w:tabs>
                <w:tab w:val="clear" w:pos="708"/>
                <w:tab w:val="left" w:pos="567" w:leader="none"/>
                <w:tab w:val="left" w:pos="851" w:leader="none"/>
                <w:tab w:val="left" w:pos="1418" w:leader="none"/>
              </w:tabs>
              <w:suppressAutoHyphens w:val="false"/>
              <w:spacing w:lineRule="auto" w:line="240" w:before="0" w:after="0"/>
              <w:ind w:start="0" w:end="0"/>
              <w:contextualSpacing/>
              <w:jc w:val="both"/>
              <w:rPr>
                <w:rFonts w:ascii="Times New Roman" w:hAnsi="Times New Roman" w:eastAsia="Calibri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eastAsia="Calibri" w:cs="Times New Roman" w:ascii="Times New Roman" w:hAnsi="Times New Roman"/>
                <w:bCs/>
                <w:sz w:val="24"/>
                <w:szCs w:val="24"/>
                <w:lang w:val="ru-RU" w:eastAsia="en-US"/>
              </w:rPr>
              <w:t>4. Предусмотреть вывоз строительных отходов.</w:t>
            </w:r>
          </w:p>
          <w:p>
            <w:pPr>
              <w:pStyle w:val="Style30"/>
              <w:tabs>
                <w:tab w:val="clear" w:pos="708"/>
                <w:tab w:val="left" w:pos="567" w:leader="none"/>
                <w:tab w:val="left" w:pos="851" w:leader="none"/>
                <w:tab w:val="left" w:pos="1418" w:leader="none"/>
              </w:tabs>
              <w:suppressAutoHyphens w:val="false"/>
              <w:spacing w:lineRule="auto" w:line="240" w:before="0" w:after="0"/>
              <w:ind w:start="0" w:end="0"/>
              <w:contextualSpacing/>
              <w:jc w:val="both"/>
              <w:rPr>
                <w:rFonts w:ascii="Times New Roman" w:hAnsi="Times New Roman" w:eastAsia="Calibri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eastAsia="Calibri" w:cs="Times New Roman" w:ascii="Times New Roman" w:hAnsi="Times New Roman"/>
                <w:bCs/>
                <w:sz w:val="24"/>
                <w:szCs w:val="24"/>
                <w:lang w:val="ru-RU" w:eastAsia="en-US"/>
              </w:rPr>
              <w:t>5. Предусмотреть устройство водосточной системы.</w:t>
            </w:r>
          </w:p>
          <w:p>
            <w:pPr>
              <w:pStyle w:val="Style30"/>
              <w:tabs>
                <w:tab w:val="clear" w:pos="708"/>
                <w:tab w:val="left" w:pos="567" w:leader="none"/>
                <w:tab w:val="left" w:pos="851" w:leader="none"/>
                <w:tab w:val="left" w:pos="1418" w:leader="none"/>
              </w:tabs>
              <w:suppressAutoHyphens w:val="false"/>
              <w:spacing w:lineRule="auto" w:line="240" w:before="0" w:after="0"/>
              <w:ind w:start="0" w:end="0"/>
              <w:contextualSpacing/>
              <w:jc w:val="both"/>
              <w:rPr>
                <w:rFonts w:ascii="Times New Roman" w:hAnsi="Times New Roman" w:eastAsia="Calibri" w:cs="Times New Roman"/>
                <w:bCs/>
                <w:sz w:val="24"/>
                <w:szCs w:val="24"/>
                <w:shd w:fill="auto" w:val="clear"/>
                <w:lang w:val="ru-RU" w:eastAsia="en-US"/>
              </w:rPr>
            </w:pPr>
            <w:r>
              <w:rPr>
                <w:rFonts w:eastAsia="Calibri" w:cs="Times New Roman" w:ascii="Times New Roman" w:hAnsi="Times New Roman"/>
                <w:bCs/>
                <w:sz w:val="24"/>
                <w:szCs w:val="24"/>
                <w:lang w:val="ru-RU" w:eastAsia="en-US"/>
              </w:rPr>
              <w:t>6. Предусмотреть снегозадержание на кровле</w:t>
            </w:r>
            <w:r>
              <w:rPr>
                <w:rFonts w:eastAsia="Calibri" w:cs="Times New Roman" w:ascii="Times New Roman" w:hAnsi="Times New Roman"/>
                <w:bCs/>
                <w:sz w:val="24"/>
                <w:szCs w:val="24"/>
                <w:shd w:fill="auto" w:val="clear"/>
                <w:lang w:val="ru-RU" w:eastAsia="en-US"/>
              </w:rPr>
              <w:t xml:space="preserve"> в зависимости от действующей снеговой нагрузки, системы крепления и длины ската крыши, монтаж снегозадерживающих устройств.</w:t>
            </w:r>
          </w:p>
          <w:p>
            <w:pPr>
              <w:pStyle w:val="Style30"/>
              <w:tabs>
                <w:tab w:val="clear" w:pos="708"/>
                <w:tab w:val="left" w:pos="567" w:leader="none"/>
                <w:tab w:val="left" w:pos="851" w:leader="none"/>
                <w:tab w:val="left" w:pos="1418" w:leader="none"/>
              </w:tabs>
              <w:suppressAutoHyphens w:val="false"/>
              <w:spacing w:lineRule="auto" w:line="240" w:before="0" w:after="0"/>
              <w:ind w:start="0" w:end="0"/>
              <w:contextualSpacing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eastAsia="Calibri" w:cs="Times New Roman" w:ascii="Times New Roman" w:hAnsi="Times New Roman"/>
                <w:bCs/>
                <w:sz w:val="24"/>
                <w:szCs w:val="24"/>
                <w:shd w:fill="auto" w:val="clear"/>
                <w:lang w:val="ru-RU" w:eastAsia="en-US"/>
              </w:rPr>
              <w:t xml:space="preserve">7. </w:t>
            </w:r>
            <w:r>
              <w:rPr>
                <w:rFonts w:eastAsia="Calibri" w:cs="Times New Roman" w:ascii="Times New Roman" w:hAnsi="Times New Roman"/>
                <w:bCs/>
                <w:sz w:val="24"/>
                <w:szCs w:val="24"/>
                <w:shd w:fill="auto" w:val="clear"/>
                <w:lang w:val="ru-RU" w:eastAsia="en-US"/>
              </w:rPr>
              <w:t>Сметной документацией предусмотреть затраты на демонтаж существующего кровельного покрытия, на сопутствующие работы по устройству строительных лесов (при необходимости).</w:t>
            </w:r>
          </w:p>
          <w:p>
            <w:pPr>
              <w:pStyle w:val="Style30"/>
              <w:tabs>
                <w:tab w:val="clear" w:pos="708"/>
                <w:tab w:val="left" w:pos="567" w:leader="none"/>
                <w:tab w:val="left" w:pos="851" w:leader="none"/>
                <w:tab w:val="left" w:pos="1418" w:leader="none"/>
              </w:tabs>
              <w:suppressAutoHyphens w:val="false"/>
              <w:spacing w:lineRule="auto" w:line="240" w:before="0" w:after="0"/>
              <w:ind w:start="0" w:end="0"/>
              <w:contextualSpacing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en-US"/>
              </w:rPr>
              <w:t xml:space="preserve">    </w:t>
            </w:r>
            <w:r>
              <w:rPr>
                <w:rFonts w:eastAsia="Calibri" w:cs="Times New Roman" w:ascii="Times New Roman" w:hAnsi="Times New Roman"/>
                <w:bCs/>
                <w:sz w:val="24"/>
                <w:szCs w:val="24"/>
                <w:lang w:val="ru-RU" w:eastAsia="en-US"/>
              </w:rPr>
              <w:t>Принятые к использованию в проектно-сметной документации оборудование, материалы, конструкции и детали должны соответствовать требованиям государственных стандартов, иметь необходимые сертификаты соответствия согласно законодательству Российской Федерации.</w:t>
            </w:r>
          </w:p>
          <w:p>
            <w:pPr>
              <w:pStyle w:val="Style30"/>
              <w:tabs>
                <w:tab w:val="clear" w:pos="708"/>
                <w:tab w:val="left" w:pos="567" w:leader="none"/>
                <w:tab w:val="left" w:pos="851" w:leader="none"/>
                <w:tab w:val="left" w:pos="1418" w:leader="none"/>
              </w:tabs>
              <w:suppressAutoHyphens w:val="false"/>
              <w:spacing w:lineRule="auto" w:line="240" w:before="0" w:after="0"/>
              <w:ind w:start="0" w:end="0"/>
              <w:contextualSpacing/>
              <w:jc w:val="both"/>
              <w:rPr>
                <w:rFonts w:eastAsia="Times New Roman"/>
                <w:szCs w:val="22"/>
                <w:lang w:eastAsia="en-US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val="ru-RU" w:eastAsia="en-US"/>
              </w:rPr>
              <w:t xml:space="preserve">     </w:t>
            </w:r>
            <w:r>
              <w:rPr>
                <w:rFonts w:eastAsia="Calibri" w:cs="Times New Roman" w:ascii="Times New Roman" w:hAnsi="Times New Roman"/>
                <w:bCs/>
                <w:sz w:val="24"/>
                <w:szCs w:val="24"/>
                <w:lang w:val="ru-RU" w:eastAsia="en-US"/>
              </w:rPr>
              <w:t>Предусмотреть использование долговечных и высококачественных материалов, обеспечивающих эстетичность, отвечающих санитарно-гигиеническим и противопожарным требованиям.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6" w:leader="none"/>
              </w:tabs>
              <w:jc w:val="both"/>
              <w:rPr/>
            </w:pPr>
            <w:r>
              <w:rPr>
                <w:rFonts w:eastAsia="Times New Roman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Cs w:val="22"/>
                <w:lang w:eastAsia="en-US"/>
              </w:rPr>
              <w:t xml:space="preserve">Разработку проектно-сметной документации осуществлять </w:t>
              <w:br/>
              <w:t>в соответствии с действующими нормативными требованиями, строительными, технологическими, санитарными нормами и правилами.</w:t>
            </w:r>
          </w:p>
          <w:p>
            <w:pPr>
              <w:pStyle w:val="Normal"/>
              <w:snapToGrid w:val="false"/>
              <w:jc w:val="both"/>
              <w:rPr/>
            </w:pPr>
            <w:r>
              <w:rPr/>
              <w:t xml:space="preserve">    </w:t>
            </w:r>
            <w:r>
              <w:rPr/>
              <w:t>Подрядчик должен выполнить все указанные работы собственными силами, по настоящему Техническому заданию, в соответствии с требованиями действующих норм и правил.</w:t>
            </w:r>
          </w:p>
          <w:p>
            <w:pPr>
              <w:pStyle w:val="Normal"/>
              <w:snapToGrid w:val="false"/>
              <w:ind w:firstLine="397" w:end="0"/>
              <w:jc w:val="both"/>
              <w:rPr/>
            </w:pPr>
            <w:r>
              <w:rPr/>
              <w:t>Подрядчик должен иметь необходимую материальную базу, соответственно обученный и аттестованный персонал, а также  опыт согласования проектной документации.</w:t>
            </w:r>
          </w:p>
          <w:p>
            <w:pPr>
              <w:pStyle w:val="Normal"/>
              <w:snapToGrid w:val="false"/>
              <w:ind w:firstLine="397" w:end="0"/>
              <w:jc w:val="both"/>
              <w:rPr>
                <w:rFonts w:eastAsia="HiddenHorzOCR;MS Mincho"/>
              </w:rPr>
            </w:pPr>
            <w:r>
              <w:rPr/>
              <w:t xml:space="preserve">Подрядчик рационально подходит к выбору конструктивного исполнения крыши здания, выбору материалов и необходимого оборудования. Разработка проектно-сметной документации с учетом утвержденных режимов градостроительного регулирования, статуса территории в соответствии со СНиП, ГОСТ и другими нормативно-методическими документами </w:t>
            </w:r>
            <w:r>
              <w:rPr>
                <w:rFonts w:eastAsia="Calibri"/>
                <w:lang w:eastAsia="en-US"/>
              </w:rPr>
              <w:t>в объеме, необходимом для производства ремонтных работ и согласования рабочей документации для получения необходимых разрешений на выполнение ремонтных работ:</w:t>
            </w:r>
          </w:p>
          <w:p>
            <w:pPr>
              <w:pStyle w:val="Normal"/>
              <w:snapToGrid w:val="false"/>
              <w:ind w:start="268" w:end="0"/>
              <w:jc w:val="both"/>
              <w:rPr>
                <w:rFonts w:eastAsia="HiddenHorzOCR;MS Mincho"/>
              </w:rPr>
            </w:pPr>
            <w:r>
              <w:rPr>
                <w:rFonts w:eastAsia="HiddenHorzOCR;MS Mincho"/>
              </w:rPr>
              <w:t>- Описание и обоснование внешнего вида крыши здания, обоснование принятых архитектурно-художественных решений (текстовая и графическая часть);</w:t>
            </w:r>
          </w:p>
          <w:p>
            <w:pPr>
              <w:pStyle w:val="Normal"/>
              <w:snapToGrid w:val="false"/>
              <w:ind w:start="268" w:end="0"/>
              <w:jc w:val="both"/>
              <w:rPr>
                <w:rFonts w:eastAsia="HiddenHorzOCR;MS Mincho"/>
                <w:lang w:eastAsia="en-US"/>
              </w:rPr>
            </w:pPr>
            <w:r>
              <w:rPr>
                <w:rFonts w:eastAsia="HiddenHorzOCR;MS Mincho"/>
              </w:rPr>
              <w:t>-  Описание и обоснование принятых конструктивных решений крыши здания, обеспечивающих необходимую прочность конструкций (текстовая часть и графическая часть);</w:t>
            </w:r>
            <w:r>
              <w:rPr>
                <w:rFonts w:eastAsia="HiddenHorzOCR;MS Mincho"/>
                <w:lang w:eastAsia="en-US"/>
              </w:rPr>
              <w:t xml:space="preserve"> </w:t>
            </w:r>
          </w:p>
          <w:p>
            <w:pPr>
              <w:pStyle w:val="Normal"/>
              <w:tabs>
                <w:tab w:val="clear" w:pos="708"/>
                <w:tab w:val="left" w:pos="438" w:leader="none"/>
              </w:tabs>
              <w:snapToGrid w:val="false"/>
              <w:ind w:firstLine="397" w:end="0"/>
              <w:jc w:val="both"/>
              <w:rPr/>
            </w:pPr>
            <w:r>
              <w:rPr>
                <w:rFonts w:eastAsia="HiddenHorzOCR;MS Mincho"/>
                <w:lang w:eastAsia="en-US"/>
              </w:rPr>
              <w:t>При разработке ПСД учесть, что работы будут осуществляться в условиях действующего учреждения. Выполнение работ</w:t>
            </w:r>
            <w:r>
              <w:rPr/>
              <w:t xml:space="preserve"> </w:t>
            </w:r>
            <w:r>
              <w:rPr>
                <w:rFonts w:eastAsia="HiddenHorzOCR;MS Mincho"/>
                <w:lang w:eastAsia="en-US"/>
              </w:rPr>
              <w:t xml:space="preserve">не должно препятствовать или создавать неудобства в работе учреждения или представлять угрозу для сотрудников и посетителей Заказчика.     </w:t>
            </w:r>
          </w:p>
          <w:p>
            <w:pPr>
              <w:pStyle w:val="Normal"/>
              <w:snapToGrid w:val="false"/>
              <w:ind w:firstLine="510" w:end="0"/>
              <w:jc w:val="both"/>
              <w:rPr/>
            </w:pPr>
            <w:r>
              <w:rPr/>
              <w:t>При составлении смет руководствоваться действующей сметно – нормативной базой.</w:t>
            </w:r>
          </w:p>
          <w:p>
            <w:pPr>
              <w:pStyle w:val="Normal"/>
              <w:snapToGrid w:val="false"/>
              <w:ind w:firstLine="510" w:end="0"/>
              <w:jc w:val="both"/>
              <w:rPr/>
            </w:pPr>
            <w:r>
              <w:rPr/>
              <w:t>Для осмотра конструкции крыши здания, с целью выполнения работ в соответствии с настоящим Техническим заданием, Подрядчик письменно информирует об этом Заказчика не позднее 3 рабочих дней до даты осмотра. Представляет на согласование Заказчику График осмотра территорий и список сотрудников, участвующих в осмотре с указанием фамилии, имени, отчества, паспортных данных и данных по регистрации.</w:t>
            </w:r>
          </w:p>
        </w:tc>
      </w:tr>
      <w:tr>
        <w:trPr>
          <w:trHeight w:val="913" w:hRule="atLeast"/>
        </w:trPr>
        <w:tc>
          <w:tcPr>
            <w:tcW w:w="2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/>
            </w:pPr>
            <w:r>
              <w:rPr>
                <w:szCs w:val="22"/>
              </w:rPr>
              <w:t xml:space="preserve">10. </w:t>
            </w:r>
            <w:r>
              <w:rPr/>
              <w:t xml:space="preserve"> </w:t>
            </w:r>
            <w:r>
              <w:rPr>
                <w:szCs w:val="22"/>
              </w:rPr>
              <w:t xml:space="preserve">Требования </w:t>
              <w:br/>
              <w:t xml:space="preserve">к качеству </w:t>
              <w:br/>
              <w:t>и содержанию документации</w:t>
            </w:r>
          </w:p>
        </w:tc>
        <w:tc>
          <w:tcPr>
            <w:tcW w:w="77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7" w:leader="none"/>
              </w:tabs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     </w:t>
            </w:r>
            <w:r>
              <w:rPr>
                <w:szCs w:val="22"/>
              </w:rPr>
              <w:t>Проектно-сметную документацию разработать в соответствии с действующими строительными нормами и правилами, и нормативно-техническими регламентами с соблюдением требований: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7" w:leader="none"/>
              </w:tabs>
              <w:jc w:val="both"/>
              <w:rPr>
                <w:szCs w:val="22"/>
              </w:rPr>
            </w:pPr>
            <w:r>
              <w:rPr>
                <w:szCs w:val="22"/>
              </w:rPr>
              <w:t>- Федерального закона РФ от 27.12.2002 № 184-ФЗ «О техническом регулировании»;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7" w:leader="none"/>
              </w:tabs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- Федерального закона РФ от 23.11.2009 № 261-ФЗ </w:t>
              <w:br/>
              <w:t xml:space="preserve">«Об энергосбережении и о повышении энергетической эффективности, </w:t>
              <w:br/>
              <w:t>и о внесении изменений в законодательные акты Российской Федерации»;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7" w:leader="none"/>
              </w:tabs>
              <w:jc w:val="both"/>
              <w:rPr>
                <w:szCs w:val="22"/>
              </w:rPr>
            </w:pPr>
            <w:r>
              <w:rPr>
                <w:szCs w:val="22"/>
              </w:rPr>
              <w:t>- Федерального закона РФ от 22.07.2008 № 123-ФЗ «Технический регламент о требованиях пожарной безопасности»;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7" w:leader="none"/>
              </w:tabs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- Федеральный закон от 30.12.2009 № 384-ФЗ «Технический регламент </w:t>
              <w:br/>
              <w:t>о безопасности зданий и сооружений».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7" w:leader="none"/>
              </w:tabs>
              <w:jc w:val="both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1415" w:hRule="atLeast"/>
        </w:trPr>
        <w:tc>
          <w:tcPr>
            <w:tcW w:w="2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szCs w:val="22"/>
              </w:rPr>
            </w:pPr>
            <w:r>
              <w:rPr>
                <w:szCs w:val="22"/>
              </w:rPr>
              <w:t>11. Состав разделов проектной документации</w:t>
            </w:r>
          </w:p>
        </w:tc>
        <w:tc>
          <w:tcPr>
            <w:tcW w:w="77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7" w:leader="none"/>
              </w:tabs>
              <w:jc w:val="both"/>
              <w:rPr>
                <w:rFonts w:cs="Arial"/>
              </w:rPr>
            </w:pPr>
            <w:r>
              <w:rPr>
                <w:szCs w:val="22"/>
              </w:rPr>
              <w:t xml:space="preserve"> </w:t>
            </w:r>
            <w:r>
              <w:rPr>
                <w:rFonts w:cs="Arial"/>
              </w:rPr>
              <w:t>Состав и оформление документации должны соответствовать требованиям:</w:t>
            </w:r>
          </w:p>
          <w:p>
            <w:pPr>
              <w:pStyle w:val="Normal"/>
              <w:jc w:val="both"/>
              <w:rPr>
                <w:rFonts w:cs="Arial"/>
              </w:rPr>
            </w:pPr>
            <w:r>
              <w:rPr>
                <w:rFonts w:cs="Arial"/>
              </w:rPr>
              <w:t>-  Градостроительного кодекса РФ</w:t>
            </w:r>
          </w:p>
          <w:p>
            <w:pPr>
              <w:pStyle w:val="Normal"/>
              <w:jc w:val="both"/>
              <w:rPr/>
            </w:pPr>
            <w:r>
              <w:rPr>
                <w:rFonts w:cs="Arial"/>
              </w:rPr>
              <w:t>- Постановления Правительства РФ № 87 от 16 февраля 2008г. и действующих изменений на момент прохождения экспертизы достоверности сметной стоимости.</w:t>
            </w:r>
            <w:r>
              <w:rPr>
                <w:rFonts w:cs="Times New Roman"/>
                <w:b w:val="false"/>
                <w:bCs w:val="false"/>
                <w:color w:val="000000"/>
                <w:sz w:val="24"/>
                <w:szCs w:val="24"/>
                <w:lang w:bidi="ru-RU"/>
              </w:rPr>
              <w:t xml:space="preserve">    </w:t>
            </w:r>
            <w:r>
              <w:rPr>
                <w:lang w:eastAsia="ru-RU"/>
              </w:rPr>
              <w:t xml:space="preserve">  </w:t>
            </w:r>
          </w:p>
        </w:tc>
      </w:tr>
      <w:tr>
        <w:trPr>
          <w:trHeight w:val="274" w:hRule="atLeast"/>
        </w:trPr>
        <w:tc>
          <w:tcPr>
            <w:tcW w:w="2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szCs w:val="22"/>
              </w:rPr>
            </w:pPr>
            <w:r>
              <w:rPr>
                <w:szCs w:val="22"/>
              </w:rPr>
              <w:t xml:space="preserve">12. Требования </w:t>
              <w:br/>
              <w:t>к методу составления сметной документации</w:t>
            </w:r>
          </w:p>
        </w:tc>
        <w:tc>
          <w:tcPr>
            <w:tcW w:w="77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2415" w:leader="none"/>
              </w:tabs>
              <w:jc w:val="both"/>
              <w:rPr>
                <w:rFonts w:eastAsia="Times New Roman" w:cs="Times New Roman"/>
                <w:bCs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Сметная документация должна быть разработана</w:t>
              <w:br/>
              <w:t>в соответствии с Методикой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Федерации» (далее – Методика), утвержденной приказом Министерства строительства и жилищно-коммунального хозяйства РФ от 04.08.2020 № 421/пр.</w:t>
            </w:r>
          </w:p>
          <w:p>
            <w:pPr>
              <w:pStyle w:val="Normal"/>
              <w:numPr>
                <w:ilvl w:val="0"/>
                <w:numId w:val="0"/>
              </w:numPr>
              <w:spacing w:before="0" w:after="120"/>
              <w:ind w:hanging="0" w:start="0" w:end="0"/>
              <w:jc w:val="both"/>
              <w:outlineLvl w:val="2"/>
              <w:rPr>
                <w:color w:val="000000"/>
              </w:rPr>
            </w:pPr>
            <w:r>
              <w:rPr>
                <w:rFonts w:eastAsia="Times New Roman" w:cs="Times New Roman"/>
                <w:bCs/>
              </w:rPr>
              <w:t xml:space="preserve">     </w:t>
            </w:r>
            <w:r>
              <w:rPr>
                <w:rFonts w:eastAsia="SimSun;宋体" w:cs="Arial"/>
                <w:bCs/>
              </w:rPr>
              <w:t>Расчет сметы выполнить ресурсно-индексным методом. Сметная документация составляется в текущих на дату проведения экспертизы ценах и базисных уровнях цен. Цена материалов и изделий не учтенных в сборниках ценообразования и принятых из иных источников, подтверждается документально</w:t>
            </w:r>
            <w:r>
              <w:rPr>
                <w:rFonts w:eastAsia="SimSun;宋体" w:cs="Arial"/>
                <w:bCs/>
                <w:color w:val="000000"/>
              </w:rPr>
              <w:t>.</w:t>
            </w:r>
          </w:p>
          <w:p>
            <w:pPr>
              <w:pStyle w:val="Normal"/>
              <w:tabs>
                <w:tab w:val="clear" w:pos="708"/>
                <w:tab w:val="left" w:pos="2415" w:leader="none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</w:t>
            </w:r>
            <w:r>
              <w:rPr>
                <w:color w:val="000000"/>
              </w:rPr>
              <w:t xml:space="preserve">В случае отсутствия в нормативных базах материалов, изделий и конструкций, текущую сметную стоимость определять </w:t>
              <w:br/>
              <w:t xml:space="preserve">по результатам конъюнктурного анализа (Приложение №1 к Методике </w:t>
              <w:br/>
              <w:t>№ 421/пр) по наиболее экономичному варианту, предварительно проведенного мониторинга цен поставщиков (не менее 3-х представителей).</w:t>
            </w:r>
          </w:p>
          <w:p>
            <w:pPr>
              <w:pStyle w:val="Normal"/>
              <w:tabs>
                <w:tab w:val="clear" w:pos="708"/>
                <w:tab w:val="left" w:pos="2415" w:leader="none"/>
              </w:tabs>
              <w:jc w:val="both"/>
              <w:rPr/>
            </w:pPr>
            <w:r>
              <w:rPr>
                <w:color w:val="000000"/>
              </w:rPr>
              <w:t xml:space="preserve">        </w:t>
            </w:r>
            <w:r>
              <w:rPr>
                <w:color w:val="000000"/>
              </w:rPr>
              <w:t xml:space="preserve">В прайс-листах должна быть отображена информация: о поставщике – его юридический (фактический) адрес, контактные телефоны; цена (оптовая, розница) с НДС (без НДС), с учетом или без транспортных услуг, дата действия цены. Если источником информации о ценах являются данные из информационно-телекоммуникационной сети «Интернет», необходимо указать адрес соответствующей страницы, </w:t>
              <w:br/>
              <w:t>на которой размещена информация, а также графическое изображение снимка экрана («скриншот» соответствующей страницы).</w:t>
            </w:r>
          </w:p>
        </w:tc>
      </w:tr>
      <w:tr>
        <w:trPr>
          <w:trHeight w:val="699" w:hRule="atLeast"/>
        </w:trPr>
        <w:tc>
          <w:tcPr>
            <w:tcW w:w="235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szCs w:val="22"/>
              </w:rPr>
            </w:pPr>
            <w:r>
              <w:rPr>
                <w:szCs w:val="22"/>
              </w:rPr>
              <w:t xml:space="preserve">13. Требования </w:t>
              <w:br/>
              <w:t xml:space="preserve">к сроку и (или) объему предоставления гарантий качества </w:t>
            </w:r>
          </w:p>
        </w:tc>
        <w:tc>
          <w:tcPr>
            <w:tcW w:w="771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shd w:fill="auto" w:val="clear"/>
              </w:rPr>
            </w:pPr>
            <w:r>
              <w:rPr/>
              <w:t xml:space="preserve">     </w:t>
            </w:r>
            <w:r>
              <w:rPr/>
              <w:t>Срок гарантии на результат выполненных работ составляет не менее 36 месяцев. Гарантийный срок начинает течь с момента подписания Сторонами документа о приемке. Гарантия должна распространяться на весь объем работ.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Cs w:val="22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shd w:fill="auto" w:val="clear"/>
              </w:rPr>
              <w:t xml:space="preserve">   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 xml:space="preserve">Подрядчик несет ответственность за ненадлежащее составление проектно-сметной документации, включая недостатки, обнаруженные впоследствии в ходе ремонта, а также в процессе эксплуатации объекта, созданного на основе проектно-сметной документации, в соответствии со ст.761 </w:t>
            </w:r>
            <w:hyperlink r:id="rId2" w:tgtFrame="_blank">
              <w:r>
                <w:rPr>
                  <w:rStyle w:val="Hyperlink"/>
                  <w:rFonts w:cs="Times New Roman" w:ascii="Times New Roman" w:hAnsi="Times New Roman"/>
                  <w:color w:val="000000"/>
                  <w:sz w:val="24"/>
                  <w:szCs w:val="24"/>
                  <w:u w:val="none"/>
                  <w:shd w:fill="auto" w:val="clear"/>
                </w:rPr>
                <w:t>Гражданского кодекса Российской Федерации</w:t>
              </w:r>
            </w:hyperlink>
            <w:r>
              <w:rPr>
                <w:rFonts w:cs="Times New Roman" w:ascii="Times New Roman" w:hAnsi="Times New Roman"/>
                <w:sz w:val="24"/>
                <w:szCs w:val="24"/>
                <w:shd w:fill="auto" w:val="clear"/>
              </w:rPr>
              <w:t>.</w:t>
            </w:r>
          </w:p>
          <w:p>
            <w:pPr>
              <w:pStyle w:val="Normal"/>
              <w:widowControl w:val="false"/>
              <w:ind w:firstLine="284" w:end="0"/>
              <w:jc w:val="both"/>
              <w:rPr>
                <w:szCs w:val="22"/>
              </w:rPr>
            </w:pPr>
            <w:r>
              <w:rPr>
                <w:szCs w:val="22"/>
              </w:rPr>
              <w:t>Независимо от сроков выполнения работ по проектно-сметной документации в случае выявления замечаний и недостатков в процессе выполнения строительно-монтажных работ Подрядчик безвозмездно корректирует проектно-сметную документацию.</w:t>
            </w:r>
          </w:p>
        </w:tc>
      </w:tr>
      <w:tr>
        <w:trPr>
          <w:trHeight w:val="849" w:hRule="atLeast"/>
        </w:trPr>
        <w:tc>
          <w:tcPr>
            <w:tcW w:w="2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szCs w:val="22"/>
              </w:rPr>
            </w:pPr>
            <w:r>
              <w:rPr>
                <w:szCs w:val="22"/>
              </w:rPr>
              <w:t xml:space="preserve">14. Требования </w:t>
              <w:br/>
              <w:t>по внедрению новой техники, материалов</w:t>
            </w:r>
          </w:p>
        </w:tc>
        <w:tc>
          <w:tcPr>
            <w:tcW w:w="77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284" w:end="0"/>
              <w:jc w:val="both"/>
              <w:rPr>
                <w:rFonts w:cs="Arial"/>
              </w:rPr>
            </w:pPr>
            <w:r>
              <w:rPr>
                <w:szCs w:val="22"/>
              </w:rPr>
              <w:t xml:space="preserve">В проекте предусмотреть применение сертифицированных </w:t>
              <w:br/>
              <w:t>на территории Российской Федерации материалов и оборудования, энергоэффективных технологий.</w:t>
            </w:r>
          </w:p>
          <w:p>
            <w:pPr>
              <w:pStyle w:val="Normal"/>
              <w:widowControl w:val="false"/>
              <w:ind w:firstLine="284" w:end="0"/>
              <w:jc w:val="both"/>
              <w:rPr>
                <w:rFonts w:cs="Arial"/>
              </w:rPr>
            </w:pPr>
            <w:r>
              <w:rPr>
                <w:rFonts w:cs="Arial"/>
              </w:rPr>
              <w:t>Применить материалы, конструкции и оборудование российского производства. Применить современные материалы и оборудование, находящиеся в настоящее время в производстве.</w:t>
            </w:r>
          </w:p>
          <w:p>
            <w:pPr>
              <w:pStyle w:val="Normal"/>
              <w:widowControl w:val="false"/>
              <w:ind w:firstLine="284" w:end="0"/>
              <w:jc w:val="both"/>
              <w:rPr>
                <w:rFonts w:cs="Arial"/>
              </w:rPr>
            </w:pPr>
            <w:r>
              <w:rPr>
                <w:rFonts w:cs="Arial"/>
              </w:rPr>
            </w:r>
          </w:p>
        </w:tc>
      </w:tr>
      <w:tr>
        <w:trPr>
          <w:trHeight w:val="1051" w:hRule="atLeast"/>
        </w:trPr>
        <w:tc>
          <w:tcPr>
            <w:tcW w:w="2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szCs w:val="22"/>
              </w:rPr>
            </w:pPr>
            <w:r>
              <w:rPr>
                <w:szCs w:val="22"/>
              </w:rPr>
              <w:t xml:space="preserve">15. Указания </w:t>
              <w:br/>
              <w:t>о необходимости согласований документации</w:t>
            </w:r>
          </w:p>
        </w:tc>
        <w:tc>
          <w:tcPr>
            <w:tcW w:w="77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ind w:firstLine="284" w:end="0"/>
              <w:jc w:val="both"/>
              <w:rPr>
                <w:szCs w:val="22"/>
              </w:rPr>
            </w:pPr>
            <w:r>
              <w:rPr>
                <w:szCs w:val="22"/>
              </w:rPr>
              <w:t>Перечень обязательных согласований с Заказчиком (на каком этапе):</w:t>
            </w:r>
          </w:p>
          <w:p>
            <w:pPr>
              <w:pStyle w:val="Normal"/>
              <w:widowControl w:val="false"/>
              <w:ind w:firstLine="284" w:end="0"/>
              <w:jc w:val="both"/>
              <w:rPr>
                <w:szCs w:val="22"/>
              </w:rPr>
            </w:pPr>
            <w:r>
              <w:rPr>
                <w:szCs w:val="22"/>
              </w:rPr>
              <w:t>1. основные применяемые материалы;</w:t>
            </w:r>
          </w:p>
          <w:p>
            <w:pPr>
              <w:pStyle w:val="Normal"/>
              <w:widowControl w:val="false"/>
              <w:ind w:firstLine="284" w:end="0"/>
              <w:jc w:val="both"/>
              <w:rPr>
                <w:szCs w:val="22"/>
              </w:rPr>
            </w:pPr>
            <w:r>
              <w:rPr>
                <w:szCs w:val="22"/>
              </w:rPr>
              <w:t>2. мониторинг стоимости материалов.</w:t>
            </w:r>
          </w:p>
          <w:p>
            <w:pPr>
              <w:pStyle w:val="Normal"/>
              <w:widowControl w:val="false"/>
              <w:ind w:firstLine="284" w:end="0"/>
              <w:jc w:val="both"/>
              <w:rPr>
                <w:szCs w:val="22"/>
              </w:rPr>
            </w:pPr>
            <w:r>
              <w:rPr>
                <w:szCs w:val="22"/>
              </w:rPr>
              <w:t>Оплату необходимых согласований, а также счетов за выполненные работы по выполнению дополнительных заказов выполняет Подрядчик в пределах стоимости договора. При необходимости Подрядчиком выполняется корректировка ПСД и внесение изменений в разработанную ПСД, связанных с выявленными недостатками.</w:t>
            </w:r>
          </w:p>
        </w:tc>
      </w:tr>
      <w:tr>
        <w:trPr>
          <w:trHeight w:val="4796" w:hRule="atLeast"/>
        </w:trPr>
        <w:tc>
          <w:tcPr>
            <w:tcW w:w="2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szCs w:val="22"/>
              </w:rPr>
            </w:pPr>
            <w:r>
              <w:rPr>
                <w:szCs w:val="22"/>
              </w:rPr>
              <w:t>16. Количество экземпляров, выдаваемых Заказчику</w:t>
            </w:r>
          </w:p>
        </w:tc>
        <w:tc>
          <w:tcPr>
            <w:tcW w:w="77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szCs w:val="22"/>
              </w:rPr>
            </w:pPr>
            <w:r>
              <w:rPr>
                <w:szCs w:val="22"/>
              </w:rPr>
              <w:t>По завершении в установленные сроки работ по договору Подрядчик (Проектировщик) передает Заказчику полный комплект ПСД в следующем составе:</w:t>
            </w:r>
          </w:p>
          <w:p>
            <w:pPr>
              <w:pStyle w:val="Normal"/>
              <w:widowControl w:val="false"/>
              <w:jc w:val="both"/>
              <w:rPr>
                <w:szCs w:val="22"/>
              </w:rPr>
            </w:pPr>
            <w:r>
              <w:rPr>
                <w:szCs w:val="22"/>
              </w:rPr>
              <w:t>- в 2 экземплярах на бумажном носителе в виде сброшюрованных разделов проектно-сметную документацию;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szCs w:val="22"/>
              </w:rPr>
              <w:t xml:space="preserve">- в 2 экземплярах на электронном носителе в формате </w:t>
            </w:r>
            <w:r>
              <w:rPr>
                <w:szCs w:val="22"/>
                <w:lang w:val="en-US"/>
              </w:rPr>
              <w:t>pdf</w:t>
            </w:r>
            <w:r>
              <w:rPr>
                <w:szCs w:val="22"/>
              </w:rPr>
              <w:t xml:space="preserve"> и в форматах программных комплексов, в которых были разработаны проектные решения (для текстовых документов – *.doc., *xlsx, для сметной документации – в формате, совместимом и читаемом </w:t>
              <w:br/>
              <w:t>в программном комплексе «ГРАНД», для чертежей – в форматах программных комплексов-графопостроителей, позволяющих послойное редактирование файлов .</w:t>
            </w:r>
          </w:p>
          <w:p>
            <w:pPr>
              <w:pStyle w:val="Style30"/>
              <w:widowControl w:val="false"/>
              <w:spacing w:lineRule="auto" w:line="240" w:before="0" w:after="200"/>
              <w:ind w:start="0" w:end="0"/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cs="Times New Roman" w:ascii="Times New Roman" w:hAnsi="Times New Roman"/>
                <w:sz w:val="24"/>
                <w:lang w:val="ru-RU"/>
              </w:rPr>
              <w:t>Проектная документация в электронном виде должна быть четко структурирована и разделена по папкам, разделам, поименованным</w:t>
              <w:br/>
              <w:t xml:space="preserve"> в соответствии с бумажным носителем. Чертежи в графических файлах не должны иметь посторонних чертежей, элементов, листы должны быть упорядочены.</w:t>
            </w:r>
          </w:p>
        </w:tc>
      </w:tr>
      <w:tr>
        <w:trPr>
          <w:trHeight w:val="1043" w:hRule="atLeast"/>
        </w:trPr>
        <w:tc>
          <w:tcPr>
            <w:tcW w:w="2350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rPr>
                <w:szCs w:val="22"/>
              </w:rPr>
            </w:pPr>
            <w:r>
              <w:rPr>
                <w:szCs w:val="22"/>
              </w:rPr>
              <w:t>17. Приемка работ</w:t>
            </w:r>
          </w:p>
        </w:tc>
        <w:tc>
          <w:tcPr>
            <w:tcW w:w="7715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keepLines/>
              <w:ind w:start="160" w:end="104"/>
              <w:jc w:val="both"/>
              <w:rPr>
                <w:shd w:fill="auto" w:val="clear"/>
              </w:rPr>
            </w:pPr>
            <w:r>
              <w:rPr>
                <w:shd w:fill="auto" w:val="clear"/>
              </w:rPr>
              <w:t xml:space="preserve">Приемка выполненных работ осуществляется в течении 5 (пяти) рабочих дней со дня предоставления Подрядчиком документа о приемке.  </w:t>
            </w:r>
          </w:p>
        </w:tc>
      </w:tr>
    </w:tbl>
    <w:p>
      <w:pPr>
        <w:pStyle w:val="Normal"/>
        <w:spacing w:lineRule="auto" w:line="360"/>
        <w:jc w:val="both"/>
        <w:rPr>
          <w:bCs/>
        </w:rPr>
      </w:pPr>
      <w:r>
        <w:rPr>
          <w:bCs/>
        </w:rPr>
      </w:r>
    </w:p>
    <w:p>
      <w:pPr>
        <w:pStyle w:val="Style24"/>
        <w:rPr>
          <w:bCs/>
        </w:rPr>
      </w:pPr>
      <w:r>
        <w:rPr>
          <w:bCs/>
        </w:rPr>
      </w:r>
    </w:p>
    <w:sectPr>
      <w:headerReference w:type="default" r:id="rId3"/>
      <w:type w:val="nextPage"/>
      <w:pgSz w:w="11906" w:h="16838"/>
      <w:pgMar w:left="1134" w:right="707" w:gutter="0" w:header="709" w:top="765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Courier New">
    <w:charset w:val="cc" w:characterSet="windows-1251"/>
    <w:family w:val="modern"/>
    <w:pitch w:val="default"/>
  </w:font>
  <w:font w:name="Wingdings">
    <w:charset w:val="02"/>
    <w:family w:val="auto"/>
    <w:pitch w:val="variable"/>
  </w:font>
  <w:font w:name="Calibri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  <w:font w:name="Franklin Gothic Book">
    <w:charset w:val="cc" w:characterSet="windows-1251"/>
    <w:family w:val="swiss"/>
    <w:pitch w:val="variable"/>
  </w:font>
  <w:font w:name="Verdana">
    <w:charset w:val="cc" w:characterSet="windows-1251"/>
    <w:family w:val="swiss"/>
    <w:pitch w:val="variable"/>
  </w:font>
  <w:font w:name="Cambria">
    <w:charset w:val="cc" w:characterSet="windows-1251"/>
    <w:family w:val="roman"/>
    <w:pitch w:val="variable"/>
  </w:font>
  <w:font w:name="NTHelvetica/Cyrillic">
    <w:altName w:val="Times New Roman"/>
    <w:charset w:val="00" w:characterSet="windows-1252"/>
    <w:family w:val="auto"/>
    <w:pitch w:val="variable"/>
  </w:font>
  <w:font w:name="Times New Roman CYR">
    <w:charset w:val="cc" w:characterSet="windows-1251"/>
    <w:family w:val="roman"/>
    <w:pitch w:val="variable"/>
  </w:font>
  <w:font w:name="Arial CYR">
    <w:charset w:val="cc" w:characterSet="windows-1251"/>
    <w:family w:val="swiss"/>
    <w:pitch w:val="variable"/>
  </w:font>
  <w:font w:name="Georgia">
    <w:charset w:val="cc" w:characterSet="windows-1251"/>
    <w:family w:val="roman"/>
    <w:pitch w:val="variable"/>
  </w:font>
  <w:font w:name="Book Antiqua">
    <w:charset w:val="cc" w:characterSet="windows-1251"/>
    <w:family w:val="roman"/>
    <w:pitch w:val="variable"/>
  </w:font>
  <w:font w:name="Times New Roman">
    <w:charset w:val="01"/>
    <w:family w:val="roman"/>
    <w:pitch w:val="variable"/>
  </w:font>
  <w:font w:name="Courier New">
    <w:charset w:val="cc" w:characterSet="windows-1251"/>
    <w:family w:val="modern"/>
    <w:pitch w:val="fixed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pStyle w:val="Heading3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pStyle w:val="Heading4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pStyle w:val="Heading5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pStyle w:val="Heading6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pStyle w:val="Heading7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pStyle w:val="Heading8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pStyle w:val="Heading9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1080"/>
        </w:tabs>
        <w:ind w:start="0" w:firstLine="720"/>
      </w:pPr>
    </w:lvl>
  </w:abstractNum>
  <w:abstractNum w:abstractNumId="3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</w:abstractNum>
  <w:abstractNum w:abstractNumId="4">
    <w:lvl w:ilvl="0">
      <w:start w:val="1"/>
      <w:numFmt w:val="decimal"/>
      <w:lvlText w:val="%1."/>
      <w:lvlJc w:val="center"/>
      <w:pPr>
        <w:tabs>
          <w:tab w:val="num" w:pos="567"/>
        </w:tabs>
        <w:ind w:start="567" w:hanging="279"/>
      </w:pPr>
      <w:rPr>
        <w:rFonts w:cs="Times New Roman"/>
      </w:rPr>
    </w:lvl>
    <w:lvl w:ilvl="1">
      <w:start w:val="1"/>
      <w:numFmt w:val="decimal"/>
      <w:lvlText w:val="%1.%2."/>
      <w:lvlJc w:val="start"/>
      <w:pPr>
        <w:tabs>
          <w:tab w:val="num" w:pos="567"/>
        </w:tabs>
        <w:ind w:start="567" w:hanging="567"/>
      </w:pPr>
      <w:rPr>
        <w:rFonts w:cs="Times New Roman"/>
      </w:rPr>
    </w:lvl>
    <w:lvl w:ilvl="2">
      <w:start w:val="1"/>
      <w:numFmt w:val="decimal"/>
      <w:lvlText w:val="%1.%2.%3"/>
      <w:lvlJc w:val="start"/>
      <w:pPr>
        <w:tabs>
          <w:tab w:val="num" w:pos="851"/>
        </w:tabs>
        <w:ind w:start="851" w:hanging="851"/>
      </w:pPr>
      <w:rPr>
        <w:rFonts w:cs="Times New Roman"/>
      </w:rPr>
    </w:lvl>
    <w:lvl w:ilvl="3">
      <w:start w:val="1"/>
      <w:numFmt w:val="decimal"/>
      <w:lvlText w:val="%1.%2.%3.%4."/>
      <w:lvlJc w:val="start"/>
      <w:pPr>
        <w:tabs>
          <w:tab w:val="num" w:pos="1844"/>
        </w:tabs>
        <w:ind w:start="1844" w:hanging="567"/>
      </w:pPr>
      <w:rPr>
        <w:rFonts w:cs="Times New Roman"/>
      </w:rPr>
    </w:lvl>
    <w:lvl w:ilvl="4">
      <w:start w:val="1"/>
      <w:numFmt w:val="lowerLetter"/>
      <w:lvlText w:val="%5)"/>
      <w:lvlJc w:val="start"/>
      <w:pPr>
        <w:tabs>
          <w:tab w:val="num" w:pos="3508"/>
        </w:tabs>
        <w:ind w:start="3508" w:hanging="1008"/>
      </w:pPr>
      <w:rPr>
        <w:rFonts w:cs="Times New Roman"/>
      </w:rPr>
    </w:lvl>
    <w:lvl w:ilvl="5">
      <w:start w:val="1"/>
      <w:numFmt w:val="decimal"/>
      <w:lvlText w:val="%1.%2.%3.%4.%5.%6"/>
      <w:lvlJc w:val="start"/>
      <w:pPr>
        <w:tabs>
          <w:tab w:val="num" w:pos="2592"/>
        </w:tabs>
        <w:ind w:start="2592" w:hanging="1152"/>
      </w:pPr>
      <w:rPr>
        <w:rFonts w:cs="Times New Roman"/>
      </w:rPr>
    </w:lvl>
    <w:lvl w:ilvl="6">
      <w:start w:val="1"/>
      <w:numFmt w:val="decimal"/>
      <w:lvlText w:val="%1.%2.%3.%4.%5.%6.%7"/>
      <w:lvlJc w:val="start"/>
      <w:pPr>
        <w:tabs>
          <w:tab w:val="num" w:pos="2736"/>
        </w:tabs>
        <w:ind w:start="2736" w:hanging="1296"/>
      </w:pPr>
      <w:rPr>
        <w:rFonts w:cs="Times New Roman"/>
      </w:rPr>
    </w:lvl>
    <w:lvl w:ilvl="7">
      <w:start w:val="1"/>
      <w:numFmt w:val="decimal"/>
      <w:lvlText w:val="%1.%2.%3.%4.%5.%6.%7.%8"/>
      <w:lvlJc w:val="start"/>
      <w:pPr>
        <w:tabs>
          <w:tab w:val="num" w:pos="2880"/>
        </w:tabs>
        <w:ind w:start="288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start"/>
      <w:pPr>
        <w:tabs>
          <w:tab w:val="num" w:pos="3024"/>
        </w:tabs>
        <w:ind w:start="3024" w:hanging="1584"/>
      </w:pPr>
      <w:rPr>
        <w:rFonts w:cs="Times New Roman"/>
      </w:rPr>
    </w:lvl>
  </w:abstractNum>
  <w:abstractNum w:abstractNumId="5">
    <w:lvl w:ilvl="0"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Liberation Serif" w:hAnsi="Liberation Serif" w:cs="Liberation Serif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isplayBackgroundShape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roid Sans Fallback" w:cs="Droid Sans Devanagari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val="ru-RU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sz w:val="36"/>
      <w:szCs w:val="20"/>
      <w:lang w:val="ru-RU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val="ru-RU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outlineLvl w:val="3"/>
    </w:pPr>
    <w:rPr>
      <w:sz w:val="40"/>
      <w:szCs w:val="20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  <w:sz w:val="32"/>
      <w:szCs w:val="20"/>
    </w:rPr>
  </w:style>
  <w:style w:type="paragraph" w:styleId="Heading6">
    <w:name w:val="Heading 6"/>
    <w:basedOn w:val="Normal"/>
    <w:next w:val="Normal"/>
    <w:qFormat/>
    <w:pPr>
      <w:keepNext w:val="true"/>
      <w:numPr>
        <w:ilvl w:val="5"/>
        <w:numId w:val="1"/>
      </w:numPr>
      <w:outlineLvl w:val="5"/>
    </w:pPr>
    <w:rPr>
      <w:sz w:val="48"/>
      <w:szCs w:val="20"/>
    </w:rPr>
  </w:style>
  <w:style w:type="paragraph" w:styleId="Heading7">
    <w:name w:val="Heading 7"/>
    <w:basedOn w:val="Normal"/>
    <w:next w:val="Normal"/>
    <w:qFormat/>
    <w:pPr>
      <w:keepNext w:val="true"/>
      <w:numPr>
        <w:ilvl w:val="6"/>
        <w:numId w:val="1"/>
      </w:numPr>
      <w:outlineLvl w:val="6"/>
    </w:pPr>
    <w:rPr>
      <w:b/>
      <w:sz w:val="28"/>
      <w:szCs w:val="28"/>
      <w:lang w:val="ru-RU"/>
    </w:rPr>
  </w:style>
  <w:style w:type="paragraph" w:styleId="Heading8">
    <w:name w:val="Heading 8"/>
    <w:basedOn w:val="Normal"/>
    <w:next w:val="Normal"/>
    <w:qFormat/>
    <w:pPr>
      <w:keepNext w:val="true"/>
      <w:numPr>
        <w:ilvl w:val="7"/>
        <w:numId w:val="1"/>
      </w:numPr>
      <w:jc w:val="center"/>
      <w:outlineLvl w:val="7"/>
    </w:pPr>
    <w:rPr>
      <w:b/>
      <w:bCs/>
      <w:lang w:val="ru-RU"/>
    </w:rPr>
  </w:style>
  <w:style w:type="paragraph" w:styleId="Heading9">
    <w:name w:val="Heading 9"/>
    <w:basedOn w:val="Normal"/>
    <w:next w:val="Normal"/>
    <w:qFormat/>
    <w:pPr>
      <w:keepNext w:val="true"/>
      <w:numPr>
        <w:ilvl w:val="8"/>
        <w:numId w:val="1"/>
      </w:numPr>
      <w:jc w:val="center"/>
      <w:outlineLvl w:val="8"/>
    </w:pPr>
    <w:rPr>
      <w:b/>
      <w:sz w:val="28"/>
      <w:szCs w:val="28"/>
      <w:lang w:val="ru-RU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4z0">
    <w:name w:val="WW8Num4z0"/>
    <w:qFormat/>
    <w:rPr>
      <w:rFonts w:cs="Times New Roman"/>
    </w:rPr>
  </w:style>
  <w:style w:type="character" w:styleId="WW8Num5z0">
    <w:name w:val="WW8Num5z0"/>
    <w:qFormat/>
    <w:rPr>
      <w:rFonts w:ascii="Liberation Serif;Times New Roman" w:hAnsi="Liberation Serif;Times New Roman" w:cs="Times New Roman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5z2">
    <w:name w:val="WW8Num5z2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6z0">
    <w:name w:val="WW8Num6z0"/>
    <w:qFormat/>
    <w:rPr>
      <w:rFonts w:ascii="Times New Roman" w:hAnsi="Times New Roman" w:cs="Times New Roman"/>
      <w:b/>
      <w:i w:val="false"/>
    </w:rPr>
  </w:style>
  <w:style w:type="character" w:styleId="WW8Num6z1">
    <w:name w:val="WW8Num6z1"/>
    <w:qFormat/>
    <w:rPr>
      <w:b/>
    </w:rPr>
  </w:style>
  <w:style w:type="character" w:styleId="Style5">
    <w:name w:val="Основной шрифт абзаца"/>
    <w:qFormat/>
    <w:rPr/>
  </w:style>
  <w:style w:type="character" w:styleId="2">
    <w:name w:val="Основной шрифт абзаца2"/>
    <w:qFormat/>
    <w:rPr/>
  </w:style>
  <w:style w:type="character" w:styleId="WW8Num1z0">
    <w:name w:val="WW8Num1z0"/>
    <w:qFormat/>
    <w:rPr>
      <w:rFonts w:ascii="Times New Roman" w:hAnsi="Times New Roman" w:cs="Times New Roman"/>
    </w:rPr>
  </w:style>
  <w:style w:type="character" w:styleId="WW8Num2z0">
    <w:name w:val="WW8Num2z0"/>
    <w:qFormat/>
    <w:rPr>
      <w:b w:val="false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7z1">
    <w:name w:val="WW8Num7z1"/>
    <w:qFormat/>
    <w:rPr>
      <w:rFonts w:ascii="Courier New" w:hAnsi="Courier New" w:cs="Courier New"/>
    </w:rPr>
  </w:style>
  <w:style w:type="character" w:styleId="WW8Num7z2">
    <w:name w:val="WW8Num7z2"/>
    <w:qFormat/>
    <w:rPr>
      <w:rFonts w:ascii="Wingdings" w:hAnsi="Wingdings" w:cs="Wingdings"/>
    </w:rPr>
  </w:style>
  <w:style w:type="character" w:styleId="WW8Num8z0">
    <w:name w:val="WW8Num8z0"/>
    <w:qFormat/>
    <w:rPr/>
  </w:style>
  <w:style w:type="character" w:styleId="WW8Num9z0">
    <w:name w:val="WW8Num9z0"/>
    <w:qFormat/>
    <w:rPr>
      <w:b/>
    </w:rPr>
  </w:style>
  <w:style w:type="character" w:styleId="WW8Num9z1">
    <w:name w:val="WW8Num9z1"/>
    <w:qFormat/>
    <w:rPr>
      <w:b w:val="false"/>
      <w:color w:val="000000"/>
    </w:rPr>
  </w:style>
  <w:style w:type="character" w:styleId="WW8Num9z2">
    <w:name w:val="WW8Num9z2"/>
    <w:qFormat/>
    <w:rPr>
      <w:b w:val="false"/>
      <w:i w:val="false"/>
    </w:rPr>
  </w:style>
  <w:style w:type="character" w:styleId="WW8Num9z3">
    <w:name w:val="WW8Num9z3"/>
    <w:qFormat/>
    <w:rPr/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2z0">
    <w:name w:val="WW8Num12z0"/>
    <w:qFormat/>
    <w:rPr>
      <w:rFonts w:ascii="Times New Roman" w:hAnsi="Times New Roman" w:cs="Times New Roman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2z3">
    <w:name w:val="WW8Num12z3"/>
    <w:qFormat/>
    <w:rPr>
      <w:rFonts w:ascii="Symbol" w:hAnsi="Symbol" w:cs="Symbol"/>
    </w:rPr>
  </w:style>
  <w:style w:type="character" w:styleId="WW8Num13z0">
    <w:name w:val="WW8Num13z0"/>
    <w:qFormat/>
    <w:rPr>
      <w:b/>
    </w:rPr>
  </w:style>
  <w:style w:type="character" w:styleId="WW8Num13z1">
    <w:name w:val="WW8Num13z1"/>
    <w:qFormat/>
    <w:rPr>
      <w:b w:val="false"/>
    </w:rPr>
  </w:style>
  <w:style w:type="character" w:styleId="WW8Num13z2">
    <w:name w:val="WW8Num13z2"/>
    <w:qFormat/>
    <w:rPr/>
  </w:style>
  <w:style w:type="character" w:styleId="WW8Num15z0">
    <w:name w:val="WW8Num15z0"/>
    <w:qFormat/>
    <w:rPr>
      <w:rFonts w:ascii="Times New Roman" w:hAnsi="Times New Roman" w:cs="Times New Roman"/>
      <w:b/>
      <w:i w:val="false"/>
      <w:color w:val="000000"/>
      <w:sz w:val="24"/>
    </w:rPr>
  </w:style>
  <w:style w:type="character" w:styleId="WW8Num15z1">
    <w:name w:val="WW8Num15z1"/>
    <w:qFormat/>
    <w:rPr/>
  </w:style>
  <w:style w:type="character" w:styleId="WW8Num16z0">
    <w:name w:val="WW8Num16z0"/>
    <w:qFormat/>
    <w:rPr>
      <w:rFonts w:ascii="Courier New" w:hAnsi="Courier New" w:cs="Courier New"/>
    </w:rPr>
  </w:style>
  <w:style w:type="character" w:styleId="WW8Num16z2">
    <w:name w:val="WW8Num16z2"/>
    <w:qFormat/>
    <w:rPr>
      <w:rFonts w:ascii="Wingdings" w:hAnsi="Wingdings" w:cs="Wingdings"/>
    </w:rPr>
  </w:style>
  <w:style w:type="character" w:styleId="WW8Num16z3">
    <w:name w:val="WW8Num16z3"/>
    <w:qFormat/>
    <w:rPr>
      <w:rFonts w:ascii="Symbol" w:hAnsi="Symbol" w:cs="Symbol"/>
    </w:rPr>
  </w:style>
  <w:style w:type="character" w:styleId="WW8Num18z0">
    <w:name w:val="WW8Num18z0"/>
    <w:qFormat/>
    <w:rPr>
      <w:rFonts w:ascii="Symbol" w:hAnsi="Symbol" w:cs="Symbol"/>
    </w:rPr>
  </w:style>
  <w:style w:type="character" w:styleId="WW8Num18z1">
    <w:name w:val="WW8Num18z1"/>
    <w:qFormat/>
    <w:rPr>
      <w:rFonts w:ascii="Courier New" w:hAnsi="Courier New" w:cs="Courier New"/>
    </w:rPr>
  </w:style>
  <w:style w:type="character" w:styleId="WW8Num18z2">
    <w:name w:val="WW8Num18z2"/>
    <w:qFormat/>
    <w:rPr>
      <w:rFonts w:ascii="Wingdings" w:hAnsi="Wingdings" w:cs="Wingdings"/>
    </w:rPr>
  </w:style>
  <w:style w:type="character" w:styleId="WW8Num19z0">
    <w:name w:val="WW8Num19z0"/>
    <w:qFormat/>
    <w:rPr>
      <w:rFonts w:ascii="Courier New" w:hAnsi="Courier New" w:cs="Courier New"/>
    </w:rPr>
  </w:style>
  <w:style w:type="character" w:styleId="WW8Num19z2">
    <w:name w:val="WW8Num19z2"/>
    <w:qFormat/>
    <w:rPr>
      <w:rFonts w:ascii="Wingdings" w:hAnsi="Wingdings" w:cs="Wingdings"/>
    </w:rPr>
  </w:style>
  <w:style w:type="character" w:styleId="WW8Num19z3">
    <w:name w:val="WW8Num19z3"/>
    <w:qFormat/>
    <w:rPr>
      <w:rFonts w:ascii="Symbol" w:hAnsi="Symbol" w:cs="Symbol"/>
    </w:rPr>
  </w:style>
  <w:style w:type="character" w:styleId="WW8Num20z1">
    <w:name w:val="WW8Num20z1"/>
    <w:qFormat/>
    <w:rPr>
      <w:rFonts w:ascii="Symbol" w:hAnsi="Symbol" w:cs="Symbol"/>
    </w:rPr>
  </w:style>
  <w:style w:type="character" w:styleId="WW8Num22z0">
    <w:name w:val="WW8Num22z0"/>
    <w:qFormat/>
    <w:rPr>
      <w:rFonts w:ascii="Symbol" w:hAnsi="Symbol" w:cs="Symbol"/>
    </w:rPr>
  </w:style>
  <w:style w:type="character" w:styleId="WW8Num22z1">
    <w:name w:val="WW8Num22z1"/>
    <w:qFormat/>
    <w:rPr>
      <w:rFonts w:ascii="Wingdings" w:hAnsi="Wingdings" w:cs="Wingdings"/>
    </w:rPr>
  </w:style>
  <w:style w:type="character" w:styleId="WW8Num22z4">
    <w:name w:val="WW8Num22z4"/>
    <w:qFormat/>
    <w:rPr>
      <w:rFonts w:ascii="Courier New" w:hAnsi="Courier New" w:cs="Courier New"/>
    </w:rPr>
  </w:style>
  <w:style w:type="character" w:styleId="WW8Num23z0">
    <w:name w:val="WW8Num23z0"/>
    <w:qFormat/>
    <w:rPr/>
  </w:style>
  <w:style w:type="character" w:styleId="WW8Num24z0">
    <w:name w:val="WW8Num24z0"/>
    <w:qFormat/>
    <w:rPr>
      <w:b w:val="false"/>
      <w:sz w:val="24"/>
      <w:szCs w:val="24"/>
    </w:rPr>
  </w:style>
  <w:style w:type="character" w:styleId="WW8Num24z1">
    <w:name w:val="WW8Num24z1"/>
    <w:qFormat/>
    <w:rPr>
      <w:b w:val="false"/>
    </w:rPr>
  </w:style>
  <w:style w:type="character" w:styleId="WW8Num24z2">
    <w:name w:val="WW8Num24z2"/>
    <w:qFormat/>
    <w:rPr/>
  </w:style>
  <w:style w:type="character" w:styleId="WW8Num25z0">
    <w:name w:val="WW8Num25z0"/>
    <w:qFormat/>
    <w:rPr>
      <w:rFonts w:cs="Times New Roman"/>
    </w:rPr>
  </w:style>
  <w:style w:type="character" w:styleId="WW8Num26z0">
    <w:name w:val="WW8Num26z0"/>
    <w:qFormat/>
    <w:rPr>
      <w:b/>
      <w:i w:val="false"/>
      <w:color w:val="000000"/>
    </w:rPr>
  </w:style>
  <w:style w:type="character" w:styleId="WW8Num27z0">
    <w:name w:val="WW8Num27z0"/>
    <w:qFormat/>
    <w:rPr>
      <w:rFonts w:ascii="Symbol" w:hAnsi="Symbol" w:cs="Symbol"/>
    </w:rPr>
  </w:style>
  <w:style w:type="character" w:styleId="WW8Num27z1">
    <w:name w:val="WW8Num27z1"/>
    <w:qFormat/>
    <w:rPr>
      <w:rFonts w:ascii="Courier New" w:hAnsi="Courier New" w:cs="Courier New"/>
    </w:rPr>
  </w:style>
  <w:style w:type="character" w:styleId="WW8Num27z2">
    <w:name w:val="WW8Num27z2"/>
    <w:qFormat/>
    <w:rPr>
      <w:rFonts w:ascii="Wingdings" w:hAnsi="Wingdings" w:cs="Wingdings"/>
    </w:rPr>
  </w:style>
  <w:style w:type="character" w:styleId="WW8Num29z0">
    <w:name w:val="WW8Num29z0"/>
    <w:qFormat/>
    <w:rPr>
      <w:color w:val="000000"/>
    </w:rPr>
  </w:style>
  <w:style w:type="character" w:styleId="WW8Num29z1">
    <w:name w:val="WW8Num29z1"/>
    <w:qFormat/>
    <w:rPr>
      <w:rFonts w:ascii="Courier New" w:hAnsi="Courier New" w:cs="Courier New"/>
    </w:rPr>
  </w:style>
  <w:style w:type="character" w:styleId="WW8Num29z2">
    <w:name w:val="WW8Num29z2"/>
    <w:qFormat/>
    <w:rPr>
      <w:rFonts w:ascii="Wingdings" w:hAnsi="Wingdings" w:cs="Wingdings"/>
    </w:rPr>
  </w:style>
  <w:style w:type="character" w:styleId="WW8Num29z3">
    <w:name w:val="WW8Num29z3"/>
    <w:qFormat/>
    <w:rPr>
      <w:rFonts w:ascii="Symbol" w:hAnsi="Symbol" w:cs="Symbol"/>
    </w:rPr>
  </w:style>
  <w:style w:type="character" w:styleId="WW8Num30z0">
    <w:name w:val="WW8Num30z0"/>
    <w:qFormat/>
    <w:rPr>
      <w:rFonts w:ascii="Times New Roman" w:hAnsi="Times New Roman" w:cs="Times New Roman"/>
    </w:rPr>
  </w:style>
  <w:style w:type="character" w:styleId="WW8Num30z1">
    <w:name w:val="WW8Num30z1"/>
    <w:qFormat/>
    <w:rPr>
      <w:rFonts w:ascii="Courier New" w:hAnsi="Courier New" w:cs="Courier New"/>
    </w:rPr>
  </w:style>
  <w:style w:type="character" w:styleId="WW8Num30z2">
    <w:name w:val="WW8Num30z2"/>
    <w:qFormat/>
    <w:rPr>
      <w:rFonts w:ascii="Wingdings" w:hAnsi="Wingdings" w:cs="Wingdings"/>
    </w:rPr>
  </w:style>
  <w:style w:type="character" w:styleId="WW8Num30z3">
    <w:name w:val="WW8Num30z3"/>
    <w:qFormat/>
    <w:rPr>
      <w:rFonts w:ascii="Symbol" w:hAnsi="Symbol" w:cs="Symbol"/>
    </w:rPr>
  </w:style>
  <w:style w:type="character" w:styleId="WW8Num31z0">
    <w:name w:val="WW8Num31z0"/>
    <w:qFormat/>
    <w:rPr/>
  </w:style>
  <w:style w:type="character" w:styleId="WW8Num32z0">
    <w:name w:val="WW8Num32z0"/>
    <w:qFormat/>
    <w:rPr>
      <w:rFonts w:ascii="Symbol" w:hAnsi="Symbol" w:cs="Symbol"/>
    </w:rPr>
  </w:style>
  <w:style w:type="character" w:styleId="WW8Num32z1">
    <w:name w:val="WW8Num32z1"/>
    <w:qFormat/>
    <w:rPr>
      <w:rFonts w:ascii="Courier New" w:hAnsi="Courier New" w:cs="Courier New"/>
    </w:rPr>
  </w:style>
  <w:style w:type="character" w:styleId="WW8Num32z2">
    <w:name w:val="WW8Num32z2"/>
    <w:qFormat/>
    <w:rPr>
      <w:rFonts w:ascii="Wingdings" w:hAnsi="Wingdings" w:cs="Wingdings"/>
    </w:rPr>
  </w:style>
  <w:style w:type="character" w:styleId="WW8Num33z0">
    <w:name w:val="WW8Num33z0"/>
    <w:qFormat/>
    <w:rPr>
      <w:b w:val="false"/>
      <w:color w:val="000000"/>
    </w:rPr>
  </w:style>
  <w:style w:type="character" w:styleId="WW8Num36z0">
    <w:name w:val="WW8Num36z0"/>
    <w:qFormat/>
    <w:rPr>
      <w:rFonts w:ascii="Symbol" w:hAnsi="Symbol" w:cs="Symbol"/>
    </w:rPr>
  </w:style>
  <w:style w:type="character" w:styleId="WW8Num36z1">
    <w:name w:val="WW8Num36z1"/>
    <w:qFormat/>
    <w:rPr>
      <w:rFonts w:ascii="Courier New" w:hAnsi="Courier New" w:cs="Courier New"/>
    </w:rPr>
  </w:style>
  <w:style w:type="character" w:styleId="WW8Num36z2">
    <w:name w:val="WW8Num36z2"/>
    <w:qFormat/>
    <w:rPr>
      <w:rFonts w:ascii="Wingdings" w:hAnsi="Wingdings" w:cs="Wingdings"/>
    </w:rPr>
  </w:style>
  <w:style w:type="character" w:styleId="WW8NumSt19z0">
    <w:name w:val="WW8NumSt19z0"/>
    <w:qFormat/>
    <w:rPr>
      <w:b/>
    </w:rPr>
  </w:style>
  <w:style w:type="character" w:styleId="WW8NumSt19z1">
    <w:name w:val="WW8NumSt19z1"/>
    <w:qFormat/>
    <w:rPr>
      <w:b w:val="false"/>
    </w:rPr>
  </w:style>
  <w:style w:type="character" w:styleId="WW8NumSt19z2">
    <w:name w:val="WW8NumSt19z2"/>
    <w:qFormat/>
    <w:rPr>
      <w:b w:val="false"/>
      <w:i w:val="false"/>
    </w:rPr>
  </w:style>
  <w:style w:type="character" w:styleId="WW8NumSt19z3">
    <w:name w:val="WW8NumSt19z3"/>
    <w:qFormat/>
    <w:rPr/>
  </w:style>
  <w:style w:type="character" w:styleId="1">
    <w:name w:val="Основной шрифт абзаца1"/>
    <w:qFormat/>
    <w:rPr/>
  </w:style>
  <w:style w:type="character" w:styleId="Hyperlink">
    <w:name w:val="Hyperlink"/>
    <w:rPr>
      <w:color w:val="0000FF"/>
      <w:u w:val="single"/>
    </w:rPr>
  </w:style>
  <w:style w:type="character" w:styleId="Style6">
    <w:name w:val="Верхний колонтитул Знак"/>
    <w:basedOn w:val="1"/>
    <w:qFormat/>
    <w:rPr/>
  </w:style>
  <w:style w:type="character" w:styleId="11">
    <w:name w:val="Верхний колонтитул Знак1"/>
    <w:qFormat/>
    <w:rPr>
      <w:sz w:val="24"/>
      <w:szCs w:val="24"/>
    </w:rPr>
  </w:style>
  <w:style w:type="character" w:styleId="Style7">
    <w:name w:val="Основной текст Знак"/>
    <w:qFormat/>
    <w:rPr>
      <w:rFonts w:ascii="Calibri" w:hAnsi="Calibri" w:cs="Calibri"/>
      <w:lang w:val="ru-RU"/>
    </w:rPr>
  </w:style>
  <w:style w:type="character" w:styleId="Style8">
    <w:name w:val="Основной текст с отступом Знак"/>
    <w:qFormat/>
    <w:rPr>
      <w:sz w:val="24"/>
      <w:szCs w:val="24"/>
    </w:rPr>
  </w:style>
  <w:style w:type="character" w:styleId="21">
    <w:name w:val="Основной текст с отступом 2 Знак"/>
    <w:qFormat/>
    <w:rPr>
      <w:sz w:val="24"/>
      <w:szCs w:val="24"/>
    </w:rPr>
  </w:style>
  <w:style w:type="character" w:styleId="Style9">
    <w:name w:val="Название Знак"/>
    <w:qFormat/>
    <w:rPr>
      <w:b/>
      <w:sz w:val="28"/>
    </w:rPr>
  </w:style>
  <w:style w:type="character" w:styleId="Style10">
    <w:name w:val="Текст Знак"/>
    <w:qFormat/>
    <w:rPr>
      <w:rFonts w:ascii="Courier New" w:hAnsi="Courier New" w:cs="Courier New"/>
    </w:rPr>
  </w:style>
  <w:style w:type="character" w:styleId="Style11">
    <w:name w:val="Текст сноски Знак"/>
    <w:basedOn w:val="1"/>
    <w:qFormat/>
    <w:rPr/>
  </w:style>
  <w:style w:type="character" w:styleId="PageNumber">
    <w:name w:val="Page Number"/>
    <w:basedOn w:val="1"/>
    <w:rPr/>
  </w:style>
  <w:style w:type="character" w:styleId="Style12">
    <w:name w:val="Без интервала Знак"/>
    <w:qFormat/>
    <w:rPr>
      <w:rFonts w:ascii="Calibri" w:hAnsi="Calibri" w:cs="Calibri"/>
      <w:sz w:val="22"/>
      <w:szCs w:val="22"/>
      <w:lang w:val="ru-RU" w:bidi="ar-SA"/>
    </w:rPr>
  </w:style>
  <w:style w:type="character" w:styleId="22">
    <w:name w:val="Основной текст 2 Знак"/>
    <w:qFormat/>
    <w:rPr>
      <w:sz w:val="24"/>
      <w:szCs w:val="24"/>
    </w:rPr>
  </w:style>
  <w:style w:type="character" w:styleId="Strong">
    <w:name w:val="Strong"/>
    <w:qFormat/>
    <w:rPr>
      <w:b/>
      <w:bCs/>
    </w:rPr>
  </w:style>
  <w:style w:type="character" w:styleId="3">
    <w:name w:val="Заголовок 3 Знак"/>
    <w:qFormat/>
    <w:rPr>
      <w:rFonts w:ascii="Arial" w:hAnsi="Arial" w:cs="Arial"/>
      <w:b/>
      <w:bCs/>
      <w:sz w:val="26"/>
      <w:szCs w:val="26"/>
    </w:rPr>
  </w:style>
  <w:style w:type="character" w:styleId="7">
    <w:name w:val="Заголовок 7 Знак"/>
    <w:qFormat/>
    <w:rPr>
      <w:b/>
      <w:sz w:val="28"/>
      <w:szCs w:val="28"/>
    </w:rPr>
  </w:style>
  <w:style w:type="character" w:styleId="8">
    <w:name w:val="Заголовок 8 Знак"/>
    <w:qFormat/>
    <w:rPr>
      <w:b/>
      <w:bCs/>
      <w:sz w:val="24"/>
      <w:szCs w:val="24"/>
    </w:rPr>
  </w:style>
  <w:style w:type="character" w:styleId="9">
    <w:name w:val="Заголовок 9 Знак"/>
    <w:qFormat/>
    <w:rPr>
      <w:b/>
      <w:sz w:val="28"/>
      <w:szCs w:val="28"/>
    </w:rPr>
  </w:style>
  <w:style w:type="character" w:styleId="Style13">
    <w:name w:val="Нижний колонтитул Знак"/>
    <w:qFormat/>
    <w:rPr>
      <w:sz w:val="24"/>
      <w:szCs w:val="24"/>
    </w:rPr>
  </w:style>
  <w:style w:type="character" w:styleId="31">
    <w:name w:val="Основной текст 3 Знак"/>
    <w:qFormat/>
    <w:rPr>
      <w:sz w:val="16"/>
      <w:szCs w:val="16"/>
    </w:rPr>
  </w:style>
  <w:style w:type="character" w:styleId="32">
    <w:name w:val="Основной текст с отступом 3 Знак"/>
    <w:qFormat/>
    <w:rPr>
      <w:sz w:val="24"/>
      <w:szCs w:val="24"/>
      <w:lang w:val="ru-RU"/>
    </w:rPr>
  </w:style>
  <w:style w:type="character" w:styleId="12">
    <w:name w:val="Знак примечания1"/>
    <w:qFormat/>
    <w:rPr>
      <w:sz w:val="16"/>
      <w:szCs w:val="16"/>
    </w:rPr>
  </w:style>
  <w:style w:type="character" w:styleId="Style14">
    <w:name w:val="Текст примечания Знак"/>
    <w:basedOn w:val="1"/>
    <w:qFormat/>
    <w:rPr/>
  </w:style>
  <w:style w:type="character" w:styleId="Style15">
    <w:name w:val="Тема примечания Знак"/>
    <w:qFormat/>
    <w:rPr>
      <w:b/>
      <w:bCs/>
    </w:rPr>
  </w:style>
  <w:style w:type="character" w:styleId="FontStyle16">
    <w:name w:val="Font Style16"/>
    <w:qFormat/>
    <w:rPr>
      <w:rFonts w:ascii="Times New Roman" w:hAnsi="Times New Roman" w:cs="Times New Roman"/>
      <w:sz w:val="22"/>
    </w:rPr>
  </w:style>
  <w:style w:type="character" w:styleId="Style16">
    <w:name w:val="Текст концевой сноски Знак"/>
    <w:basedOn w:val="1"/>
    <w:qFormat/>
    <w:rPr/>
  </w:style>
  <w:style w:type="character" w:styleId="Style17">
    <w:name w:val="Символ концевой сноски"/>
    <w:qFormat/>
    <w:rPr>
      <w:vertAlign w:val="superscript"/>
    </w:rPr>
  </w:style>
  <w:style w:type="character" w:styleId="Style18">
    <w:name w:val="Символ сноски"/>
    <w:qFormat/>
    <w:rPr>
      <w:vertAlign w:val="superscript"/>
    </w:rPr>
  </w:style>
  <w:style w:type="character" w:styleId="13">
    <w:name w:val="Заголовок 1 Знак"/>
    <w:qFormat/>
    <w:rPr>
      <w:rFonts w:ascii="Arial" w:hAnsi="Arial" w:cs="Arial"/>
      <w:b/>
      <w:bCs/>
      <w:kern w:val="2"/>
      <w:sz w:val="32"/>
      <w:szCs w:val="32"/>
    </w:rPr>
  </w:style>
  <w:style w:type="character" w:styleId="23">
    <w:name w:val="Заголовок 2 Знак"/>
    <w:qFormat/>
    <w:rPr>
      <w:sz w:val="36"/>
    </w:rPr>
  </w:style>
  <w:style w:type="character" w:styleId="Apple-converted-space">
    <w:name w:val="apple-converted-space"/>
    <w:basedOn w:val="1"/>
    <w:qFormat/>
    <w:rPr/>
  </w:style>
  <w:style w:type="character" w:styleId="Style19">
    <w:name w:val="Текст выноски Знак"/>
    <w:qFormat/>
    <w:rPr>
      <w:rFonts w:ascii="Tahoma" w:hAnsi="Tahoma" w:cs="Tahoma"/>
      <w:sz w:val="16"/>
      <w:szCs w:val="16"/>
    </w:rPr>
  </w:style>
  <w:style w:type="character" w:styleId="FollowedHyperlink">
    <w:name w:val="FollowedHyperlink"/>
    <w:rPr>
      <w:color w:val="800080"/>
      <w:u w:val="single"/>
    </w:rPr>
  </w:style>
  <w:style w:type="character" w:styleId="Style20">
    <w:name w:val="Часть Знак"/>
    <w:qFormat/>
    <w:rPr>
      <w:rFonts w:ascii="Calibri" w:hAnsi="Calibri" w:eastAsia="Calibri" w:cs="Calibri"/>
      <w:sz w:val="28"/>
      <w:szCs w:val="24"/>
      <w:lang w:val="ru-RU"/>
    </w:rPr>
  </w:style>
  <w:style w:type="character" w:styleId="FontStyle13">
    <w:name w:val="Font Style13"/>
    <w:qFormat/>
    <w:rPr>
      <w:rFonts w:ascii="Times New Roman" w:hAnsi="Times New Roman" w:cs="Times New Roman"/>
      <w:spacing w:val="-10"/>
      <w:sz w:val="24"/>
    </w:rPr>
  </w:style>
  <w:style w:type="character" w:styleId="OaenoCiaeCiae">
    <w:name w:val="Oaeno Ciae Ciae Знак"/>
    <w:qFormat/>
    <w:rPr>
      <w:rFonts w:ascii="Courier New" w:hAnsi="Courier New" w:cs="Courier New"/>
    </w:rPr>
  </w:style>
  <w:style w:type="character" w:styleId="Bodytext">
    <w:name w:val="Body text_"/>
    <w:qFormat/>
    <w:rPr>
      <w:sz w:val="23"/>
      <w:szCs w:val="23"/>
      <w:shd w:fill="FFFFFF" w:val="clear"/>
    </w:rPr>
  </w:style>
  <w:style w:type="character" w:styleId="Style21">
    <w:name w:val="Замещающий текст"/>
    <w:qFormat/>
    <w:rPr>
      <w:color w:val="808080"/>
    </w:rPr>
  </w:style>
  <w:style w:type="character" w:styleId="Style22">
    <w:name w:val="Схема документа Знак"/>
    <w:qFormat/>
    <w:rPr>
      <w:rFonts w:ascii="Tahoma" w:hAnsi="Tahoma" w:cs="Tahoma"/>
      <w:sz w:val="16"/>
      <w:szCs w:val="16"/>
      <w:lang w:val="ru-RU"/>
    </w:rPr>
  </w:style>
  <w:style w:type="character" w:styleId="Style23">
    <w:name w:val="Абзац списка Знак"/>
    <w:qFormat/>
    <w:rPr>
      <w:rFonts w:ascii="Calibri" w:hAnsi="Calibri" w:cs="Calibri"/>
      <w:sz w:val="22"/>
      <w:szCs w:val="22"/>
      <w:lang w:eastAsia="zh-CN"/>
    </w:rPr>
  </w:style>
  <w:style w:type="paragraph" w:styleId="Style24">
    <w:name w:val="Заголовок"/>
    <w:basedOn w:val="Normal"/>
    <w:next w:val="BodyText1"/>
    <w:qFormat/>
    <w:pPr>
      <w:jc w:val="center"/>
    </w:pPr>
    <w:rPr>
      <w:b/>
      <w:sz w:val="28"/>
      <w:szCs w:val="20"/>
      <w:lang w:val="ru-RU"/>
    </w:rPr>
  </w:style>
  <w:style w:type="paragraph" w:styleId="BodyText1">
    <w:name w:val="Body Text"/>
    <w:basedOn w:val="Normal"/>
    <w:pPr>
      <w:suppressAutoHyphens w:val="true"/>
      <w:spacing w:lineRule="auto" w:line="276" w:before="0" w:after="120"/>
    </w:pPr>
    <w:rPr>
      <w:rFonts w:ascii="Calibri" w:hAnsi="Calibri" w:cs="Calibri"/>
      <w:sz w:val="20"/>
      <w:szCs w:val="20"/>
      <w:lang w:val="ru-RU"/>
    </w:rPr>
  </w:style>
  <w:style w:type="paragraph" w:styleId="List">
    <w:name w:val="List"/>
    <w:basedOn w:val="Normal"/>
    <w:pPr>
      <w:overflowPunct w:val="false"/>
      <w:autoSpaceDE w:val="false"/>
      <w:ind w:hanging="283" w:start="283" w:end="0"/>
      <w:textAlignment w:val="baseline"/>
    </w:pPr>
    <w:rPr>
      <w:sz w:val="20"/>
      <w:szCs w:val="20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cs="Droid Sans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26">
    <w:name w:val="Название объекта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24">
    <w:name w:val="Указатель2"/>
    <w:basedOn w:val="Normal"/>
    <w:qFormat/>
    <w:pPr>
      <w:suppressLineNumbers/>
    </w:pPr>
    <w:rPr>
      <w:rFonts w:cs="Lohit Devanagari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25">
    <w:name w:val="Название объекта2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14">
    <w:name w:val="Указатель1"/>
    <w:basedOn w:val="Normal"/>
    <w:qFormat/>
    <w:pPr>
      <w:suppressLineNumbers/>
    </w:pPr>
    <w:rPr>
      <w:rFonts w:cs="Lohit Devanagari"/>
    </w:rPr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1111">
    <w:name w:val="Caption111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1TimesNewRoman14pt">
    <w:name w:val="Заголовок 1 + Times New Roman 14 pt"/>
    <w:basedOn w:val="Heading1"/>
    <w:qFormat/>
    <w:pPr>
      <w:keepNext w:val="false"/>
      <w:numPr>
        <w:ilvl w:val="0"/>
        <w:numId w:val="0"/>
      </w:numPr>
      <w:spacing w:before="0" w:after="0"/>
      <w:ind w:hanging="0" w:start="0" w:end="0"/>
      <w:jc w:val="both"/>
      <w:outlineLvl w:val="9"/>
    </w:pPr>
    <w:rPr>
      <w:rFonts w:ascii="Franklin Gothic Book" w:hAnsi="Franklin Gothic Book" w:cs="Times New Roman"/>
      <w:b w:val="false"/>
      <w:bCs w:val="false"/>
      <w:kern w:val="0"/>
      <w:sz w:val="24"/>
      <w:szCs w:val="24"/>
    </w:rPr>
  </w:style>
  <w:style w:type="paragraph" w:styleId="15">
    <w:name w:val="1"/>
    <w:basedOn w:val="Normal"/>
    <w:qFormat/>
    <w:pPr>
      <w:spacing w:lineRule="exact" w:line="240" w:before="0" w:after="160"/>
    </w:pPr>
    <w:rPr>
      <w:rFonts w:ascii="Verdana" w:hAnsi="Verdana" w:eastAsia="MS Mincho;ＭＳ 明朝" w:cs="Verdana"/>
      <w:sz w:val="16"/>
      <w:szCs w:val="20"/>
      <w:lang w:val="en-US"/>
    </w:rPr>
  </w:style>
  <w:style w:type="paragraph" w:styleId="4">
    <w:name w:val="Знак4 Знак Знак"/>
    <w:basedOn w:val="Normal"/>
    <w:qFormat/>
    <w:pPr>
      <w:spacing w:lineRule="exact" w:line="240" w:before="0" w:after="160"/>
    </w:pPr>
    <w:rPr>
      <w:rFonts w:ascii="Verdana" w:hAnsi="Verdana" w:eastAsia="MS Mincho;ＭＳ 明朝" w:cs="Verdana"/>
      <w:sz w:val="16"/>
      <w:szCs w:val="20"/>
      <w:lang w:val="en-US"/>
    </w:rPr>
  </w:style>
  <w:style w:type="paragraph" w:styleId="Style27">
    <w:name w:val="Текст выноски"/>
    <w:basedOn w:val="Normal"/>
    <w:qFormat/>
    <w:pPr/>
    <w:rPr>
      <w:rFonts w:ascii="Tahoma" w:hAnsi="Tahoma" w:cs="Tahoma"/>
      <w:sz w:val="16"/>
      <w:szCs w:val="16"/>
      <w:lang w:val="ru-RU"/>
    </w:rPr>
  </w:style>
  <w:style w:type="paragraph" w:styleId="Style28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/>
    <w:rPr>
      <w:lang w:val="ru-RU"/>
    </w:rPr>
  </w:style>
  <w:style w:type="paragraph" w:styleId="Style29">
    <w:name w:val="Знак Знак Знак Знак"/>
    <w:basedOn w:val="Normal"/>
    <w:qFormat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33">
    <w:name w:val="Пункт_3"/>
    <w:basedOn w:val="Normal"/>
    <w:qFormat/>
    <w:pPr>
      <w:tabs>
        <w:tab w:val="clear" w:pos="708"/>
        <w:tab w:val="left" w:pos="1134" w:leader="none"/>
      </w:tabs>
      <w:spacing w:lineRule="auto" w:line="360"/>
      <w:ind w:hanging="1133" w:start="1134" w:end="0"/>
      <w:jc w:val="both"/>
    </w:pPr>
    <w:rPr>
      <w:sz w:val="28"/>
      <w:szCs w:val="28"/>
    </w:rPr>
  </w:style>
  <w:style w:type="paragraph" w:styleId="Style30">
    <w:name w:val="Абзац списка"/>
    <w:basedOn w:val="Normal"/>
    <w:qFormat/>
    <w:pPr>
      <w:suppressAutoHyphens w:val="true"/>
      <w:spacing w:lineRule="auto" w:line="276" w:before="0" w:after="200"/>
      <w:ind w:hanging="0" w:start="720" w:end="0"/>
    </w:pPr>
    <w:rPr>
      <w:rFonts w:ascii="Calibri" w:hAnsi="Calibri" w:cs="Calibri"/>
      <w:sz w:val="22"/>
      <w:szCs w:val="22"/>
      <w:lang w:val="ru-RU"/>
    </w:rPr>
  </w:style>
  <w:style w:type="paragraph" w:styleId="Style31">
    <w:name w:val="Обычный (веб)"/>
    <w:basedOn w:val="Normal"/>
    <w:qFormat/>
    <w:pPr>
      <w:suppressAutoHyphens w:val="true"/>
      <w:spacing w:before="280" w:after="119"/>
    </w:pPr>
    <w:rPr>
      <w:rFonts w:cs="Calibri"/>
    </w:rPr>
  </w:style>
  <w:style w:type="paragraph" w:styleId="Times12">
    <w:name w:val="Times 12"/>
    <w:basedOn w:val="Normal"/>
    <w:qFormat/>
    <w:pPr>
      <w:overflowPunct w:val="false"/>
      <w:autoSpaceDE w:val="false"/>
      <w:spacing w:before="0" w:after="0"/>
      <w:ind w:firstLine="567" w:start="0" w:end="0"/>
      <w:contextualSpacing/>
      <w:jc w:val="both"/>
    </w:pPr>
    <w:rPr>
      <w:bCs/>
      <w:szCs w:val="22"/>
    </w:rPr>
  </w:style>
  <w:style w:type="paragraph" w:styleId="16">
    <w:name w:val="заголовок 1"/>
    <w:basedOn w:val="Normal"/>
    <w:next w:val="Normal"/>
    <w:qFormat/>
    <w:pPr>
      <w:keepNext w:val="true"/>
      <w:autoSpaceDE w:val="false"/>
      <w:outlineLvl w:val="0"/>
    </w:pPr>
    <w:rPr/>
  </w:style>
  <w:style w:type="paragraph" w:styleId="BodyTextIndent">
    <w:name w:val="Body Text Indent"/>
    <w:basedOn w:val="Normal"/>
    <w:pPr>
      <w:spacing w:before="0" w:after="120"/>
      <w:ind w:hanging="0" w:start="283" w:end="0"/>
    </w:pPr>
    <w:rPr>
      <w:lang w:val="ru-RU"/>
    </w:rPr>
  </w:style>
  <w:style w:type="paragraph" w:styleId="211">
    <w:name w:val="Основной текст с отступом 21"/>
    <w:basedOn w:val="Normal"/>
    <w:qFormat/>
    <w:pPr>
      <w:spacing w:lineRule="auto" w:line="480" w:before="0" w:after="120"/>
      <w:ind w:hanging="0" w:start="283" w:end="0"/>
    </w:pPr>
    <w:rPr>
      <w:lang w:val="ru-RU"/>
    </w:rPr>
  </w:style>
  <w:style w:type="paragraph" w:styleId="ConsNonformat">
    <w:name w:val="ConsNonformat"/>
    <w:qFormat/>
    <w:pPr>
      <w:widowControl w:val="false"/>
      <w:suppressAutoHyphens w:val="true"/>
      <w:bidi w:val="0"/>
    </w:pPr>
    <w:rPr>
      <w:rFonts w:ascii="Courier New" w:hAnsi="Courier New" w:eastAsia="Times New Roman" w:cs="Courier New"/>
      <w:color w:val="auto"/>
      <w:sz w:val="20"/>
      <w:szCs w:val="20"/>
      <w:lang w:val="ru-RU" w:eastAsia="zh-CN" w:bidi="ar-SA"/>
    </w:rPr>
  </w:style>
  <w:style w:type="paragraph" w:styleId="17">
    <w:name w:val="Текст1"/>
    <w:basedOn w:val="Caption1111111111111"/>
    <w:qFormat/>
    <w:pPr/>
    <w:rPr/>
  </w:style>
  <w:style w:type="paragraph" w:styleId="WW-">
    <w:name w:val="WW-Текст"/>
    <w:basedOn w:val="Normal"/>
    <w:qFormat/>
    <w:pPr/>
    <w:rPr>
      <w:rFonts w:ascii="Courier New" w:hAnsi="Courier New" w:cs="Courier New"/>
      <w:sz w:val="20"/>
      <w:szCs w:val="20"/>
      <w:lang w:val="ru-RU"/>
    </w:rPr>
  </w:style>
  <w:style w:type="paragraph" w:styleId="41">
    <w:name w:val="Текст4"/>
    <w:basedOn w:val="Normal"/>
    <w:qFormat/>
    <w:pPr/>
    <w:rPr>
      <w:rFonts w:ascii="Courier New" w:hAnsi="Courier New" w:cs="Courier New"/>
      <w:sz w:val="20"/>
      <w:szCs w:val="20"/>
    </w:rPr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18">
    <w:name w:val="Список1"/>
    <w:basedOn w:val="Normal"/>
    <w:qFormat/>
    <w:pPr>
      <w:numPr>
        <w:ilvl w:val="0"/>
        <w:numId w:val="2"/>
      </w:numPr>
      <w:jc w:val="both"/>
    </w:pPr>
    <w:rPr>
      <w:sz w:val="28"/>
    </w:rPr>
  </w:style>
  <w:style w:type="paragraph" w:styleId="Style32">
    <w:name w:val="Ариал"/>
    <w:basedOn w:val="Normal"/>
    <w:qFormat/>
    <w:pPr>
      <w:spacing w:lineRule="auto" w:line="360" w:before="120" w:after="120"/>
      <w:ind w:firstLine="851" w:start="0" w:end="0"/>
      <w:jc w:val="both"/>
    </w:pPr>
    <w:rPr>
      <w:rFonts w:ascii="Arial" w:hAnsi="Arial" w:cs="Arial"/>
    </w:rPr>
  </w:style>
  <w:style w:type="paragraph" w:styleId="Style33">
    <w:name w:val="Пункт б/н"/>
    <w:basedOn w:val="Normal"/>
    <w:qFormat/>
    <w:pPr>
      <w:tabs>
        <w:tab w:val="clear" w:pos="708"/>
        <w:tab w:val="left" w:pos="1134" w:leader="none"/>
      </w:tabs>
      <w:spacing w:lineRule="auto" w:line="360"/>
      <w:ind w:hanging="0" w:start="1134" w:end="0"/>
      <w:jc w:val="both"/>
    </w:pPr>
    <w:rPr>
      <w:rFonts w:ascii="Arial" w:hAnsi="Arial" w:cs="Arial"/>
      <w:sz w:val="28"/>
      <w:szCs w:val="28"/>
    </w:rPr>
  </w:style>
  <w:style w:type="paragraph" w:styleId="34">
    <w:name w:val="Цитата3"/>
    <w:basedOn w:val="Normal"/>
    <w:qFormat/>
    <w:pPr>
      <w:ind w:hanging="0" w:start="-108" w:end="-121"/>
    </w:pPr>
    <w:rPr>
      <w:rFonts w:ascii="Arial" w:hAnsi="Arial" w:cs="Arial"/>
      <w:sz w:val="20"/>
      <w:szCs w:val="20"/>
    </w:rPr>
  </w:style>
  <w:style w:type="paragraph" w:styleId="19">
    <w:name w:val="Цитата1"/>
    <w:basedOn w:val="Normal"/>
    <w:qFormat/>
    <w:pPr>
      <w:suppressAutoHyphens w:val="true"/>
      <w:ind w:hanging="0" w:start="-1418" w:end="-1333"/>
    </w:pPr>
    <w:rPr>
      <w:sz w:val="20"/>
      <w:szCs w:val="20"/>
      <w:lang w:eastAsia="zh-CN"/>
    </w:rPr>
  </w:style>
  <w:style w:type="paragraph" w:styleId="26">
    <w:name w:val="Цитата2"/>
    <w:basedOn w:val="Normal"/>
    <w:qFormat/>
    <w:pPr>
      <w:ind w:hanging="0" w:start="-1418" w:end="-1333"/>
    </w:pPr>
    <w:rPr>
      <w:sz w:val="20"/>
      <w:szCs w:val="20"/>
      <w:lang w:eastAsia="zh-CN"/>
    </w:rPr>
  </w:style>
  <w:style w:type="paragraph" w:styleId="Style34">
    <w:name w:val="Без интервала"/>
    <w:qFormat/>
    <w:pPr>
      <w:widowControl/>
      <w:suppressAutoHyphens w:val="true"/>
      <w:bidi w:val="0"/>
    </w:pPr>
    <w:rPr>
      <w:rFonts w:ascii="Calibri" w:hAnsi="Calibri" w:eastAsia="Times New Roman" w:cs="Calibri"/>
      <w:color w:val="auto"/>
      <w:sz w:val="22"/>
      <w:szCs w:val="22"/>
      <w:lang w:val="ru-RU" w:eastAsia="zh-CN" w:bidi="ar-SA"/>
    </w:rPr>
  </w:style>
  <w:style w:type="paragraph" w:styleId="221">
    <w:name w:val="Основной текст 22"/>
    <w:basedOn w:val="Normal"/>
    <w:qFormat/>
    <w:pPr>
      <w:spacing w:lineRule="auto" w:line="480" w:before="0" w:after="120"/>
    </w:pPr>
    <w:rPr>
      <w:lang w:val="ru-RU"/>
    </w:rPr>
  </w:style>
  <w:style w:type="paragraph" w:styleId="Style51">
    <w:name w:val="Style5"/>
    <w:basedOn w:val="Normal"/>
    <w:qFormat/>
    <w:pPr>
      <w:widowControl w:val="false"/>
      <w:autoSpaceDE w:val="false"/>
      <w:jc w:val="center"/>
    </w:pPr>
    <w:rPr/>
  </w:style>
  <w:style w:type="paragraph" w:styleId="ListParagraph">
    <w:name w:val="List Paragraph"/>
    <w:basedOn w:val="Normal"/>
    <w:qFormat/>
    <w:pPr>
      <w:suppressAutoHyphens w:val="true"/>
      <w:spacing w:lineRule="auto" w:line="276" w:before="0" w:after="200"/>
      <w:ind w:hanging="0" w:start="720" w:end="0"/>
    </w:pPr>
    <w:rPr>
      <w:color w:val="000000"/>
      <w:kern w:val="2"/>
      <w:lang w:eastAsia="zh-CN"/>
    </w:rPr>
  </w:style>
  <w:style w:type="paragraph" w:styleId="35">
    <w:name w:val="Абзац списка3"/>
    <w:basedOn w:val="Normal"/>
    <w:qFormat/>
    <w:pPr>
      <w:suppressAutoHyphens w:val="true"/>
      <w:spacing w:lineRule="atLeast" w:line="100"/>
      <w:ind w:hanging="0" w:start="720" w:end="0"/>
    </w:pPr>
    <w:rPr>
      <w:color w:val="000000"/>
      <w:kern w:val="2"/>
      <w:lang w:eastAsia="zh-CN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>
      <w:lang w:val="ru-RU"/>
    </w:rPr>
  </w:style>
  <w:style w:type="paragraph" w:styleId="311">
    <w:name w:val="Основной текст 31"/>
    <w:basedOn w:val="Normal"/>
    <w:qFormat/>
    <w:pPr>
      <w:spacing w:before="0" w:after="120"/>
    </w:pPr>
    <w:rPr>
      <w:sz w:val="16"/>
      <w:szCs w:val="16"/>
      <w:lang w:val="ru-RU"/>
    </w:rPr>
  </w:style>
  <w:style w:type="paragraph" w:styleId="312">
    <w:name w:val="Основной текст с отступом 31"/>
    <w:basedOn w:val="Normal"/>
    <w:qFormat/>
    <w:pPr>
      <w:ind w:firstLine="708" w:start="0" w:end="0"/>
      <w:jc w:val="both"/>
    </w:pPr>
    <w:rPr>
      <w:lang w:val="ru-RU"/>
    </w:rPr>
  </w:style>
  <w:style w:type="paragraph" w:styleId="110">
    <w:name w:val="Текст примечания1"/>
    <w:basedOn w:val="Normal"/>
    <w:qFormat/>
    <w:pPr/>
    <w:rPr>
      <w:sz w:val="20"/>
      <w:szCs w:val="20"/>
    </w:rPr>
  </w:style>
  <w:style w:type="paragraph" w:styleId="Style35">
    <w:name w:val="Тема примечания"/>
    <w:basedOn w:val="110"/>
    <w:next w:val="110"/>
    <w:qFormat/>
    <w:pPr/>
    <w:rPr>
      <w:b/>
      <w:bCs/>
      <w:lang w:val="ru-RU"/>
    </w:rPr>
  </w:style>
  <w:style w:type="paragraph" w:styleId="111">
    <w:name w:val="Стиль1"/>
    <w:basedOn w:val="Normal"/>
    <w:qFormat/>
    <w:pPr>
      <w:widowControl w:val="false"/>
      <w:tabs>
        <w:tab w:val="clear" w:pos="708"/>
        <w:tab w:val="left" w:pos="576" w:leader="none"/>
      </w:tabs>
      <w:ind w:hanging="576" w:start="576" w:end="0"/>
      <w:jc w:val="both"/>
    </w:pPr>
    <w:rPr>
      <w:szCs w:val="20"/>
    </w:rPr>
  </w:style>
  <w:style w:type="paragraph" w:styleId="ConsNormal">
    <w:name w:val="ConsNormal"/>
    <w:qFormat/>
    <w:pPr>
      <w:widowControl w:val="false"/>
      <w:suppressAutoHyphens w:val="true"/>
      <w:bidi w:val="0"/>
      <w:ind w:firstLine="720" w:start="0" w:end="0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Center">
    <w:name w:val="Center"/>
    <w:basedOn w:val="Normal"/>
    <w:qFormat/>
    <w:pPr>
      <w:spacing w:before="480" w:after="480"/>
      <w:jc w:val="center"/>
    </w:pPr>
    <w:rPr>
      <w:szCs w:val="20"/>
    </w:rPr>
  </w:style>
  <w:style w:type="paragraph" w:styleId="Style36">
    <w:name w:val="Знак"/>
    <w:basedOn w:val="Normal"/>
    <w:next w:val="Heading2"/>
    <w:qFormat/>
    <w:pPr>
      <w:spacing w:lineRule="exact" w:line="240" w:before="0" w:after="160"/>
    </w:pPr>
    <w:rPr>
      <w:szCs w:val="20"/>
      <w:lang w:val="en-US"/>
    </w:rPr>
  </w:style>
  <w:style w:type="paragraph" w:styleId="Iniiaiieoaeno">
    <w:name w:val="!Iniiaiie oaeno"/>
    <w:basedOn w:val="Normal"/>
    <w:qFormat/>
    <w:pPr>
      <w:overflowPunct w:val="false"/>
      <w:autoSpaceDE w:val="false"/>
      <w:ind w:firstLine="709" w:start="0" w:end="0"/>
      <w:jc w:val="both"/>
      <w:textAlignment w:val="baseline"/>
    </w:pPr>
    <w:rPr>
      <w:szCs w:val="20"/>
    </w:rPr>
  </w:style>
  <w:style w:type="paragraph" w:styleId="IndexHeading">
    <w:name w:val="Index Heading"/>
    <w:basedOn w:val="Style24"/>
    <w:pPr>
      <w:suppressLineNumbers/>
      <w:ind w:hanging="0" w:start="0" w:end="0"/>
    </w:pPr>
    <w:rPr>
      <w:b/>
      <w:bCs/>
      <w:sz w:val="32"/>
      <w:szCs w:val="32"/>
    </w:rPr>
  </w:style>
  <w:style w:type="paragraph" w:styleId="TOCHeading">
    <w:name w:val="TOC Heading"/>
    <w:basedOn w:val="Heading1"/>
    <w:next w:val="Normal"/>
    <w:qFormat/>
    <w:pPr>
      <w:keepLines/>
      <w:numPr>
        <w:ilvl w:val="0"/>
        <w:numId w:val="0"/>
      </w:numPr>
      <w:spacing w:lineRule="auto" w:line="276" w:before="480" w:after="0"/>
      <w:ind w:hanging="0" w:start="0" w:end="0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TOC1">
    <w:name w:val="TOC 1"/>
    <w:basedOn w:val="Normal"/>
    <w:next w:val="Normal"/>
    <w:pPr/>
    <w:rPr/>
  </w:style>
  <w:style w:type="paragraph" w:styleId="112">
    <w:name w:val="Название объекта1"/>
    <w:basedOn w:val="Normal"/>
    <w:next w:val="Normal"/>
    <w:qFormat/>
    <w:pPr>
      <w:suppressAutoHyphens w:val="true"/>
    </w:pPr>
    <w:rPr>
      <w:b/>
      <w:bCs/>
      <w:sz w:val="20"/>
      <w:szCs w:val="20"/>
    </w:rPr>
  </w:style>
  <w:style w:type="paragraph" w:styleId="Style61">
    <w:name w:val="Style6"/>
    <w:basedOn w:val="Normal"/>
    <w:qFormat/>
    <w:pPr>
      <w:widowControl w:val="false"/>
      <w:autoSpaceDE w:val="false"/>
    </w:pPr>
    <w:rPr/>
  </w:style>
  <w:style w:type="paragraph" w:styleId="212">
    <w:name w:val="Основной текст 21"/>
    <w:basedOn w:val="Normal"/>
    <w:qFormat/>
    <w:pPr>
      <w:overflowPunct w:val="false"/>
      <w:autoSpaceDE w:val="false"/>
      <w:ind w:firstLine="851" w:start="0" w:end="0"/>
      <w:jc w:val="both"/>
    </w:pPr>
    <w:rPr>
      <w:szCs w:val="20"/>
    </w:rPr>
  </w:style>
  <w:style w:type="paragraph" w:styleId="EndnoteText">
    <w:name w:val="Endnote Text"/>
    <w:basedOn w:val="Normal"/>
    <w:pPr/>
    <w:rPr>
      <w:sz w:val="20"/>
      <w:szCs w:val="20"/>
    </w:rPr>
  </w:style>
  <w:style w:type="paragraph" w:styleId="Kssmalltext">
    <w:name w:val="ks_smalltext"/>
    <w:basedOn w:val="Normal"/>
    <w:qFormat/>
    <w:pPr>
      <w:spacing w:before="280" w:after="280"/>
    </w:pPr>
    <w:rPr/>
  </w:style>
  <w:style w:type="paragraph" w:styleId="Font5">
    <w:name w:val="font5"/>
    <w:basedOn w:val="Normal"/>
    <w:qFormat/>
    <w:pPr>
      <w:spacing w:before="280" w:after="280"/>
    </w:pPr>
    <w:rPr>
      <w:rFonts w:ascii="Arial" w:hAnsi="Arial" w:cs="Arial"/>
      <w:b/>
      <w:bCs/>
      <w:sz w:val="20"/>
      <w:szCs w:val="20"/>
    </w:rPr>
  </w:style>
  <w:style w:type="paragraph" w:styleId="Font6">
    <w:name w:val="font6"/>
    <w:basedOn w:val="Normal"/>
    <w:qFormat/>
    <w:pPr>
      <w:spacing w:before="280" w:after="280"/>
    </w:pPr>
    <w:rPr>
      <w:rFonts w:ascii="Arial" w:hAnsi="Arial" w:cs="Arial"/>
      <w:sz w:val="20"/>
      <w:szCs w:val="20"/>
    </w:rPr>
  </w:style>
  <w:style w:type="paragraph" w:styleId="Font7">
    <w:name w:val="font7"/>
    <w:basedOn w:val="Normal"/>
    <w:qFormat/>
    <w:pPr>
      <w:spacing w:before="280" w:after="280"/>
    </w:pPr>
    <w:rPr>
      <w:rFonts w:ascii="Arial" w:hAnsi="Arial" w:cs="Arial"/>
      <w:sz w:val="20"/>
      <w:szCs w:val="20"/>
      <w:u w:val="single"/>
    </w:rPr>
  </w:style>
  <w:style w:type="paragraph" w:styleId="Font8">
    <w:name w:val="font8"/>
    <w:basedOn w:val="Normal"/>
    <w:qFormat/>
    <w:pPr>
      <w:spacing w:before="280" w:after="280"/>
    </w:pPr>
    <w:rPr>
      <w:rFonts w:ascii="Arial" w:hAnsi="Arial" w:cs="Arial"/>
      <w:sz w:val="20"/>
      <w:szCs w:val="20"/>
    </w:rPr>
  </w:style>
  <w:style w:type="paragraph" w:styleId="Font9">
    <w:name w:val="font9"/>
    <w:basedOn w:val="Normal"/>
    <w:qFormat/>
    <w:pPr>
      <w:spacing w:before="280" w:after="280"/>
    </w:pPr>
    <w:rPr>
      <w:rFonts w:ascii="Arial" w:hAnsi="Arial" w:cs="Arial"/>
      <w:b/>
      <w:bCs/>
      <w:sz w:val="16"/>
      <w:szCs w:val="16"/>
    </w:rPr>
  </w:style>
  <w:style w:type="paragraph" w:styleId="Font10">
    <w:name w:val="font10"/>
    <w:basedOn w:val="Normal"/>
    <w:qFormat/>
    <w:pPr>
      <w:spacing w:before="280" w:after="280"/>
    </w:pPr>
    <w:rPr>
      <w:rFonts w:ascii="Arial" w:hAnsi="Arial" w:cs="Arial"/>
      <w:sz w:val="16"/>
      <w:szCs w:val="16"/>
    </w:rPr>
  </w:style>
  <w:style w:type="paragraph" w:styleId="Font11">
    <w:name w:val="font11"/>
    <w:basedOn w:val="Normal"/>
    <w:qFormat/>
    <w:pPr>
      <w:spacing w:before="280" w:after="280"/>
    </w:pPr>
    <w:rPr>
      <w:rFonts w:ascii="Symbol" w:hAnsi="Symbol" w:cs="Symbol"/>
      <w:sz w:val="20"/>
      <w:szCs w:val="20"/>
    </w:rPr>
  </w:style>
  <w:style w:type="paragraph" w:styleId="Xl65">
    <w:name w:val="xl6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before="280" w:after="280"/>
      <w:jc w:val="center"/>
      <w:textAlignment w:val="center"/>
    </w:pPr>
    <w:rPr>
      <w:rFonts w:ascii="Arial" w:hAnsi="Arial" w:cs="Arial"/>
      <w:sz w:val="20"/>
      <w:szCs w:val="20"/>
    </w:rPr>
  </w:style>
  <w:style w:type="paragraph" w:styleId="Xl66">
    <w:name w:val="xl6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before="280" w:after="280"/>
      <w:jc w:val="center"/>
      <w:textAlignment w:val="center"/>
    </w:pPr>
    <w:rPr>
      <w:rFonts w:ascii="Arial" w:hAnsi="Arial" w:cs="Arial"/>
      <w:sz w:val="20"/>
      <w:szCs w:val="20"/>
    </w:rPr>
  </w:style>
  <w:style w:type="paragraph" w:styleId="Xl67">
    <w:name w:val="xl6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before="280" w:after="280"/>
      <w:jc w:val="center"/>
      <w:textAlignment w:val="center"/>
    </w:pPr>
    <w:rPr>
      <w:rFonts w:ascii="Arial" w:hAnsi="Arial" w:cs="Arial"/>
      <w:sz w:val="20"/>
      <w:szCs w:val="20"/>
    </w:rPr>
  </w:style>
  <w:style w:type="paragraph" w:styleId="Xl68">
    <w:name w:val="xl6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styleId="Xl69">
    <w:name w:val="xl6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styleId="Xl70">
    <w:name w:val="xl7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styleId="Xl71">
    <w:name w:val="xl7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styleId="Xl72">
    <w:name w:val="xl72"/>
    <w:basedOn w:val="Normal"/>
    <w:qFormat/>
    <w:pPr>
      <w:spacing w:before="280" w:after="280"/>
      <w:jc w:val="center"/>
    </w:pPr>
    <w:rPr>
      <w:rFonts w:ascii="Arial" w:hAnsi="Arial" w:cs="Arial"/>
      <w:sz w:val="20"/>
      <w:szCs w:val="20"/>
    </w:rPr>
  </w:style>
  <w:style w:type="paragraph" w:styleId="Xl73">
    <w:name w:val="xl73"/>
    <w:basedOn w:val="Normal"/>
    <w:qFormat/>
    <w:pPr>
      <w:spacing w:before="280" w:after="280"/>
    </w:pPr>
    <w:rPr>
      <w:rFonts w:ascii="Arial" w:hAnsi="Arial" w:cs="Arial"/>
      <w:sz w:val="20"/>
      <w:szCs w:val="20"/>
    </w:rPr>
  </w:style>
  <w:style w:type="paragraph" w:styleId="Xl74">
    <w:name w:val="xl7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sz w:val="20"/>
      <w:szCs w:val="20"/>
    </w:rPr>
  </w:style>
  <w:style w:type="paragraph" w:styleId="Xl75">
    <w:name w:val="xl7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Arial" w:hAnsi="Arial" w:cs="Arial"/>
      <w:sz w:val="20"/>
      <w:szCs w:val="20"/>
    </w:rPr>
  </w:style>
  <w:style w:type="paragraph" w:styleId="Xl76">
    <w:name w:val="xl7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Arial" w:hAnsi="Arial" w:cs="Arial"/>
      <w:sz w:val="20"/>
      <w:szCs w:val="20"/>
    </w:rPr>
  </w:style>
  <w:style w:type="paragraph" w:styleId="Xl77">
    <w:name w:val="xl7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sz w:val="20"/>
      <w:szCs w:val="20"/>
    </w:rPr>
  </w:style>
  <w:style w:type="paragraph" w:styleId="Xl78">
    <w:name w:val="xl7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sz w:val="20"/>
      <w:szCs w:val="20"/>
    </w:rPr>
  </w:style>
  <w:style w:type="paragraph" w:styleId="Xl79">
    <w:name w:val="xl7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sz w:val="20"/>
      <w:szCs w:val="20"/>
    </w:rPr>
  </w:style>
  <w:style w:type="paragraph" w:styleId="Xl80">
    <w:name w:val="xl8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Arial" w:hAnsi="Arial" w:cs="Arial"/>
      <w:sz w:val="20"/>
      <w:szCs w:val="20"/>
    </w:rPr>
  </w:style>
  <w:style w:type="paragraph" w:styleId="Xl81">
    <w:name w:val="xl8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sz w:val="20"/>
      <w:szCs w:val="20"/>
    </w:rPr>
  </w:style>
  <w:style w:type="paragraph" w:styleId="Xl82">
    <w:name w:val="xl8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" w:hAnsi="Arial" w:cs="Arial"/>
      <w:sz w:val="20"/>
      <w:szCs w:val="20"/>
    </w:rPr>
  </w:style>
  <w:style w:type="paragraph" w:styleId="Xl83">
    <w:name w:val="xl8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" w:hAnsi="Arial" w:cs="Arial"/>
      <w:sz w:val="20"/>
      <w:szCs w:val="20"/>
    </w:rPr>
  </w:style>
  <w:style w:type="paragraph" w:styleId="Xl84">
    <w:name w:val="xl8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sz w:val="20"/>
      <w:szCs w:val="20"/>
    </w:rPr>
  </w:style>
  <w:style w:type="paragraph" w:styleId="Xl85">
    <w:name w:val="xl8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sz w:val="20"/>
      <w:szCs w:val="20"/>
    </w:rPr>
  </w:style>
  <w:style w:type="paragraph" w:styleId="Xl86">
    <w:name w:val="xl8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sz w:val="20"/>
      <w:szCs w:val="20"/>
    </w:rPr>
  </w:style>
  <w:style w:type="paragraph" w:styleId="Xl87">
    <w:name w:val="xl8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Arial" w:hAnsi="Arial" w:cs="Arial"/>
      <w:sz w:val="20"/>
      <w:szCs w:val="20"/>
    </w:rPr>
  </w:style>
  <w:style w:type="paragraph" w:styleId="Xl88">
    <w:name w:val="xl8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sz w:val="20"/>
      <w:szCs w:val="20"/>
    </w:rPr>
  </w:style>
  <w:style w:type="paragraph" w:styleId="Xl89">
    <w:name w:val="xl8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Arial" w:hAnsi="Arial" w:cs="Arial"/>
      <w:sz w:val="20"/>
      <w:szCs w:val="20"/>
    </w:rPr>
  </w:style>
  <w:style w:type="paragraph" w:styleId="Xl90">
    <w:name w:val="xl9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sz w:val="20"/>
      <w:szCs w:val="20"/>
    </w:rPr>
  </w:style>
  <w:style w:type="paragraph" w:styleId="Xl91">
    <w:name w:val="xl9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Arial" w:hAnsi="Arial" w:cs="Arial"/>
      <w:b/>
      <w:bCs/>
      <w:sz w:val="20"/>
      <w:szCs w:val="20"/>
    </w:rPr>
  </w:style>
  <w:style w:type="paragraph" w:styleId="Xl92">
    <w:name w:val="xl9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" w:hAnsi="Arial" w:cs="Arial"/>
      <w:sz w:val="20"/>
      <w:szCs w:val="20"/>
    </w:rPr>
  </w:style>
  <w:style w:type="paragraph" w:styleId="Xl93">
    <w:name w:val="xl9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hAnsi="Arial" w:cs="Arial"/>
      <w:sz w:val="20"/>
      <w:szCs w:val="20"/>
    </w:rPr>
  </w:style>
  <w:style w:type="paragraph" w:styleId="Xl94">
    <w:name w:val="xl9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" w:hAnsi="Arial" w:cs="Arial"/>
      <w:sz w:val="20"/>
      <w:szCs w:val="20"/>
    </w:rPr>
  </w:style>
  <w:style w:type="paragraph" w:styleId="Xl95">
    <w:name w:val="xl95"/>
    <w:basedOn w:val="Normal"/>
    <w:qFormat/>
    <w:pPr>
      <w:spacing w:before="280" w:after="280"/>
      <w:jc w:val="center"/>
      <w:textAlignment w:val="center"/>
    </w:pPr>
    <w:rPr>
      <w:rFonts w:ascii="Arial" w:hAnsi="Arial" w:cs="Arial"/>
      <w:sz w:val="20"/>
      <w:szCs w:val="20"/>
    </w:rPr>
  </w:style>
  <w:style w:type="paragraph" w:styleId="Xl96">
    <w:name w:val="xl96"/>
    <w:basedOn w:val="Normal"/>
    <w:qFormat/>
    <w:pPr>
      <w:spacing w:before="280" w:after="280"/>
      <w:textAlignment w:val="center"/>
    </w:pPr>
    <w:rPr>
      <w:rFonts w:ascii="Arial" w:hAnsi="Arial" w:cs="Arial"/>
      <w:sz w:val="20"/>
      <w:szCs w:val="20"/>
    </w:rPr>
  </w:style>
  <w:style w:type="paragraph" w:styleId="Xl97">
    <w:name w:val="xl97"/>
    <w:basedOn w:val="Normal"/>
    <w:qFormat/>
    <w:pPr>
      <w:spacing w:before="280" w:after="280"/>
      <w:textAlignment w:val="center"/>
    </w:pPr>
    <w:rPr>
      <w:rFonts w:ascii="Arial" w:hAnsi="Arial" w:cs="Arial"/>
      <w:sz w:val="20"/>
      <w:szCs w:val="20"/>
    </w:rPr>
  </w:style>
  <w:style w:type="paragraph" w:styleId="Xl98">
    <w:name w:val="xl98"/>
    <w:basedOn w:val="Normal"/>
    <w:qFormat/>
    <w:pPr>
      <w:spacing w:before="280" w:after="280"/>
      <w:jc w:val="center"/>
      <w:textAlignment w:val="center"/>
    </w:pPr>
    <w:rPr>
      <w:rFonts w:ascii="Arial" w:hAnsi="Arial" w:cs="Arial"/>
      <w:sz w:val="20"/>
      <w:szCs w:val="20"/>
    </w:rPr>
  </w:style>
  <w:style w:type="paragraph" w:styleId="Xl99">
    <w:name w:val="xl99"/>
    <w:basedOn w:val="Normal"/>
    <w:qFormat/>
    <w:pPr>
      <w:spacing w:before="280" w:after="280"/>
      <w:jc w:val="center"/>
      <w:textAlignment w:val="center"/>
    </w:pPr>
    <w:rPr>
      <w:rFonts w:ascii="Arial" w:hAnsi="Arial" w:cs="Arial"/>
      <w:sz w:val="20"/>
      <w:szCs w:val="20"/>
    </w:rPr>
  </w:style>
  <w:style w:type="paragraph" w:styleId="Xl100">
    <w:name w:val="xl100"/>
    <w:basedOn w:val="Normal"/>
    <w:qFormat/>
    <w:pPr>
      <w:spacing w:before="280" w:after="280"/>
      <w:jc w:val="center"/>
      <w:textAlignment w:val="center"/>
    </w:pPr>
    <w:rPr>
      <w:rFonts w:ascii="Arial" w:hAnsi="Arial" w:cs="Arial"/>
      <w:sz w:val="20"/>
      <w:szCs w:val="20"/>
    </w:rPr>
  </w:style>
  <w:style w:type="paragraph" w:styleId="Xl101">
    <w:name w:val="xl101"/>
    <w:basedOn w:val="Normal"/>
    <w:qFormat/>
    <w:pPr>
      <w:spacing w:before="280" w:after="280"/>
      <w:jc w:val="center"/>
      <w:textAlignment w:val="center"/>
    </w:pPr>
    <w:rPr>
      <w:rFonts w:ascii="Arial" w:hAnsi="Arial" w:cs="Arial"/>
      <w:sz w:val="20"/>
      <w:szCs w:val="20"/>
    </w:rPr>
  </w:style>
  <w:style w:type="paragraph" w:styleId="Xl102">
    <w:name w:val="xl102"/>
    <w:basedOn w:val="Normal"/>
    <w:qFormat/>
    <w:pPr>
      <w:spacing w:before="280" w:after="280"/>
    </w:pPr>
    <w:rPr/>
  </w:style>
  <w:style w:type="paragraph" w:styleId="Xl103">
    <w:name w:val="xl103"/>
    <w:basedOn w:val="Normal"/>
    <w:qFormat/>
    <w:pPr>
      <w:spacing w:before="280" w:after="280"/>
    </w:pPr>
    <w:rPr>
      <w:rFonts w:ascii="Arial" w:hAnsi="Arial" w:cs="Arial"/>
      <w:b/>
      <w:bCs/>
      <w:sz w:val="20"/>
      <w:szCs w:val="20"/>
    </w:rPr>
  </w:style>
  <w:style w:type="paragraph" w:styleId="Xl104">
    <w:name w:val="xl104"/>
    <w:basedOn w:val="Normal"/>
    <w:qFormat/>
    <w:pPr>
      <w:spacing w:before="280" w:after="280"/>
    </w:pPr>
    <w:rPr>
      <w:rFonts w:ascii="Arial" w:hAnsi="Arial" w:cs="Arial"/>
      <w:b/>
      <w:bCs/>
      <w:sz w:val="20"/>
      <w:szCs w:val="20"/>
    </w:rPr>
  </w:style>
  <w:style w:type="paragraph" w:styleId="Xl105">
    <w:name w:val="xl105"/>
    <w:basedOn w:val="Normal"/>
    <w:qFormat/>
    <w:pPr>
      <w:spacing w:before="280" w:after="280"/>
      <w:textAlignment w:val="center"/>
    </w:pPr>
    <w:rPr/>
  </w:style>
  <w:style w:type="paragraph" w:styleId="Xl106">
    <w:name w:val="xl106"/>
    <w:basedOn w:val="Normal"/>
    <w:qFormat/>
    <w:pPr>
      <w:spacing w:before="280" w:after="280"/>
      <w:textAlignment w:val="center"/>
    </w:pPr>
    <w:rPr>
      <w:rFonts w:ascii="Arial" w:hAnsi="Arial" w:cs="Arial"/>
      <w:sz w:val="20"/>
      <w:szCs w:val="20"/>
    </w:rPr>
  </w:style>
  <w:style w:type="paragraph" w:styleId="Xl107">
    <w:name w:val="xl107"/>
    <w:basedOn w:val="Normal"/>
    <w:qFormat/>
    <w:pPr>
      <w:spacing w:before="280" w:after="280"/>
      <w:textAlignment w:val="center"/>
    </w:pPr>
    <w:rPr>
      <w:rFonts w:ascii="Arial" w:hAnsi="Arial" w:cs="Arial"/>
      <w:sz w:val="20"/>
      <w:szCs w:val="20"/>
    </w:rPr>
  </w:style>
  <w:style w:type="paragraph" w:styleId="Xl108">
    <w:name w:val="xl108"/>
    <w:basedOn w:val="Normal"/>
    <w:qFormat/>
    <w:pPr>
      <w:spacing w:before="280" w:after="280"/>
      <w:jc w:val="center"/>
      <w:textAlignment w:val="center"/>
    </w:pPr>
    <w:rPr/>
  </w:style>
  <w:style w:type="paragraph" w:styleId="Xl109">
    <w:name w:val="xl109"/>
    <w:basedOn w:val="Normal"/>
    <w:qFormat/>
    <w:pPr>
      <w:spacing w:before="280" w:after="280"/>
      <w:textAlignment w:val="center"/>
    </w:pPr>
    <w:rPr/>
  </w:style>
  <w:style w:type="paragraph" w:styleId="Xl110">
    <w:name w:val="xl110"/>
    <w:basedOn w:val="Normal"/>
    <w:qFormat/>
    <w:pPr>
      <w:spacing w:before="280" w:after="280"/>
      <w:jc w:val="center"/>
      <w:textAlignment w:val="center"/>
    </w:pPr>
    <w:rPr/>
  </w:style>
  <w:style w:type="paragraph" w:styleId="Xl111">
    <w:name w:val="xl111"/>
    <w:basedOn w:val="Normal"/>
    <w:qFormat/>
    <w:pPr>
      <w:spacing w:before="280" w:after="280"/>
      <w:jc w:val="center"/>
      <w:textAlignment w:val="center"/>
    </w:pPr>
    <w:rPr/>
  </w:style>
  <w:style w:type="paragraph" w:styleId="Xl112">
    <w:name w:val="xl112"/>
    <w:basedOn w:val="Normal"/>
    <w:qFormat/>
    <w:pPr>
      <w:spacing w:before="280" w:after="280"/>
      <w:jc w:val="center"/>
      <w:textAlignment w:val="center"/>
    </w:pPr>
    <w:rPr/>
  </w:style>
  <w:style w:type="paragraph" w:styleId="Xl113">
    <w:name w:val="xl113"/>
    <w:basedOn w:val="Normal"/>
    <w:qFormat/>
    <w:pPr>
      <w:spacing w:before="280" w:after="280"/>
      <w:jc w:val="center"/>
      <w:textAlignment w:val="center"/>
    </w:pPr>
    <w:rPr/>
  </w:style>
  <w:style w:type="paragraph" w:styleId="Xl114">
    <w:name w:val="xl114"/>
    <w:basedOn w:val="Normal"/>
    <w:qFormat/>
    <w:pPr>
      <w:spacing w:before="280" w:after="280"/>
    </w:pPr>
    <w:rPr>
      <w:rFonts w:ascii="Arial" w:hAnsi="Arial" w:cs="Arial"/>
      <w:b/>
      <w:bCs/>
      <w:sz w:val="20"/>
      <w:szCs w:val="20"/>
    </w:rPr>
  </w:style>
  <w:style w:type="paragraph" w:styleId="Xl115">
    <w:name w:val="xl11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hAnsi="Arial" w:cs="Arial"/>
      <w:b/>
      <w:bCs/>
      <w:sz w:val="20"/>
      <w:szCs w:val="20"/>
    </w:rPr>
  </w:style>
  <w:style w:type="paragraph" w:styleId="Xl116">
    <w:name w:val="xl11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Arial" w:hAnsi="Arial" w:cs="Arial"/>
      <w:sz w:val="20"/>
      <w:szCs w:val="20"/>
    </w:rPr>
  </w:style>
  <w:style w:type="paragraph" w:styleId="Xl117">
    <w:name w:val="xl11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before="280" w:after="280"/>
      <w:textAlignment w:val="center"/>
    </w:pPr>
    <w:rPr>
      <w:rFonts w:ascii="Arial" w:hAnsi="Arial" w:cs="Arial"/>
      <w:sz w:val="20"/>
      <w:szCs w:val="20"/>
    </w:rPr>
  </w:style>
  <w:style w:type="paragraph" w:styleId="Xl118">
    <w:name w:val="xl11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before="280" w:after="280"/>
      <w:jc w:val="center"/>
      <w:textAlignment w:val="center"/>
    </w:pPr>
    <w:rPr>
      <w:rFonts w:ascii="Arial" w:hAnsi="Arial" w:cs="Arial"/>
      <w:sz w:val="20"/>
      <w:szCs w:val="20"/>
    </w:rPr>
  </w:style>
  <w:style w:type="paragraph" w:styleId="Xl119">
    <w:name w:val="xl11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fill="FFFFFF" w:val="clear"/>
      <w:spacing w:before="280" w:after="280"/>
      <w:textAlignment w:val="center"/>
    </w:pPr>
    <w:rPr>
      <w:rFonts w:ascii="Arial" w:hAnsi="Arial" w:cs="Arial"/>
      <w:sz w:val="20"/>
      <w:szCs w:val="20"/>
    </w:rPr>
  </w:style>
  <w:style w:type="paragraph" w:styleId="Xl120">
    <w:name w:val="xl120"/>
    <w:basedOn w:val="Normal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hd w:fill="FFFFFF" w:val="clear"/>
      <w:spacing w:before="280" w:after="280"/>
      <w:jc w:val="center"/>
    </w:pPr>
    <w:rPr>
      <w:rFonts w:ascii="Arial" w:hAnsi="Arial" w:cs="Arial"/>
      <w:sz w:val="20"/>
      <w:szCs w:val="20"/>
    </w:rPr>
  </w:style>
  <w:style w:type="paragraph" w:styleId="Xl121">
    <w:name w:val="xl121"/>
    <w:basedOn w:val="Normal"/>
    <w:qFormat/>
    <w:pPr>
      <w:shd w:fill="FFFFFF" w:val="clear"/>
      <w:spacing w:before="280" w:after="280"/>
    </w:pPr>
    <w:rPr>
      <w:rFonts w:ascii="Arial" w:hAnsi="Arial" w:cs="Arial"/>
      <w:sz w:val="20"/>
      <w:szCs w:val="20"/>
    </w:rPr>
  </w:style>
  <w:style w:type="paragraph" w:styleId="Xl122">
    <w:name w:val="xl12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Arial" w:hAnsi="Arial" w:cs="Arial"/>
      <w:b/>
      <w:bCs/>
      <w:sz w:val="20"/>
      <w:szCs w:val="20"/>
    </w:rPr>
  </w:style>
  <w:style w:type="paragraph" w:styleId="Xl123">
    <w:name w:val="xl12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Arial" w:hAnsi="Arial" w:cs="Arial"/>
      <w:sz w:val="20"/>
      <w:szCs w:val="20"/>
    </w:rPr>
  </w:style>
  <w:style w:type="paragraph" w:styleId="Xl124">
    <w:name w:val="xl12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Arial" w:hAnsi="Arial" w:cs="Arial"/>
      <w:b/>
      <w:bCs/>
      <w:sz w:val="20"/>
      <w:szCs w:val="20"/>
    </w:rPr>
  </w:style>
  <w:style w:type="paragraph" w:styleId="Xl125">
    <w:name w:val="xl12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hAnsi="Arial" w:cs="Arial"/>
      <w:b/>
      <w:bCs/>
      <w:sz w:val="20"/>
      <w:szCs w:val="20"/>
    </w:rPr>
  </w:style>
  <w:style w:type="paragraph" w:styleId="Xl126">
    <w:name w:val="xl12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" w:hAnsi="Arial" w:cs="Arial"/>
      <w:b/>
      <w:bCs/>
      <w:sz w:val="20"/>
      <w:szCs w:val="20"/>
    </w:rPr>
  </w:style>
  <w:style w:type="paragraph" w:styleId="Xl127">
    <w:name w:val="xl12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Arial" w:hAnsi="Arial" w:cs="Arial"/>
      <w:b/>
      <w:bCs/>
      <w:sz w:val="20"/>
      <w:szCs w:val="20"/>
    </w:rPr>
  </w:style>
  <w:style w:type="paragraph" w:styleId="Xl128">
    <w:name w:val="xl12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textAlignment w:val="center"/>
    </w:pPr>
    <w:rPr>
      <w:rFonts w:ascii="Arial" w:hAnsi="Arial" w:cs="Arial"/>
      <w:b/>
      <w:bCs/>
      <w:sz w:val="20"/>
      <w:szCs w:val="20"/>
    </w:rPr>
  </w:style>
  <w:style w:type="paragraph" w:styleId="Xl129">
    <w:name w:val="xl129"/>
    <w:basedOn w:val="Normal"/>
    <w:qFormat/>
    <w:pPr>
      <w:pBdr>
        <w:top w:val="single" w:sz="4" w:space="0" w:color="000000"/>
        <w:bottom w:val="single" w:sz="4" w:space="0" w:color="000000"/>
      </w:pBdr>
      <w:spacing w:before="280" w:after="280"/>
      <w:textAlignment w:val="center"/>
    </w:pPr>
    <w:rPr>
      <w:rFonts w:ascii="Arial" w:hAnsi="Arial" w:cs="Arial"/>
      <w:b/>
      <w:bCs/>
      <w:sz w:val="20"/>
      <w:szCs w:val="20"/>
    </w:rPr>
  </w:style>
  <w:style w:type="paragraph" w:styleId="Xl130">
    <w:name w:val="xl130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Arial" w:hAnsi="Arial" w:cs="Arial"/>
      <w:b/>
      <w:bCs/>
      <w:sz w:val="20"/>
      <w:szCs w:val="20"/>
    </w:rPr>
  </w:style>
  <w:style w:type="paragraph" w:styleId="Xl131">
    <w:name w:val="xl13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Arial" w:hAnsi="Arial" w:cs="Arial"/>
      <w:sz w:val="20"/>
      <w:szCs w:val="20"/>
    </w:rPr>
  </w:style>
  <w:style w:type="paragraph" w:styleId="Xl132">
    <w:name w:val="xl13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" w:hAnsi="Arial" w:cs="Arial"/>
      <w:b/>
      <w:bCs/>
      <w:sz w:val="20"/>
      <w:szCs w:val="20"/>
    </w:rPr>
  </w:style>
  <w:style w:type="paragraph" w:styleId="Xl133">
    <w:name w:val="xl13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  <w:b/>
      <w:bCs/>
      <w:sz w:val="20"/>
      <w:szCs w:val="20"/>
    </w:rPr>
  </w:style>
  <w:style w:type="paragraph" w:styleId="Xl134">
    <w:name w:val="xl134"/>
    <w:basedOn w:val="Normal"/>
    <w:qFormat/>
    <w:pPr>
      <w:pBdr>
        <w:top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  <w:b/>
      <w:bCs/>
      <w:sz w:val="20"/>
      <w:szCs w:val="20"/>
    </w:rPr>
  </w:style>
  <w:style w:type="paragraph" w:styleId="Xl135">
    <w:name w:val="xl135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hAnsi="Arial" w:cs="Arial"/>
      <w:b/>
      <w:bCs/>
      <w:sz w:val="20"/>
      <w:szCs w:val="20"/>
    </w:rPr>
  </w:style>
  <w:style w:type="paragraph" w:styleId="Xl136">
    <w:name w:val="xl13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textAlignment w:val="center"/>
    </w:pPr>
    <w:rPr>
      <w:rFonts w:ascii="Arial" w:hAnsi="Arial" w:cs="Arial"/>
      <w:b/>
      <w:bCs/>
      <w:sz w:val="20"/>
      <w:szCs w:val="20"/>
    </w:rPr>
  </w:style>
  <w:style w:type="paragraph" w:styleId="Xl137">
    <w:name w:val="xl137"/>
    <w:basedOn w:val="Normal"/>
    <w:qFormat/>
    <w:pPr>
      <w:pBdr>
        <w:top w:val="single" w:sz="4" w:space="0" w:color="000000"/>
        <w:bottom w:val="single" w:sz="4" w:space="0" w:color="000000"/>
      </w:pBdr>
      <w:spacing w:before="280" w:after="280"/>
      <w:textAlignment w:val="center"/>
    </w:pPr>
    <w:rPr>
      <w:rFonts w:ascii="Arial" w:hAnsi="Arial" w:cs="Arial"/>
      <w:b/>
      <w:bCs/>
      <w:sz w:val="20"/>
      <w:szCs w:val="20"/>
    </w:rPr>
  </w:style>
  <w:style w:type="paragraph" w:styleId="Xl138">
    <w:name w:val="xl138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Arial" w:hAnsi="Arial" w:cs="Arial"/>
      <w:b/>
      <w:bCs/>
      <w:sz w:val="20"/>
      <w:szCs w:val="20"/>
    </w:rPr>
  </w:style>
  <w:style w:type="paragraph" w:styleId="Xl139">
    <w:name w:val="xl139"/>
    <w:basedOn w:val="Normal"/>
    <w:qFormat/>
    <w:pPr>
      <w:spacing w:before="280" w:after="280"/>
    </w:pPr>
    <w:rPr>
      <w:rFonts w:ascii="Arial" w:hAnsi="Arial" w:cs="Arial"/>
      <w:b/>
      <w:bCs/>
      <w:sz w:val="16"/>
      <w:szCs w:val="16"/>
    </w:rPr>
  </w:style>
  <w:style w:type="paragraph" w:styleId="Xl140">
    <w:name w:val="xl140"/>
    <w:basedOn w:val="Normal"/>
    <w:qFormat/>
    <w:pPr>
      <w:spacing w:before="280" w:after="280"/>
      <w:textAlignment w:val="center"/>
    </w:pPr>
    <w:rPr>
      <w:rFonts w:ascii="Arial" w:hAnsi="Arial" w:cs="Arial"/>
      <w:sz w:val="16"/>
      <w:szCs w:val="16"/>
    </w:rPr>
  </w:style>
  <w:style w:type="paragraph" w:styleId="Xl141">
    <w:name w:val="xl141"/>
    <w:basedOn w:val="Normal"/>
    <w:qFormat/>
    <w:pPr>
      <w:spacing w:before="280" w:after="280"/>
      <w:textAlignment w:val="center"/>
    </w:pPr>
    <w:rPr>
      <w:rFonts w:ascii="Arial" w:hAnsi="Arial" w:cs="Arial"/>
      <w:b/>
      <w:bCs/>
      <w:sz w:val="20"/>
      <w:szCs w:val="20"/>
    </w:rPr>
  </w:style>
  <w:style w:type="paragraph" w:styleId="Xl142">
    <w:name w:val="xl142"/>
    <w:basedOn w:val="Normal"/>
    <w:qFormat/>
    <w:pPr>
      <w:spacing w:before="280" w:after="280"/>
      <w:textAlignment w:val="center"/>
    </w:pPr>
    <w:rPr>
      <w:rFonts w:ascii="Arial" w:hAnsi="Arial" w:cs="Arial"/>
      <w:sz w:val="20"/>
      <w:szCs w:val="20"/>
    </w:rPr>
  </w:style>
  <w:style w:type="paragraph" w:styleId="Xl143">
    <w:name w:val="xl14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textAlignment w:val="center"/>
    </w:pPr>
    <w:rPr>
      <w:rFonts w:ascii="Arial" w:hAnsi="Arial" w:cs="Arial"/>
      <w:color w:val="000000"/>
      <w:sz w:val="20"/>
      <w:szCs w:val="20"/>
    </w:rPr>
  </w:style>
  <w:style w:type="paragraph" w:styleId="Xl144">
    <w:name w:val="xl144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Arial" w:hAnsi="Arial" w:cs="Arial"/>
      <w:color w:val="000000"/>
      <w:sz w:val="20"/>
      <w:szCs w:val="20"/>
    </w:rPr>
  </w:style>
  <w:style w:type="paragraph" w:styleId="Xl145">
    <w:name w:val="xl14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textAlignment w:val="center"/>
    </w:pPr>
    <w:rPr>
      <w:rFonts w:ascii="Arial" w:hAnsi="Arial" w:cs="Arial"/>
      <w:b/>
      <w:bCs/>
      <w:sz w:val="20"/>
      <w:szCs w:val="20"/>
    </w:rPr>
  </w:style>
  <w:style w:type="paragraph" w:styleId="Xl146">
    <w:name w:val="xl146"/>
    <w:basedOn w:val="Normal"/>
    <w:qFormat/>
    <w:pPr>
      <w:pBdr>
        <w:top w:val="single" w:sz="4" w:space="0" w:color="000000"/>
        <w:bottom w:val="single" w:sz="4" w:space="0" w:color="000000"/>
      </w:pBdr>
      <w:spacing w:before="280" w:after="280"/>
      <w:textAlignment w:val="center"/>
    </w:pPr>
    <w:rPr>
      <w:rFonts w:ascii="Arial" w:hAnsi="Arial" w:cs="Arial"/>
      <w:b/>
      <w:bCs/>
      <w:sz w:val="20"/>
      <w:szCs w:val="20"/>
    </w:rPr>
  </w:style>
  <w:style w:type="paragraph" w:styleId="Xl147">
    <w:name w:val="xl147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Arial" w:hAnsi="Arial" w:cs="Arial"/>
      <w:b/>
      <w:bCs/>
      <w:sz w:val="20"/>
      <w:szCs w:val="20"/>
    </w:rPr>
  </w:style>
  <w:style w:type="paragraph" w:styleId="Xl148">
    <w:name w:val="xl148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Arial" w:hAnsi="Arial" w:cs="Arial"/>
      <w:color w:val="000000"/>
      <w:sz w:val="20"/>
      <w:szCs w:val="20"/>
    </w:rPr>
  </w:style>
  <w:style w:type="paragraph" w:styleId="Xl149">
    <w:name w:val="xl14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textAlignment w:val="center"/>
    </w:pPr>
    <w:rPr>
      <w:rFonts w:ascii="Arial" w:hAnsi="Arial" w:cs="Arial"/>
      <w:sz w:val="20"/>
      <w:szCs w:val="20"/>
    </w:rPr>
  </w:style>
  <w:style w:type="paragraph" w:styleId="Xl150">
    <w:name w:val="xl150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center"/>
    </w:pPr>
    <w:rPr>
      <w:rFonts w:ascii="Arial" w:hAnsi="Arial" w:cs="Arial"/>
      <w:sz w:val="20"/>
      <w:szCs w:val="20"/>
    </w:rPr>
  </w:style>
  <w:style w:type="paragraph" w:styleId="Xl151">
    <w:name w:val="xl15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textAlignment w:val="top"/>
    </w:pPr>
    <w:rPr>
      <w:rFonts w:ascii="Arial" w:hAnsi="Arial" w:cs="Arial"/>
      <w:sz w:val="20"/>
      <w:szCs w:val="20"/>
    </w:rPr>
  </w:style>
  <w:style w:type="paragraph" w:styleId="Xl152">
    <w:name w:val="xl152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" w:hAnsi="Arial" w:cs="Arial"/>
      <w:sz w:val="20"/>
      <w:szCs w:val="20"/>
    </w:rPr>
  </w:style>
  <w:style w:type="paragraph" w:styleId="Xl153">
    <w:name w:val="xl15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textAlignment w:val="top"/>
    </w:pPr>
    <w:rPr>
      <w:rFonts w:ascii="Arial" w:hAnsi="Arial" w:cs="Arial"/>
      <w:color w:val="000000"/>
      <w:sz w:val="20"/>
      <w:szCs w:val="20"/>
    </w:rPr>
  </w:style>
  <w:style w:type="paragraph" w:styleId="Xl154">
    <w:name w:val="xl154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" w:hAnsi="Arial" w:cs="Arial"/>
      <w:color w:val="000000"/>
      <w:sz w:val="20"/>
      <w:szCs w:val="20"/>
    </w:rPr>
  </w:style>
  <w:style w:type="paragraph" w:styleId="P1">
    <w:name w:val="P1"/>
    <w:basedOn w:val="Normal"/>
    <w:qFormat/>
    <w:pPr>
      <w:widowControl w:val="false"/>
    </w:pPr>
    <w:rPr>
      <w:rFonts w:eastAsia="Lucida Sans Unicode" w:cs="Tahoma"/>
      <w:b/>
      <w:szCs w:val="20"/>
    </w:rPr>
  </w:style>
  <w:style w:type="paragraph" w:styleId="Default">
    <w:name w:val="Default"/>
    <w:qFormat/>
    <w:pPr>
      <w:widowControl/>
      <w:suppressAutoHyphens w:val="true"/>
      <w:autoSpaceDE w:val="false"/>
      <w:bidi w:val="0"/>
    </w:pPr>
    <w:rPr>
      <w:rFonts w:ascii="Times New Roman" w:hAnsi="Times New Roman" w:eastAsia="Calibri" w:cs="Times New Roman"/>
      <w:color w:val="000000"/>
      <w:sz w:val="24"/>
      <w:szCs w:val="24"/>
      <w:lang w:val="ru-RU" w:eastAsia="zh-CN" w:bidi="ar-SA"/>
    </w:rPr>
  </w:style>
  <w:style w:type="paragraph" w:styleId="213">
    <w:name w:val="Маркированный список 21"/>
    <w:basedOn w:val="Normal"/>
    <w:qFormat/>
    <w:pPr>
      <w:numPr>
        <w:ilvl w:val="0"/>
        <w:numId w:val="3"/>
      </w:numPr>
      <w:tabs>
        <w:tab w:val="clear" w:pos="708"/>
        <w:tab w:val="left" w:pos="644" w:leader="none"/>
      </w:tabs>
      <w:ind w:hanging="0" w:start="644" w:end="0"/>
    </w:pPr>
    <w:rPr/>
  </w:style>
  <w:style w:type="paragraph" w:styleId="Style37">
    <w:name w:val="Пункт Знак"/>
    <w:basedOn w:val="Normal"/>
    <w:qFormat/>
    <w:pPr>
      <w:numPr>
        <w:ilvl w:val="0"/>
        <w:numId w:val="4"/>
      </w:numPr>
      <w:tabs>
        <w:tab w:val="clear" w:pos="708"/>
        <w:tab w:val="left" w:pos="851" w:leader="none"/>
        <w:tab w:val="left" w:pos="1134" w:leader="none"/>
      </w:tabs>
      <w:spacing w:lineRule="auto" w:line="360"/>
      <w:jc w:val="both"/>
    </w:pPr>
    <w:rPr>
      <w:sz w:val="28"/>
      <w:szCs w:val="20"/>
    </w:rPr>
  </w:style>
  <w:style w:type="paragraph" w:styleId="Style38">
    <w:name w:val="Подпункт"/>
    <w:basedOn w:val="Style37"/>
    <w:qFormat/>
    <w:pPr>
      <w:numPr>
        <w:ilvl w:val="0"/>
        <w:numId w:val="4"/>
      </w:numPr>
      <w:tabs>
        <w:tab w:val="clear" w:pos="1134"/>
        <w:tab w:val="left" w:pos="851" w:leader="none"/>
        <w:tab w:val="left" w:pos="2411" w:leader="none"/>
      </w:tabs>
    </w:pPr>
    <w:rPr/>
  </w:style>
  <w:style w:type="paragraph" w:styleId="Style39">
    <w:name w:val="Подподпункт"/>
    <w:basedOn w:val="Style38"/>
    <w:qFormat/>
    <w:pPr>
      <w:numPr>
        <w:ilvl w:val="0"/>
        <w:numId w:val="4"/>
      </w:numPr>
      <w:tabs>
        <w:tab w:val="left" w:pos="851" w:leader="none"/>
        <w:tab w:val="left" w:pos="1107" w:leader="none"/>
        <w:tab w:val="left" w:pos="1134" w:leader="none"/>
        <w:tab w:val="left" w:pos="1418" w:leader="none"/>
        <w:tab w:val="left" w:pos="2411" w:leader="none"/>
      </w:tabs>
    </w:pPr>
    <w:rPr/>
  </w:style>
  <w:style w:type="paragraph" w:styleId="Style40">
    <w:name w:val="Подподподпункт"/>
    <w:basedOn w:val="Normal"/>
    <w:qFormat/>
    <w:pPr>
      <w:numPr>
        <w:ilvl w:val="0"/>
        <w:numId w:val="4"/>
      </w:numPr>
      <w:tabs>
        <w:tab w:val="clear" w:pos="708"/>
        <w:tab w:val="left" w:pos="1134" w:leader="none"/>
        <w:tab w:val="left" w:pos="1701" w:leader="none"/>
      </w:tabs>
      <w:spacing w:lineRule="auto" w:line="360"/>
      <w:jc w:val="both"/>
    </w:pPr>
    <w:rPr>
      <w:sz w:val="28"/>
      <w:szCs w:val="20"/>
    </w:rPr>
  </w:style>
  <w:style w:type="paragraph" w:styleId="113">
    <w:name w:val="Пункт1"/>
    <w:basedOn w:val="Normal"/>
    <w:qFormat/>
    <w:pPr>
      <w:numPr>
        <w:ilvl w:val="0"/>
        <w:numId w:val="4"/>
      </w:numPr>
      <w:spacing w:lineRule="auto" w:line="360" w:before="240" w:after="0"/>
      <w:jc w:val="center"/>
    </w:pPr>
    <w:rPr>
      <w:rFonts w:ascii="Arial" w:hAnsi="Arial" w:cs="Arial"/>
      <w:b/>
      <w:sz w:val="28"/>
      <w:szCs w:val="28"/>
    </w:rPr>
  </w:style>
  <w:style w:type="paragraph" w:styleId="Style41">
    <w:name w:val="Часть"/>
    <w:basedOn w:val="Normal"/>
    <w:qFormat/>
    <w:pPr>
      <w:tabs>
        <w:tab w:val="clear" w:pos="708"/>
        <w:tab w:val="left" w:pos="1134" w:leader="none"/>
      </w:tabs>
      <w:spacing w:lineRule="auto" w:line="288"/>
      <w:ind w:firstLine="567" w:start="0" w:end="0"/>
      <w:jc w:val="both"/>
    </w:pPr>
    <w:rPr>
      <w:rFonts w:ascii="Calibri" w:hAnsi="Calibri" w:eastAsia="Calibri" w:cs="Calibri"/>
      <w:sz w:val="28"/>
      <w:lang w:val="ru-RU"/>
    </w:rPr>
  </w:style>
  <w:style w:type="paragraph" w:styleId="TOC2">
    <w:name w:val="TOC 2"/>
    <w:basedOn w:val="Normal"/>
    <w:next w:val="Normal"/>
    <w:pPr>
      <w:tabs>
        <w:tab w:val="clear" w:pos="708"/>
        <w:tab w:val="left" w:pos="426" w:leader="none"/>
        <w:tab w:val="right" w:pos="9910" w:leader="dot"/>
      </w:tabs>
      <w:spacing w:before="120" w:after="120"/>
    </w:pPr>
    <w:rPr/>
  </w:style>
  <w:style w:type="paragraph" w:styleId="114">
    <w:name w:val="Обычный1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0"/>
      <w:szCs w:val="20"/>
      <w:lang w:val="en-US" w:eastAsia="zh-CN" w:bidi="ar-SA"/>
    </w:rPr>
  </w:style>
  <w:style w:type="paragraph" w:styleId="115">
    <w:name w:val="Абзац списка1"/>
    <w:basedOn w:val="Normal"/>
    <w:qFormat/>
    <w:pPr>
      <w:ind w:hanging="0" w:start="720" w:end="0"/>
    </w:pPr>
    <w:rPr>
      <w:rFonts w:eastAsia="Calibri"/>
    </w:rPr>
  </w:style>
  <w:style w:type="paragraph" w:styleId="BodyTextIndent21">
    <w:name w:val="Body Text Indent 21"/>
    <w:basedOn w:val="Normal"/>
    <w:qFormat/>
    <w:pPr>
      <w:tabs>
        <w:tab w:val="clear" w:pos="708"/>
        <w:tab w:val="left" w:pos="8222" w:leader="none"/>
      </w:tabs>
      <w:ind w:firstLine="709" w:start="0" w:end="793"/>
      <w:jc w:val="both"/>
    </w:pPr>
    <w:rPr>
      <w:szCs w:val="20"/>
    </w:rPr>
  </w:style>
  <w:style w:type="paragraph" w:styleId="Style42">
    <w:name w:val="Îáû÷íûé"/>
    <w:qFormat/>
    <w:pPr>
      <w:widowControl w:val="false"/>
      <w:suppressAutoHyphens w:val="true"/>
      <w:bidi w:val="0"/>
    </w:pPr>
    <w:rPr>
      <w:rFonts w:ascii="NTHelvetica/Cyrillic;Times New Roman" w:hAnsi="NTHelvetica/Cyrillic;Times New Roman" w:eastAsia="Times New Roman" w:cs="NTHelvetica/Cyrillic;Times New Roman"/>
      <w:color w:val="auto"/>
      <w:sz w:val="20"/>
      <w:szCs w:val="20"/>
      <w:lang w:val="ru-RU" w:eastAsia="zh-CN" w:bidi="ar-SA"/>
    </w:rPr>
  </w:style>
  <w:style w:type="paragraph" w:styleId="Style43">
    <w:name w:val="Âåðõíèé êîëîíòèòóë"/>
    <w:basedOn w:val="Style42"/>
    <w:qFormat/>
    <w:pPr>
      <w:tabs>
        <w:tab w:val="clear" w:pos="708"/>
        <w:tab w:val="center" w:pos="4153" w:leader="none"/>
        <w:tab w:val="right" w:pos="8306" w:leader="none"/>
      </w:tabs>
      <w:spacing w:lineRule="auto" w:line="360"/>
    </w:pPr>
    <w:rPr>
      <w:rFonts w:ascii="Times New Roman CYR" w:hAnsi="Times New Roman CYR" w:cs="Times New Roman CYR"/>
      <w:sz w:val="24"/>
    </w:rPr>
  </w:style>
  <w:style w:type="paragraph" w:styleId="StyleHeading1TimesNewRoman">
    <w:name w:val="Style Heading 1 + Times New Roman"/>
    <w:basedOn w:val="Heading1"/>
    <w:qFormat/>
    <w:pPr>
      <w:numPr>
        <w:ilvl w:val="0"/>
        <w:numId w:val="0"/>
      </w:numPr>
      <w:tabs>
        <w:tab w:val="clear" w:pos="708"/>
        <w:tab w:val="left" w:pos="360" w:leader="none"/>
      </w:tabs>
      <w:ind w:hanging="0" w:start="0" w:end="0"/>
      <w:jc w:val="both"/>
      <w:outlineLvl w:val="9"/>
    </w:pPr>
    <w:rPr>
      <w:rFonts w:ascii="Times New Roman" w:hAnsi="Times New Roman" w:cs="Times New Roman"/>
      <w:sz w:val="24"/>
      <w:szCs w:val="24"/>
    </w:rPr>
  </w:style>
  <w:style w:type="paragraph" w:styleId="222">
    <w:name w:val="заголовок 22"/>
    <w:basedOn w:val="Normal"/>
    <w:next w:val="Normal"/>
    <w:qFormat/>
    <w:pPr>
      <w:autoSpaceDE w:val="false"/>
      <w:spacing w:before="120" w:after="0"/>
      <w:jc w:val="both"/>
    </w:pPr>
    <w:rPr>
      <w:szCs w:val="20"/>
    </w:rPr>
  </w:style>
  <w:style w:type="paragraph" w:styleId="CharChar">
    <w:name w:val="Char Char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ConsPlusNormal">
    <w:name w:val="ConsPlusNormal"/>
    <w:qFormat/>
    <w:pPr>
      <w:widowControl w:val="false"/>
      <w:suppressAutoHyphens w:val="true"/>
      <w:autoSpaceDE w:val="false"/>
      <w:bidi w:val="0"/>
      <w:ind w:firstLine="720" w:start="0" w:end="0"/>
    </w:pPr>
    <w:rPr>
      <w:rFonts w:ascii="Arial" w:hAnsi="Arial" w:eastAsia="Times New Roman" w:cs="Arial"/>
      <w:color w:val="auto"/>
      <w:sz w:val="24"/>
      <w:szCs w:val="24"/>
      <w:lang w:val="ru-RU" w:eastAsia="zh-CN" w:bidi="ar-SA"/>
    </w:rPr>
  </w:style>
  <w:style w:type="paragraph" w:styleId="Bodytext11">
    <w:name w:val="Body text1"/>
    <w:basedOn w:val="Normal"/>
    <w:qFormat/>
    <w:pPr>
      <w:shd w:fill="FFFFFF" w:val="clear"/>
      <w:spacing w:lineRule="atLeast" w:line="240" w:before="0" w:after="600"/>
    </w:pPr>
    <w:rPr>
      <w:sz w:val="23"/>
      <w:szCs w:val="23"/>
      <w:lang w:val="ru-RU"/>
    </w:rPr>
  </w:style>
  <w:style w:type="paragraph" w:styleId="116">
    <w:name w:val="Схема документа1"/>
    <w:basedOn w:val="Normal"/>
    <w:qFormat/>
    <w:pPr>
      <w:spacing w:before="0" w:after="200"/>
      <w:jc w:val="both"/>
    </w:pPr>
    <w:rPr>
      <w:rFonts w:ascii="Tahoma" w:hAnsi="Tahoma" w:cs="Tahoma"/>
      <w:sz w:val="16"/>
      <w:szCs w:val="16"/>
      <w:lang w:val="ru-RU"/>
    </w:rPr>
  </w:style>
  <w:style w:type="paragraph" w:styleId="ConsPlusTitle">
    <w:name w:val="ConsPlusTitle"/>
    <w:qFormat/>
    <w:pPr>
      <w:widowControl w:val="false"/>
      <w:suppressAutoHyphens w:val="true"/>
      <w:autoSpaceDE w:val="false"/>
      <w:bidi w:val="0"/>
    </w:pPr>
    <w:rPr>
      <w:rFonts w:ascii="Arial" w:hAnsi="Arial" w:eastAsia="Times New Roman" w:cs="Arial"/>
      <w:b/>
      <w:bCs/>
      <w:color w:val="auto"/>
      <w:sz w:val="20"/>
      <w:szCs w:val="20"/>
      <w:lang w:val="ru-RU" w:eastAsia="zh-CN" w:bidi="ar-SA"/>
    </w:rPr>
  </w:style>
  <w:style w:type="paragraph" w:styleId="Xl155">
    <w:name w:val="xl15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/>
  </w:style>
  <w:style w:type="paragraph" w:styleId="Xl156">
    <w:name w:val="xl156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/>
  </w:style>
  <w:style w:type="paragraph" w:styleId="Xl157">
    <w:name w:val="xl15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 CYR" w:hAnsi="Arial CYR" w:cs="Arial CYR"/>
      <w:b/>
      <w:bCs/>
      <w:i/>
      <w:iCs/>
      <w:sz w:val="16"/>
      <w:szCs w:val="16"/>
    </w:rPr>
  </w:style>
  <w:style w:type="paragraph" w:styleId="Xl158">
    <w:name w:val="xl158"/>
    <w:basedOn w:val="Normal"/>
    <w:qFormat/>
    <w:pPr>
      <w:spacing w:before="280" w:after="280"/>
      <w:jc w:val="center"/>
      <w:textAlignment w:val="center"/>
    </w:pPr>
    <w:rPr/>
  </w:style>
  <w:style w:type="paragraph" w:styleId="Xl159">
    <w:name w:val="xl15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color w:val="FF0000"/>
    </w:rPr>
  </w:style>
  <w:style w:type="paragraph" w:styleId="Xl160">
    <w:name w:val="xl160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</w:rPr>
  </w:style>
  <w:style w:type="paragraph" w:styleId="Xl161">
    <w:name w:val="xl161"/>
    <w:basedOn w:val="Normal"/>
    <w:qFormat/>
    <w:pPr>
      <w:spacing w:before="280" w:after="280"/>
      <w:jc w:val="end"/>
    </w:pPr>
    <w:rPr>
      <w:rFonts w:ascii="Arial CYR" w:hAnsi="Arial CYR" w:cs="Arial CYR"/>
      <w:b/>
      <w:bCs/>
      <w:i/>
      <w:iCs/>
      <w:u w:val="single"/>
    </w:rPr>
  </w:style>
  <w:style w:type="paragraph" w:styleId="Xl162">
    <w:name w:val="xl16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i/>
      <w:iCs/>
      <w:color w:val="FF0000"/>
      <w:sz w:val="16"/>
      <w:szCs w:val="16"/>
    </w:rPr>
  </w:style>
  <w:style w:type="paragraph" w:styleId="Xl163">
    <w:name w:val="xl163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  <w:textAlignment w:val="center"/>
    </w:pPr>
    <w:rPr>
      <w:rFonts w:ascii="Calibri" w:hAnsi="Calibri" w:cs="Calibri"/>
      <w:b/>
      <w:bCs/>
      <w:i/>
      <w:iCs/>
      <w:color w:val="000000"/>
      <w:sz w:val="18"/>
      <w:szCs w:val="18"/>
    </w:rPr>
  </w:style>
  <w:style w:type="paragraph" w:styleId="Xl164">
    <w:name w:val="xl164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Calibri" w:hAnsi="Calibri" w:cs="Calibri"/>
      <w:b/>
      <w:bCs/>
      <w:i/>
      <w:iCs/>
      <w:color w:val="000000"/>
      <w:sz w:val="18"/>
      <w:szCs w:val="18"/>
    </w:rPr>
  </w:style>
  <w:style w:type="paragraph" w:styleId="Xl165">
    <w:name w:val="xl16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  <w:rPr/>
  </w:style>
  <w:style w:type="paragraph" w:styleId="Xl166">
    <w:name w:val="xl166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/>
  </w:style>
  <w:style w:type="paragraph" w:styleId="Xl167">
    <w:name w:val="xl16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  <w:textAlignment w:val="center"/>
    </w:pPr>
    <w:rPr>
      <w:color w:val="000000"/>
    </w:rPr>
  </w:style>
  <w:style w:type="paragraph" w:styleId="Xl168">
    <w:name w:val="xl168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color w:val="000000"/>
    </w:rPr>
  </w:style>
  <w:style w:type="paragraph" w:styleId="Xl169">
    <w:name w:val="xl16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Arial CYR" w:hAnsi="Arial CYR" w:cs="Arial CYR"/>
      <w:b/>
      <w:bCs/>
      <w:i/>
      <w:iCs/>
    </w:rPr>
  </w:style>
  <w:style w:type="paragraph" w:styleId="Xl170">
    <w:name w:val="xl170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Arial CYR" w:hAnsi="Arial CYR" w:cs="Arial CYR"/>
      <w:b/>
      <w:bCs/>
      <w:i/>
      <w:iCs/>
    </w:rPr>
  </w:style>
  <w:style w:type="paragraph" w:styleId="Xl171">
    <w:name w:val="xl17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  <w:textAlignment w:val="center"/>
    </w:pPr>
    <w:rPr>
      <w:b/>
      <w:bCs/>
      <w:i/>
      <w:iCs/>
      <w:color w:val="000000"/>
    </w:rPr>
  </w:style>
  <w:style w:type="paragraph" w:styleId="Xl172">
    <w:name w:val="xl172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i/>
      <w:iCs/>
      <w:color w:val="000000"/>
    </w:rPr>
  </w:style>
  <w:style w:type="paragraph" w:styleId="Xl173">
    <w:name w:val="xl173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i/>
      <w:iCs/>
      <w:color w:val="000000"/>
    </w:rPr>
  </w:style>
  <w:style w:type="paragraph" w:styleId="Xl174">
    <w:name w:val="xl174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  <w:textAlignment w:val="center"/>
    </w:pPr>
    <w:rPr>
      <w:rFonts w:ascii="Arial CYR" w:hAnsi="Arial CYR" w:cs="Arial CYR"/>
      <w:b/>
      <w:bCs/>
      <w:i/>
      <w:iCs/>
    </w:rPr>
  </w:style>
  <w:style w:type="paragraph" w:styleId="Xl175">
    <w:name w:val="xl175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 CYR" w:hAnsi="Arial CYR" w:cs="Arial CYR"/>
      <w:b/>
      <w:bCs/>
      <w:i/>
      <w:iCs/>
    </w:rPr>
  </w:style>
  <w:style w:type="paragraph" w:styleId="Xl176">
    <w:name w:val="xl176"/>
    <w:basedOn w:val="Normal"/>
    <w:qFormat/>
    <w:pPr>
      <w:spacing w:before="280" w:after="280"/>
      <w:jc w:val="center"/>
    </w:pPr>
    <w:rPr>
      <w:b/>
      <w:bCs/>
      <w:i/>
      <w:iCs/>
    </w:rPr>
  </w:style>
  <w:style w:type="paragraph" w:styleId="Xl177">
    <w:name w:val="xl177"/>
    <w:basedOn w:val="Normal"/>
    <w:qFormat/>
    <w:pPr>
      <w:spacing w:before="280" w:after="280"/>
      <w:textAlignment w:val="top"/>
    </w:pPr>
    <w:rPr>
      <w:rFonts w:ascii="Arial CYR" w:hAnsi="Arial CYR" w:cs="Arial CYR"/>
    </w:rPr>
  </w:style>
  <w:style w:type="paragraph" w:styleId="Xl178">
    <w:name w:val="xl178"/>
    <w:basedOn w:val="Normal"/>
    <w:qFormat/>
    <w:pPr>
      <w:spacing w:before="280" w:after="280"/>
      <w:textAlignment w:val="top"/>
    </w:pPr>
    <w:rPr/>
  </w:style>
  <w:style w:type="paragraph" w:styleId="Xl179">
    <w:name w:val="xl179"/>
    <w:basedOn w:val="Normal"/>
    <w:qFormat/>
    <w:pPr>
      <w:spacing w:before="280" w:after="280"/>
      <w:jc w:val="center"/>
    </w:pPr>
    <w:rPr>
      <w:rFonts w:ascii="Arial CYR" w:hAnsi="Arial CYR" w:cs="Arial CYR"/>
      <w:b/>
      <w:bCs/>
      <w:i/>
      <w:iCs/>
      <w:sz w:val="22"/>
      <w:szCs w:val="22"/>
    </w:rPr>
  </w:style>
  <w:style w:type="paragraph" w:styleId="Xl180">
    <w:name w:val="xl180"/>
    <w:basedOn w:val="Normal"/>
    <w:qFormat/>
    <w:pPr>
      <w:spacing w:before="280" w:after="280"/>
      <w:jc w:val="center"/>
    </w:pPr>
    <w:rPr>
      <w:rFonts w:ascii="Arial CYR" w:hAnsi="Arial CYR" w:cs="Arial CYR"/>
      <w:i/>
      <w:iCs/>
    </w:rPr>
  </w:style>
  <w:style w:type="paragraph" w:styleId="Xl181">
    <w:name w:val="xl181"/>
    <w:basedOn w:val="Normal"/>
    <w:qFormat/>
    <w:pPr>
      <w:spacing w:before="280" w:after="280"/>
      <w:jc w:val="center"/>
    </w:pPr>
    <w:rPr>
      <w:rFonts w:ascii="Arial CYR" w:hAnsi="Arial CYR" w:cs="Arial CYR"/>
      <w:i/>
      <w:iCs/>
      <w:color w:val="FF0000"/>
      <w:sz w:val="18"/>
      <w:szCs w:val="18"/>
    </w:rPr>
  </w:style>
  <w:style w:type="paragraph" w:styleId="Xl182">
    <w:name w:val="xl182"/>
    <w:basedOn w:val="Normal"/>
    <w:qFormat/>
    <w:pPr>
      <w:spacing w:before="280" w:after="280"/>
      <w:jc w:val="center"/>
    </w:pPr>
    <w:rPr>
      <w:rFonts w:ascii="Georgia" w:hAnsi="Georgia" w:cs="Georgia"/>
      <w:b/>
      <w:bCs/>
    </w:rPr>
  </w:style>
  <w:style w:type="paragraph" w:styleId="Xl183">
    <w:name w:val="xl183"/>
    <w:basedOn w:val="Normal"/>
    <w:qFormat/>
    <w:pPr>
      <w:spacing w:before="280" w:after="280"/>
      <w:jc w:val="center"/>
    </w:pPr>
    <w:rPr>
      <w:rFonts w:ascii="Georgia" w:hAnsi="Georgia" w:cs="Georgia"/>
      <w:b/>
      <w:bCs/>
      <w:color w:val="FF0000"/>
    </w:rPr>
  </w:style>
  <w:style w:type="paragraph" w:styleId="Xl184">
    <w:name w:val="xl184"/>
    <w:basedOn w:val="Normal"/>
    <w:qFormat/>
    <w:pPr>
      <w:spacing w:before="280" w:after="280"/>
      <w:jc w:val="center"/>
      <w:textAlignment w:val="center"/>
    </w:pPr>
    <w:rPr>
      <w:rFonts w:ascii="Arial CYR" w:hAnsi="Arial CYR" w:cs="Arial CYR"/>
      <w:b/>
      <w:bCs/>
      <w:sz w:val="18"/>
      <w:szCs w:val="18"/>
    </w:rPr>
  </w:style>
  <w:style w:type="paragraph" w:styleId="Xl185">
    <w:name w:val="xl185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  <w:textAlignment w:val="center"/>
    </w:pPr>
    <w:rPr>
      <w:rFonts w:ascii="Arial CYR" w:hAnsi="Arial CYR" w:cs="Arial CYR"/>
      <w:b/>
      <w:bCs/>
      <w:i/>
      <w:iCs/>
      <w:sz w:val="18"/>
      <w:szCs w:val="18"/>
    </w:rPr>
  </w:style>
  <w:style w:type="paragraph" w:styleId="Xl186">
    <w:name w:val="xl186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rFonts w:ascii="Arial CYR" w:hAnsi="Arial CYR" w:cs="Arial CYR"/>
      <w:b/>
      <w:bCs/>
      <w:i/>
      <w:iCs/>
      <w:sz w:val="18"/>
      <w:szCs w:val="18"/>
    </w:rPr>
  </w:style>
  <w:style w:type="paragraph" w:styleId="Xl187">
    <w:name w:val="xl187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styleId="Xl188">
    <w:name w:val="xl188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sz w:val="18"/>
      <w:szCs w:val="18"/>
    </w:rPr>
  </w:style>
  <w:style w:type="paragraph" w:styleId="Xl189">
    <w:name w:val="xl189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  <w:textAlignment w:val="center"/>
    </w:pPr>
    <w:rPr>
      <w:b/>
      <w:bCs/>
      <w:i/>
      <w:iCs/>
      <w:sz w:val="18"/>
      <w:szCs w:val="18"/>
    </w:rPr>
  </w:style>
  <w:style w:type="paragraph" w:styleId="Xl190">
    <w:name w:val="xl190"/>
    <w:basedOn w:val="Normal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  <w:textAlignment w:val="center"/>
    </w:pPr>
    <w:rPr>
      <w:b/>
      <w:bCs/>
      <w:i/>
      <w:iCs/>
      <w:sz w:val="18"/>
      <w:szCs w:val="18"/>
    </w:rPr>
  </w:style>
  <w:style w:type="paragraph" w:styleId="Xl191">
    <w:name w:val="xl191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styleId="Xl192">
    <w:name w:val="xl192"/>
    <w:basedOn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styleId="Xl193">
    <w:name w:val="xl193"/>
    <w:basedOn w:val="Normal"/>
    <w:qFormat/>
    <w:pPr>
      <w:shd w:fill="FFFFFF" w:val="clear"/>
      <w:spacing w:before="280" w:after="280"/>
      <w:textAlignment w:val="center"/>
    </w:pPr>
    <w:rPr>
      <w:b/>
      <w:bCs/>
      <w:i/>
      <w:iCs/>
      <w:sz w:val="22"/>
      <w:szCs w:val="22"/>
    </w:rPr>
  </w:style>
  <w:style w:type="paragraph" w:styleId="Xl194">
    <w:name w:val="xl194"/>
    <w:basedOn w:val="Normal"/>
    <w:qFormat/>
    <w:pPr>
      <w:pBdr>
        <w:bottom w:val="single" w:sz="4" w:space="0" w:color="000000"/>
      </w:pBdr>
      <w:spacing w:before="280" w:after="280"/>
      <w:jc w:val="center"/>
      <w:textAlignment w:val="center"/>
    </w:pPr>
    <w:rPr>
      <w:rFonts w:ascii="Arial CYR" w:hAnsi="Arial CYR" w:cs="Arial CYR"/>
      <w:b/>
      <w:bCs/>
      <w:i/>
      <w:iCs/>
      <w:sz w:val="22"/>
      <w:szCs w:val="22"/>
    </w:rPr>
  </w:style>
  <w:style w:type="paragraph" w:styleId="Xl195">
    <w:name w:val="xl195"/>
    <w:basedOn w:val="Normal"/>
    <w:qFormat/>
    <w:pPr>
      <w:spacing w:before="280" w:after="280"/>
    </w:pPr>
    <w:rPr>
      <w:rFonts w:ascii="Book Antiqua" w:hAnsi="Book Antiqua" w:cs="Book Antiqua"/>
      <w:b/>
      <w:bCs/>
      <w:i/>
      <w:iCs/>
    </w:rPr>
  </w:style>
  <w:style w:type="paragraph" w:styleId="Headertext">
    <w:name w:val="headertext"/>
    <w:basedOn w:val="Normal"/>
    <w:qFormat/>
    <w:pPr>
      <w:spacing w:before="280" w:after="280"/>
    </w:pPr>
    <w:rPr/>
  </w:style>
  <w:style w:type="paragraph" w:styleId="223">
    <w:name w:val="Основной текст с отступом 22"/>
    <w:basedOn w:val="Normal"/>
    <w:qFormat/>
    <w:pPr>
      <w:widowControl w:val="false"/>
      <w:suppressAutoHyphens w:val="true"/>
      <w:autoSpaceDE w:val="false"/>
      <w:spacing w:lineRule="auto" w:line="480" w:before="0" w:after="120"/>
      <w:ind w:hanging="0" w:start="283" w:end="0"/>
    </w:pPr>
    <w:rPr>
      <w:rFonts w:eastAsia="Calibri"/>
      <w:color w:val="000000"/>
      <w:sz w:val="20"/>
      <w:szCs w:val="20"/>
      <w:lang w:eastAsia="zh-CN"/>
    </w:rPr>
  </w:style>
  <w:style w:type="paragraph" w:styleId="Style44">
    <w:name w:val="Содержимое врезки"/>
    <w:basedOn w:val="Normal"/>
    <w:qFormat/>
    <w:pPr/>
    <w:rPr/>
  </w:style>
  <w:style w:type="paragraph" w:styleId="Style45">
    <w:name w:val="Содержимое таблицы"/>
    <w:basedOn w:val="Normal"/>
    <w:qFormat/>
    <w:pPr>
      <w:widowControl w:val="false"/>
      <w:suppressLineNumbers/>
    </w:pPr>
    <w:rPr/>
  </w:style>
  <w:style w:type="paragraph" w:styleId="Style46">
    <w:name w:val="Заголовок таблицы"/>
    <w:basedOn w:val="Style45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../../../&#1047;&#1072;&#1075;&#1088;&#1091;&#1079;&#1082;&#1080;/01.08.2023)" TargetMode="External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299</TotalTime>
  <Application>LibreOffice/7.6.7.2$Linux_X86_64 LibreOffice_project/60$Build-2</Application>
  <AppVersion>15.0000</AppVersion>
  <Pages>4</Pages>
  <Words>1219</Words>
  <Characters>9124</Characters>
  <CharactersWithSpaces>10363</CharactersWithSpaces>
  <Paragraphs>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2025-02-24T22:27:00Z</dcterms:created>
  <dc:creator>Чумаченко Елена Викторовна, (6111)5718</dc:creator>
  <dc:description/>
  <dc:language>ru-RU</dc:language>
  <cp:lastModifiedBy/>
  <cp:lastPrinted>2015-12-24T10:59:00Z</cp:lastPrinted>
  <dcterms:modified xsi:type="dcterms:W3CDTF">2026-10-09T14:25:22Z</dcterms:modified>
  <cp:revision>26</cp:revision>
  <dc:subject/>
  <dc:title>Образец извещения о проведении закупки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265362856</vt:i4>
  </property>
  <property fmtid="{D5CDD505-2E9C-101B-9397-08002B2CF9AE}" pid="3" name="_AuthorEmail">
    <vt:lpwstr>ChumachenkoEV@tom.transneft.ru_x0000_</vt:lpwstr>
  </property>
  <property fmtid="{D5CDD505-2E9C-101B-9397-08002B2CF9AE}" pid="4" name="_AuthorEmailDisplayName">
    <vt:lpwstr>Чумаченко Елена Викторовна_x0000_</vt:lpwstr>
  </property>
  <property fmtid="{D5CDD505-2E9C-101B-9397-08002B2CF9AE}" pid="5" name="_EmailSubject">
    <vt:lpwstr>_x0000__x0000__x0000_</vt:lpwstr>
  </property>
  <property fmtid="{D5CDD505-2E9C-101B-9397-08002B2CF9AE}" pid="6" name="_PreviousAdHocReviewCycleID">
    <vt:i4>-1907374121</vt:i4>
  </property>
  <property fmtid="{D5CDD505-2E9C-101B-9397-08002B2CF9AE}" pid="7" name="_ReviewingToolsShownOnce">
    <vt:lpwstr>_x0000__x0000__x0000_</vt:lpwstr>
  </property>
</Properties>
</file>