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widowControl w:val="0"/>
        <w:ind/>
        <w:jc w:val="center"/>
        <w:rPr>
          <w:b w:val="1"/>
          <w:sz w:val="20"/>
          <w:shd w:fill="FFD821" w:val="clear"/>
        </w:rPr>
      </w:pPr>
      <w:r>
        <w:rPr>
          <w:b w:val="1"/>
          <w:sz w:val="20"/>
          <w:shd w:fill="FFD821" w:val="clear"/>
        </w:rPr>
        <w:t>ПРОЕКТ</w:t>
      </w:r>
    </w:p>
    <w:p w14:paraId="02000000">
      <w:pPr>
        <w:widowControl w:val="0"/>
        <w:ind/>
        <w:jc w:val="center"/>
        <w:rPr>
          <w:b w:val="1"/>
          <w:sz w:val="20"/>
        </w:rPr>
      </w:pPr>
      <w:r>
        <w:rPr>
          <w:b w:val="1"/>
          <w:sz w:val="20"/>
        </w:rPr>
        <w:t>ГОСУДАР</w:t>
      </w:r>
      <w:r>
        <w:rPr>
          <w:b w:val="1"/>
          <w:sz w:val="20"/>
        </w:rPr>
        <w:t>С</w:t>
      </w:r>
      <w:r>
        <w:rPr>
          <w:b w:val="1"/>
          <w:sz w:val="20"/>
        </w:rPr>
        <w:t xml:space="preserve">ТВЕННЫЙ КОНТРАКТ </w:t>
      </w:r>
      <w:r>
        <w:rPr>
          <w:b w:val="1"/>
          <w:sz w:val="20"/>
          <w:shd w:fill="FFD821" w:val="clear"/>
        </w:rPr>
        <w:t>№_________</w:t>
      </w:r>
    </w:p>
    <w:p w14:paraId="03000000">
      <w:pPr>
        <w:widowControl w:val="0"/>
        <w:ind/>
        <w:jc w:val="center"/>
        <w:rPr>
          <w:b w:val="1"/>
          <w:sz w:val="20"/>
        </w:rPr>
      </w:pPr>
      <w:r>
        <w:rPr>
          <w:b w:val="1"/>
          <w:sz w:val="20"/>
        </w:rPr>
        <w:t xml:space="preserve">выполнение работ по изготовлению технических планов, </w:t>
      </w:r>
      <w:r>
        <w:rPr>
          <w:b w:val="1"/>
          <w:sz w:val="20"/>
        </w:rPr>
        <w:t>технических заключений, актов обследования</w:t>
      </w:r>
      <w:r>
        <w:rPr>
          <w:b w:val="1"/>
          <w:sz w:val="20"/>
        </w:rPr>
        <w:t xml:space="preserve"> на объекты недвижимости, являющиеся имуществом государственной казны Российской Федерации</w:t>
      </w:r>
    </w:p>
    <w:p w14:paraId="04000000">
      <w:pPr>
        <w:widowControl w:val="0"/>
        <w:ind/>
        <w:jc w:val="center"/>
        <w:rPr>
          <w:b w:val="1"/>
          <w:spacing w:val="1"/>
          <w:sz w:val="20"/>
        </w:rPr>
      </w:pPr>
    </w:p>
    <w:p w14:paraId="05000000">
      <w:pPr>
        <w:widowControl w:val="0"/>
        <w:ind w:firstLine="0" w:left="57" w:right="57"/>
        <w:rPr>
          <w:sz w:val="20"/>
          <w:highlight w:val="white"/>
        </w:rPr>
      </w:pPr>
      <w:r>
        <w:rPr>
          <w:sz w:val="20"/>
          <w:highlight w:val="white"/>
        </w:rPr>
        <w:t xml:space="preserve">г. Белгород </w:t>
      </w:r>
      <w:r>
        <w:rPr>
          <w:sz w:val="20"/>
          <w:highlight w:val="white"/>
        </w:rPr>
        <w:tab/>
      </w:r>
      <w:r>
        <w:rPr>
          <w:sz w:val="20"/>
          <w:highlight w:val="white"/>
        </w:rPr>
        <w:tab/>
      </w:r>
      <w:r>
        <w:rPr>
          <w:sz w:val="20"/>
          <w:highlight w:val="white"/>
        </w:rPr>
        <w:tab/>
      </w:r>
      <w:r>
        <w:rPr>
          <w:sz w:val="20"/>
          <w:highlight w:val="white"/>
        </w:rPr>
        <w:tab/>
      </w:r>
      <w:r>
        <w:rPr>
          <w:sz w:val="20"/>
          <w:highlight w:val="white"/>
        </w:rPr>
        <w:tab/>
      </w:r>
      <w:r>
        <w:rPr>
          <w:sz w:val="20"/>
          <w:highlight w:val="white"/>
        </w:rPr>
        <w:tab/>
      </w:r>
      <w:r>
        <w:rPr>
          <w:sz w:val="20"/>
          <w:highlight w:val="white"/>
        </w:rPr>
        <w:tab/>
      </w:r>
      <w:r>
        <w:rPr>
          <w:sz w:val="20"/>
          <w:highlight w:val="white"/>
        </w:rPr>
        <w:tab/>
      </w:r>
      <w:r>
        <w:rPr>
          <w:sz w:val="20"/>
          <w:highlight w:val="white"/>
        </w:rPr>
        <w:tab/>
      </w:r>
      <w:r>
        <w:rPr>
          <w:sz w:val="20"/>
          <w:highlight w:val="white"/>
        </w:rPr>
        <w:t xml:space="preserve"> </w:t>
      </w:r>
      <w:r>
        <w:rPr>
          <w:sz w:val="20"/>
          <w:highlight w:val="white"/>
        </w:rPr>
        <w:t>«____» ____________ 202__</w:t>
      </w:r>
      <w:r>
        <w:rPr>
          <w:sz w:val="20"/>
          <w:highlight w:val="white"/>
        </w:rPr>
        <w:t xml:space="preserve"> г.</w:t>
      </w:r>
    </w:p>
    <w:p w14:paraId="06000000">
      <w:pPr>
        <w:widowControl w:val="0"/>
        <w:ind w:firstLine="0" w:left="57" w:right="57"/>
        <w:rPr>
          <w:sz w:val="20"/>
          <w:highlight w:val="white"/>
        </w:rPr>
      </w:pPr>
    </w:p>
    <w:p w14:paraId="07000000">
      <w:pPr>
        <w:widowControl w:val="0"/>
        <w:ind w:firstLine="0" w:left="57" w:right="57"/>
        <w:rPr>
          <w:sz w:val="20"/>
          <w:highlight w:val="white"/>
        </w:rPr>
      </w:pPr>
    </w:p>
    <w:p w14:paraId="08000000">
      <w:pPr>
        <w:widowControl w:val="0"/>
        <w:spacing w:line="100" w:lineRule="atLeast"/>
        <w:ind w:firstLine="652" w:left="57" w:right="57"/>
        <w:jc w:val="both"/>
        <w:rPr>
          <w:b w:val="1"/>
          <w:color w:val="000000"/>
          <w:spacing w:val="-1"/>
          <w:sz w:val="20"/>
        </w:rPr>
      </w:pPr>
      <w:r>
        <w:rPr>
          <w:b w:val="1"/>
          <w:sz w:val="20"/>
        </w:rPr>
        <w:t>Межрегиональное территориальное управление Федерального агентства по управлению государственным имуществом в Курской и Белгородской областях</w:t>
      </w:r>
      <w:r>
        <w:rPr>
          <w:sz w:val="20"/>
        </w:rPr>
        <w:t xml:space="preserve"> в лице Руководителя Буравлева Юрия Викторовича, действующего на основании Положения о Межрегиональном территориальном управлении Федерального агентства по управлению государственным имуществом в Курской и Белгородской областях, утвержденного Приказом Федерального агентства по управлению государственным имуществом от 23 июня 2023 г. №131, приказа МИНФИНА России от 16.12.2024 № 2372 л/с</w:t>
      </w:r>
      <w:r>
        <w:rPr>
          <w:sz w:val="20"/>
        </w:rPr>
        <w:t>, именуемое в дальнейшем</w:t>
      </w:r>
      <w:r>
        <w:rPr>
          <w:b w:val="1"/>
          <w:color w:val="000000"/>
          <w:spacing w:val="-1"/>
          <w:sz w:val="20"/>
        </w:rPr>
        <w:t xml:space="preserve"> «Заказчик», </w:t>
      </w:r>
    </w:p>
    <w:p w14:paraId="09000000">
      <w:pPr>
        <w:widowControl w:val="0"/>
        <w:spacing w:line="100" w:lineRule="atLeast"/>
        <w:ind w:firstLine="652" w:left="57" w:right="57"/>
        <w:jc w:val="both"/>
        <w:rPr>
          <w:sz w:val="20"/>
        </w:rPr>
      </w:pPr>
      <w:r>
        <w:rPr>
          <w:color w:val="000000"/>
          <w:spacing w:val="1"/>
          <w:sz w:val="20"/>
        </w:rPr>
        <w:t xml:space="preserve">и </w:t>
      </w:r>
      <w:r>
        <w:rPr>
          <w:color w:val="000000"/>
          <w:spacing w:val="1"/>
          <w:sz w:val="20"/>
          <w:shd w:fill="FFD821" w:val="clear"/>
        </w:rPr>
        <w:t>__________________</w:t>
      </w:r>
      <w:r>
        <w:rPr>
          <w:b w:val="1"/>
          <w:color w:val="000000"/>
          <w:spacing w:val="1"/>
          <w:sz w:val="20"/>
          <w:shd w:fill="FFD821" w:val="clear"/>
        </w:rPr>
        <w:t>,</w:t>
      </w:r>
      <w:r>
        <w:rPr>
          <w:b w:val="1"/>
          <w:color w:val="000000"/>
          <w:spacing w:val="1"/>
          <w:sz w:val="20"/>
        </w:rPr>
        <w:t xml:space="preserve"> </w:t>
      </w:r>
      <w:r>
        <w:rPr>
          <w:color w:val="000000"/>
          <w:spacing w:val="1"/>
          <w:sz w:val="20"/>
        </w:rPr>
        <w:t xml:space="preserve">в лице </w:t>
      </w:r>
      <w:r>
        <w:rPr>
          <w:color w:val="000000"/>
          <w:spacing w:val="1"/>
          <w:sz w:val="20"/>
          <w:shd w:fill="FFD821" w:val="clear"/>
        </w:rPr>
        <w:t>_____________________</w:t>
      </w:r>
      <w:r>
        <w:rPr>
          <w:sz w:val="20"/>
          <w:shd w:fill="FFD821" w:val="clear"/>
        </w:rPr>
        <w:t>,</w:t>
      </w:r>
      <w:r>
        <w:rPr>
          <w:sz w:val="20"/>
        </w:rPr>
        <w:t xml:space="preserve"> </w:t>
      </w:r>
      <w:r>
        <w:rPr>
          <w:color w:val="000000"/>
          <w:spacing w:val="1"/>
          <w:sz w:val="20"/>
        </w:rPr>
        <w:t>действующего на основании</w:t>
      </w:r>
      <w:r>
        <w:rPr>
          <w:color w:val="000000"/>
          <w:sz w:val="20"/>
        </w:rPr>
        <w:t xml:space="preserve"> </w:t>
      </w:r>
      <w:r>
        <w:rPr>
          <w:color w:val="000000"/>
          <w:sz w:val="20"/>
          <w:shd w:fill="FFD821" w:val="clear"/>
        </w:rPr>
        <w:t>___________</w:t>
      </w:r>
      <w:r>
        <w:rPr>
          <w:color w:val="000000"/>
          <w:spacing w:val="1"/>
          <w:sz w:val="20"/>
        </w:rPr>
        <w:t xml:space="preserve"> с другой стороны, вместе именуемые «Стороны»,</w:t>
      </w:r>
      <w:r>
        <w:rPr>
          <w:sz w:val="20"/>
          <w:highlight w:val="white"/>
        </w:rPr>
        <w:t xml:space="preserve"> с соблюдением требований Федерального закона от 05.04.2013 г. </w:t>
      </w:r>
      <w:r>
        <w:rPr>
          <w:sz w:val="20"/>
          <w:highlight w:val="white"/>
        </w:rPr>
        <w:t>№ 44-ФЗ «О контрактной системе в сфере закуп</w:t>
      </w:r>
      <w:r>
        <w:rPr>
          <w:color w:val="000000"/>
          <w:sz w:val="20"/>
          <w:highlight w:val="white"/>
        </w:rPr>
        <w:t>ок товаров, работ, услуг для обеспечения государственных и муниципальных н</w:t>
      </w:r>
      <w:r>
        <w:rPr>
          <w:color w:val="000000"/>
          <w:sz w:val="20"/>
          <w:highlight w:val="white"/>
        </w:rPr>
        <w:t xml:space="preserve">ужд», и иного законодательства </w:t>
      </w:r>
      <w:r>
        <w:rPr>
          <w:color w:val="000000"/>
          <w:sz w:val="20"/>
        </w:rPr>
        <w:t xml:space="preserve">Российской Федерации, </w:t>
      </w:r>
      <w:r>
        <w:rPr>
          <w:color w:val="000000"/>
          <w:sz w:val="20"/>
        </w:rPr>
        <w:t>(</w:t>
      </w:r>
      <w:r>
        <w:rPr>
          <w:color w:val="000000"/>
          <w:sz w:val="20"/>
        </w:rPr>
        <w:t>и</w:t>
      </w:r>
      <w:r>
        <w:rPr>
          <w:color w:val="000000"/>
          <w:sz w:val="20"/>
        </w:rPr>
        <w:t xml:space="preserve">дентификационный код закупки: </w:t>
      </w:r>
      <w:r>
        <w:rPr>
          <w:color w:val="000000"/>
          <w:sz w:val="20"/>
          <w:shd w:fill="FFD821" w:val="clear"/>
        </w:rPr>
        <w:t>_____________________</w:t>
      </w:r>
      <w:r>
        <w:rPr>
          <w:color w:val="000000"/>
          <w:sz w:val="20"/>
          <w:shd w:fill="FFD821" w:val="clear"/>
        </w:rPr>
        <w:t>,</w:t>
      </w:r>
      <w:r>
        <w:rPr>
          <w:color w:val="000000"/>
          <w:sz w:val="20"/>
          <w:u w:val="none"/>
        </w:rPr>
        <w:t xml:space="preserve"> </w:t>
      </w:r>
      <w:r>
        <w:rPr>
          <w:rFonts w:ascii="Times New Roman" w:hAnsi="Times New Roman"/>
          <w:color w:val="000000"/>
          <w:sz w:val="20"/>
        </w:rPr>
        <w:t xml:space="preserve">КБК </w:t>
      </w:r>
      <w:r>
        <w:rPr>
          <w:rFonts w:ascii="Times New Roman" w:hAnsi="Times New Roman"/>
          <w:color w:val="000000"/>
          <w:sz w:val="20"/>
        </w:rPr>
        <w:t>16701133941292065244</w:t>
      </w:r>
      <w:r>
        <w:rPr>
          <w:rFonts w:ascii="Times New Roman" w:hAnsi="Times New Roman"/>
          <w:color w:val="000000"/>
          <w:sz w:val="20"/>
        </w:rPr>
        <w:t xml:space="preserve">, </w:t>
      </w:r>
      <w:r>
        <w:rPr>
          <w:rFonts w:ascii="Times New Roman" w:hAnsi="Times New Roman"/>
          <w:color w:val="000000"/>
          <w:sz w:val="20"/>
        </w:rPr>
        <w:t>ОКПД</w:t>
      </w:r>
      <w:r>
        <w:rPr>
          <w:rFonts w:ascii="Times New Roman" w:hAnsi="Times New Roman"/>
          <w:color w:val="000000"/>
          <w:sz w:val="20"/>
        </w:rPr>
        <w:t xml:space="preserve"> 2</w:t>
      </w:r>
      <w:r>
        <w:rPr>
          <w:rFonts w:ascii="Times New Roman" w:hAnsi="Times New Roman"/>
          <w:color w:val="000000"/>
          <w:sz w:val="20"/>
          <w:shd w:fill="F8D957" w:val="clear"/>
        </w:rPr>
        <w:t xml:space="preserve"> </w:t>
      </w:r>
      <w:r>
        <w:rPr>
          <w:rFonts w:ascii="Times New Roman" w:hAnsi="Times New Roman"/>
          <w:color w:val="000000"/>
          <w:sz w:val="20"/>
          <w:shd w:fill="F8D957" w:val="clear"/>
        </w:rPr>
        <w:t>68.32.13.110</w:t>
      </w:r>
      <w:r>
        <w:rPr>
          <w:sz w:val="20"/>
        </w:rPr>
        <w:t xml:space="preserve">) </w:t>
      </w:r>
      <w:r>
        <w:rPr>
          <w:sz w:val="20"/>
        </w:rPr>
        <w:t>заключили настоящий Контракт о нижеследующем:</w:t>
      </w:r>
    </w:p>
    <w:p w14:paraId="0A000000">
      <w:pPr>
        <w:widowControl w:val="0"/>
        <w:spacing w:line="100" w:lineRule="atLeast"/>
        <w:ind w:firstLine="652" w:left="57" w:right="57"/>
        <w:jc w:val="both"/>
        <w:rPr>
          <w:sz w:val="20"/>
        </w:rPr>
      </w:pPr>
    </w:p>
    <w:p w14:paraId="0B000000">
      <w:pPr>
        <w:widowControl w:val="0"/>
        <w:spacing w:line="100" w:lineRule="atLeast"/>
        <w:ind w:firstLine="652" w:left="57" w:right="57"/>
        <w:jc w:val="center"/>
        <w:rPr>
          <w:b w:val="1"/>
          <w:sz w:val="20"/>
          <w:highlight w:val="white"/>
        </w:rPr>
      </w:pPr>
      <w:r>
        <w:rPr>
          <w:b w:val="1"/>
          <w:sz w:val="20"/>
          <w:highlight w:val="white"/>
        </w:rPr>
        <w:t>1. Общие положения Контракта</w:t>
      </w:r>
    </w:p>
    <w:p w14:paraId="0C000000">
      <w:pPr>
        <w:widowControl w:val="0"/>
        <w:numPr>
          <w:ilvl w:val="1"/>
          <w:numId w:val="1"/>
        </w:numPr>
        <w:tabs>
          <w:tab w:leader="none" w:pos="993" w:val="left"/>
        </w:tabs>
        <w:ind w:firstLine="364" w:left="0"/>
        <w:jc w:val="both"/>
        <w:rPr>
          <w:sz w:val="20"/>
        </w:rPr>
      </w:pPr>
      <w:r>
        <w:rPr>
          <w:sz w:val="20"/>
        </w:rPr>
        <w:t xml:space="preserve">Настоящий Контракт заключается Сторонами и подписывается уполномоченными лицами, имеющими право действовать от имени Заказчика и </w:t>
      </w:r>
      <w:r>
        <w:rPr>
          <w:sz w:val="20"/>
        </w:rPr>
        <w:t>Исполнителя.</w:t>
      </w:r>
    </w:p>
    <w:p w14:paraId="0D000000">
      <w:pPr>
        <w:widowControl w:val="0"/>
        <w:tabs>
          <w:tab w:leader="none" w:pos="993" w:val="left"/>
        </w:tabs>
        <w:ind w:firstLine="364" w:left="0"/>
        <w:jc w:val="both"/>
        <w:rPr>
          <w:sz w:val="20"/>
        </w:rPr>
      </w:pPr>
    </w:p>
    <w:p w14:paraId="0E000000">
      <w:pPr>
        <w:widowControl w:val="0"/>
        <w:tabs>
          <w:tab w:leader="none" w:pos="0" w:val="left"/>
        </w:tabs>
        <w:ind w:firstLine="0" w:left="360"/>
        <w:jc w:val="center"/>
        <w:rPr>
          <w:b w:val="1"/>
          <w:sz w:val="20"/>
        </w:rPr>
      </w:pPr>
      <w:r>
        <w:rPr>
          <w:b w:val="1"/>
          <w:sz w:val="20"/>
        </w:rPr>
        <w:t xml:space="preserve">2. </w:t>
      </w:r>
      <w:r>
        <w:rPr>
          <w:b w:val="1"/>
          <w:sz w:val="20"/>
        </w:rPr>
        <w:t>Предмет контракта</w:t>
      </w:r>
    </w:p>
    <w:p w14:paraId="0F000000">
      <w:pPr>
        <w:widowControl w:val="0"/>
        <w:ind w:firstLine="709" w:left="0"/>
        <w:jc w:val="both"/>
        <w:rPr>
          <w:sz w:val="20"/>
        </w:rPr>
      </w:pPr>
      <w:r>
        <w:rPr>
          <w:sz w:val="20"/>
        </w:rPr>
        <w:t xml:space="preserve">2.1. Заказчик поручает, а Исполнитель обязуется на условиях, установленных настоящим Контрактом, в соответствии с Техническим заданием, являющимся неотъемлемой частью Контракта (Приложение № 1) произвести своими силами и материально-техническими средствами </w:t>
      </w:r>
      <w:r>
        <w:rPr>
          <w:sz w:val="20"/>
        </w:rPr>
        <w:t xml:space="preserve">выполнение работ по изготовлению технических планов, технических заключений, актов обследования на объекты недвижимости, являющиеся имуществом государственной казны Российской Федерации </w:t>
      </w:r>
      <w:r>
        <w:rPr>
          <w:sz w:val="20"/>
        </w:rPr>
        <w:t>(далее – работы)</w:t>
      </w:r>
      <w:r>
        <w:rPr>
          <w:spacing w:val="1"/>
          <w:sz w:val="20"/>
        </w:rPr>
        <w:t>.</w:t>
      </w:r>
    </w:p>
    <w:p w14:paraId="10000000">
      <w:pPr>
        <w:widowControl w:val="0"/>
        <w:ind w:firstLine="720" w:left="0"/>
        <w:jc w:val="both"/>
        <w:rPr>
          <w:sz w:val="20"/>
        </w:rPr>
      </w:pPr>
      <w:r>
        <w:rPr>
          <w:sz w:val="20"/>
        </w:rPr>
        <w:t>2.3. Перечень и сведения об объектах недвижимости, виды работ, требования к качеству и другие исходные данные установлены в Техническом задании (Приложение № 1).</w:t>
      </w:r>
    </w:p>
    <w:p w14:paraId="11000000">
      <w:pPr>
        <w:widowControl w:val="0"/>
        <w:ind w:firstLine="720" w:left="0"/>
        <w:jc w:val="both"/>
        <w:rPr>
          <w:sz w:val="20"/>
        </w:rPr>
      </w:pPr>
    </w:p>
    <w:p w14:paraId="12000000">
      <w:pPr>
        <w:widowControl w:val="0"/>
        <w:ind w:hanging="1695" w:left="1695"/>
        <w:jc w:val="center"/>
        <w:rPr>
          <w:b w:val="1"/>
          <w:spacing w:val="-2"/>
          <w:sz w:val="20"/>
        </w:rPr>
      </w:pPr>
      <w:r>
        <w:rPr>
          <w:b w:val="1"/>
          <w:spacing w:val="-2"/>
          <w:sz w:val="20"/>
        </w:rPr>
        <w:t>3. Права и обязанности сторон</w:t>
      </w:r>
    </w:p>
    <w:p w14:paraId="13000000">
      <w:pPr>
        <w:widowControl w:val="0"/>
        <w:ind w:firstLine="720" w:left="0"/>
        <w:jc w:val="both"/>
        <w:rPr>
          <w:b w:val="1"/>
          <w:sz w:val="20"/>
        </w:rPr>
      </w:pPr>
      <w:r>
        <w:rPr>
          <w:b w:val="1"/>
          <w:sz w:val="20"/>
        </w:rPr>
        <w:t>3.1. Права Заказчика:</w:t>
      </w:r>
    </w:p>
    <w:p w14:paraId="14000000">
      <w:pPr>
        <w:widowControl w:val="0"/>
        <w:ind w:firstLine="720" w:left="0"/>
        <w:jc w:val="both"/>
        <w:rPr>
          <w:sz w:val="20"/>
        </w:rPr>
      </w:pPr>
      <w:r>
        <w:rPr>
          <w:sz w:val="20"/>
        </w:rPr>
        <w:t>3.1.1. Запрашивать у Исполнителя информацию о ходе исполнения условий настоящего Контракта.</w:t>
      </w:r>
    </w:p>
    <w:p w14:paraId="15000000">
      <w:pPr>
        <w:widowControl w:val="0"/>
        <w:ind w:firstLine="720" w:left="0"/>
        <w:jc w:val="both"/>
        <w:rPr>
          <w:sz w:val="20"/>
        </w:rPr>
      </w:pPr>
      <w:r>
        <w:rPr>
          <w:sz w:val="20"/>
        </w:rPr>
        <w:t>3.1.2. Требовать от Исполнителя надлежащего исполнения обязательств в соответствии с настоящим Контрактом, а также требовать своевременного устранения выявленных недостатков.</w:t>
      </w:r>
    </w:p>
    <w:p w14:paraId="16000000">
      <w:pPr>
        <w:widowControl w:val="0"/>
        <w:ind w:firstLine="720" w:left="0"/>
        <w:jc w:val="both"/>
        <w:rPr>
          <w:sz w:val="20"/>
        </w:rPr>
      </w:pPr>
      <w:r>
        <w:rPr>
          <w:sz w:val="20"/>
        </w:rPr>
        <w:t xml:space="preserve">3.1.3. Проверять ход и качество оказываемых Исполнителем </w:t>
      </w:r>
      <w:r>
        <w:rPr>
          <w:sz w:val="20"/>
        </w:rPr>
        <w:t>работ</w:t>
      </w:r>
      <w:r>
        <w:rPr>
          <w:sz w:val="20"/>
        </w:rPr>
        <w:t xml:space="preserve">, не вмешиваясь в его деятельность. </w:t>
      </w:r>
    </w:p>
    <w:p w14:paraId="17000000">
      <w:pPr>
        <w:widowControl w:val="0"/>
        <w:ind w:firstLine="720" w:left="0"/>
        <w:jc w:val="both"/>
        <w:rPr>
          <w:sz w:val="20"/>
        </w:rPr>
      </w:pPr>
      <w:r>
        <w:rPr>
          <w:sz w:val="20"/>
        </w:rPr>
        <w:t>3.1.4. Заказчик вправе, письменно уведомив Исполнителя, приостановить все платежи по настоящему Контракту, если Исполнитель не выполняет своих обязательств (или части обязательств) по Контракту, при условии, что такое уведомление о приостановлении платежей определяет характер невыполнения обязательств и содержит требование того, чтобы Исполнитель исправил положение в течение периода времени, не превышающего 10 (десяти) рабочих дней после получения Исполнителем такого уведомления</w:t>
      </w:r>
      <w:r>
        <w:rPr>
          <w:sz w:val="20"/>
        </w:rPr>
        <w:t xml:space="preserve">. </w:t>
      </w:r>
    </w:p>
    <w:p w14:paraId="18000000">
      <w:pPr>
        <w:widowControl w:val="0"/>
        <w:ind w:firstLine="720" w:left="0"/>
        <w:jc w:val="both"/>
        <w:rPr>
          <w:sz w:val="20"/>
        </w:rPr>
      </w:pPr>
      <w:r>
        <w:rPr>
          <w:sz w:val="20"/>
        </w:rPr>
        <w:t>3.1.5. Давать Исполнителю обязательные для исполнения письменные указания по вопросам устранения нарушений положений настоящего Контракта.</w:t>
      </w:r>
    </w:p>
    <w:p w14:paraId="19000000">
      <w:pPr>
        <w:widowControl w:val="0"/>
        <w:ind w:firstLine="720" w:left="0"/>
        <w:jc w:val="both"/>
        <w:rPr>
          <w:b w:val="1"/>
          <w:sz w:val="20"/>
        </w:rPr>
      </w:pPr>
      <w:r>
        <w:rPr>
          <w:b w:val="1"/>
          <w:sz w:val="20"/>
        </w:rPr>
        <w:t>3.2. Обязанности Заказчика:</w:t>
      </w:r>
    </w:p>
    <w:p w14:paraId="1A000000">
      <w:pPr>
        <w:widowControl w:val="0"/>
        <w:ind w:firstLine="720" w:left="0"/>
        <w:jc w:val="both"/>
        <w:rPr>
          <w:sz w:val="20"/>
        </w:rPr>
      </w:pPr>
      <w:r>
        <w:rPr>
          <w:sz w:val="20"/>
        </w:rPr>
        <w:t>3.2.1. </w:t>
      </w:r>
      <w:r>
        <w:rPr>
          <w:sz w:val="20"/>
        </w:rPr>
        <w:t xml:space="preserve">Обеспечить Исполнителя информацией, необходимой для выполнения работ, путем передачи в течение 3 (трёх) рабочих дней с даты заключения Контракта выписок из реестра федерального имущества на </w:t>
      </w:r>
      <w:r>
        <w:rPr>
          <w:sz w:val="20"/>
        </w:rPr>
        <w:t>объекты недвижимости, являющиеся имуществом государственной казны Российской Федерации</w:t>
      </w:r>
      <w:r>
        <w:rPr>
          <w:sz w:val="20"/>
        </w:rPr>
        <w:t>, учтенные в реестре федерального имущества</w:t>
      </w:r>
      <w:r>
        <w:rPr>
          <w:sz w:val="20"/>
        </w:rPr>
        <w:t>.</w:t>
      </w:r>
    </w:p>
    <w:p w14:paraId="1B000000">
      <w:pPr>
        <w:widowControl w:val="0"/>
        <w:ind w:firstLine="720" w:left="0"/>
        <w:jc w:val="both"/>
        <w:rPr>
          <w:sz w:val="20"/>
        </w:rPr>
      </w:pPr>
      <w:r>
        <w:rPr>
          <w:sz w:val="20"/>
        </w:rPr>
        <w:t xml:space="preserve">3.2.2. </w:t>
      </w:r>
      <w:r>
        <w:rPr>
          <w:sz w:val="20"/>
        </w:rPr>
        <w:t>Принять услуги в соответствии с разделом 6 настоящего Контракта, в случае отсутствия претензий относительно их объема, качества и соблюдения сроков их оказания.</w:t>
      </w:r>
    </w:p>
    <w:p w14:paraId="1C000000">
      <w:pPr>
        <w:widowControl w:val="0"/>
        <w:ind w:firstLine="720" w:left="0"/>
        <w:jc w:val="both"/>
        <w:rPr>
          <w:sz w:val="20"/>
        </w:rPr>
      </w:pPr>
      <w:r>
        <w:rPr>
          <w:sz w:val="20"/>
        </w:rPr>
        <w:t xml:space="preserve">3.2.3. Осуществлять оплату оказываемых Исполнителем </w:t>
      </w:r>
      <w:r>
        <w:rPr>
          <w:sz w:val="20"/>
        </w:rPr>
        <w:t>работ</w:t>
      </w:r>
      <w:r>
        <w:rPr>
          <w:sz w:val="20"/>
        </w:rPr>
        <w:t xml:space="preserve"> в пределах суммы, предусмотренной разделом 4 настоящего Контракта, и в порядке, установленном </w:t>
      </w:r>
      <w:r>
        <w:rPr>
          <w:sz w:val="20"/>
        </w:rPr>
        <w:t>разделом 5 настоящего Контракта.</w:t>
      </w:r>
      <w:r>
        <w:rPr>
          <w:sz w:val="20"/>
        </w:rPr>
        <w:t xml:space="preserve"> </w:t>
      </w:r>
    </w:p>
    <w:p w14:paraId="1D000000">
      <w:pPr>
        <w:widowControl w:val="0"/>
        <w:ind w:firstLine="720" w:left="0"/>
        <w:jc w:val="both"/>
        <w:rPr>
          <w:b w:val="1"/>
          <w:sz w:val="20"/>
        </w:rPr>
      </w:pPr>
      <w:r>
        <w:rPr>
          <w:b w:val="1"/>
          <w:sz w:val="20"/>
        </w:rPr>
        <w:t>3.3. Права Исполнителя:</w:t>
      </w:r>
    </w:p>
    <w:p w14:paraId="1E000000">
      <w:pPr>
        <w:widowControl w:val="0"/>
        <w:ind w:firstLine="720" w:left="0"/>
        <w:jc w:val="both"/>
        <w:rPr>
          <w:sz w:val="20"/>
        </w:rPr>
      </w:pPr>
      <w:r>
        <w:rPr>
          <w:sz w:val="20"/>
        </w:rPr>
        <w:t xml:space="preserve">3.3.1. Определять способы оказания </w:t>
      </w:r>
      <w:r>
        <w:rPr>
          <w:sz w:val="20"/>
        </w:rPr>
        <w:t>работ</w:t>
      </w:r>
      <w:r>
        <w:rPr>
          <w:sz w:val="20"/>
        </w:rPr>
        <w:t xml:space="preserve"> по Контракту.</w:t>
      </w:r>
    </w:p>
    <w:p w14:paraId="1F000000">
      <w:pPr>
        <w:widowControl w:val="0"/>
        <w:ind w:firstLine="720" w:left="0"/>
        <w:jc w:val="both"/>
        <w:rPr>
          <w:sz w:val="20"/>
        </w:rPr>
      </w:pPr>
      <w:r>
        <w:rPr>
          <w:sz w:val="20"/>
        </w:rPr>
        <w:t xml:space="preserve">3.3.2. </w:t>
      </w:r>
      <w:r>
        <w:rPr>
          <w:sz w:val="20"/>
        </w:rPr>
        <w:t xml:space="preserve">Получать от Заказчика разъяснения и уточнения, необходимые для проведения работ </w:t>
      </w:r>
      <w:r>
        <w:rPr>
          <w:sz w:val="20"/>
        </w:rPr>
        <w:t>в рамках настоящего Контракта</w:t>
      </w:r>
      <w:r>
        <w:rPr>
          <w:sz w:val="20"/>
        </w:rPr>
        <w:t>.</w:t>
      </w:r>
    </w:p>
    <w:p w14:paraId="20000000">
      <w:pPr>
        <w:widowControl w:val="0"/>
        <w:ind w:firstLine="720" w:left="0"/>
        <w:jc w:val="both"/>
        <w:rPr>
          <w:sz w:val="20"/>
        </w:rPr>
      </w:pPr>
      <w:r>
        <w:rPr>
          <w:sz w:val="20"/>
        </w:rPr>
        <w:t>3.3.3</w:t>
      </w:r>
      <w:r>
        <w:rPr>
          <w:sz w:val="20"/>
        </w:rPr>
        <w:t xml:space="preserve">. Требовать оплаты оказанных Заказчику </w:t>
      </w:r>
      <w:r>
        <w:rPr>
          <w:sz w:val="20"/>
        </w:rPr>
        <w:t>работ</w:t>
      </w:r>
      <w:r>
        <w:rPr>
          <w:sz w:val="20"/>
        </w:rPr>
        <w:t xml:space="preserve"> в пределах суммы, предусмотренной разделом 4 настоящего Контракта, и в порядке, установленном разделом 5 настоящего Контракта.</w:t>
      </w:r>
    </w:p>
    <w:p w14:paraId="21000000">
      <w:pPr>
        <w:widowControl w:val="0"/>
        <w:ind w:firstLine="720" w:left="0"/>
        <w:jc w:val="both"/>
        <w:rPr>
          <w:sz w:val="20"/>
        </w:rPr>
      </w:pPr>
      <w:r>
        <w:rPr>
          <w:sz w:val="20"/>
        </w:rPr>
        <w:t xml:space="preserve">3.3.4. </w:t>
      </w:r>
      <w:r>
        <w:rPr>
          <w:sz w:val="20"/>
        </w:rPr>
        <w:t>Досрочно исполнить обязательства по настоящему Контракту</w:t>
      </w:r>
    </w:p>
    <w:p w14:paraId="22000000">
      <w:pPr>
        <w:widowControl w:val="0"/>
        <w:ind w:firstLine="720" w:left="0"/>
        <w:jc w:val="both"/>
        <w:rPr>
          <w:b w:val="1"/>
          <w:sz w:val="20"/>
        </w:rPr>
      </w:pPr>
      <w:r>
        <w:rPr>
          <w:b w:val="1"/>
          <w:sz w:val="20"/>
        </w:rPr>
        <w:t>3.4. Обязанности Исполнителя:</w:t>
      </w:r>
    </w:p>
    <w:p w14:paraId="23000000">
      <w:pPr>
        <w:widowControl w:val="0"/>
        <w:ind w:firstLine="720" w:left="0"/>
        <w:jc w:val="both"/>
        <w:rPr>
          <w:sz w:val="20"/>
        </w:rPr>
      </w:pPr>
      <w:r>
        <w:rPr>
          <w:sz w:val="20"/>
        </w:rPr>
        <w:t>3.4.1. Осуществлять действия в соответствии с условиями настоящего Контракта, требованиями законодательства Российской Федерации, а также письменными указаниями Заказчика.</w:t>
      </w:r>
    </w:p>
    <w:p w14:paraId="24000000">
      <w:pPr>
        <w:widowControl w:val="0"/>
        <w:ind w:firstLine="720" w:left="0"/>
        <w:jc w:val="both"/>
        <w:rPr>
          <w:sz w:val="20"/>
        </w:rPr>
      </w:pPr>
      <w:r>
        <w:rPr>
          <w:sz w:val="20"/>
        </w:rPr>
        <w:t xml:space="preserve">3.4.2. Соблюдать конфиденциальность в работе с Заказчиком, не разглашать информацию, ставшую известной в процессе оказания </w:t>
      </w:r>
      <w:r>
        <w:rPr>
          <w:sz w:val="20"/>
        </w:rPr>
        <w:t>работ</w:t>
      </w:r>
      <w:r>
        <w:rPr>
          <w:sz w:val="20"/>
        </w:rPr>
        <w:t xml:space="preserve"> в соответствии с настоящим Контрактом.</w:t>
      </w:r>
      <w:r>
        <w:rPr>
          <w:sz w:val="20"/>
        </w:rPr>
        <w:t xml:space="preserve"> </w:t>
      </w:r>
    </w:p>
    <w:p w14:paraId="25000000">
      <w:pPr>
        <w:widowControl w:val="0"/>
        <w:ind w:firstLine="720" w:left="0"/>
        <w:jc w:val="both"/>
        <w:rPr>
          <w:spacing w:val="1"/>
          <w:sz w:val="20"/>
        </w:rPr>
      </w:pPr>
      <w:r>
        <w:rPr>
          <w:sz w:val="20"/>
        </w:rPr>
        <w:t>3.4.3</w:t>
      </w:r>
      <w:r>
        <w:rPr>
          <w:sz w:val="20"/>
        </w:rPr>
        <w:t>.</w:t>
      </w:r>
      <w:r>
        <w:rPr>
          <w:sz w:val="20"/>
        </w:rPr>
        <w:t xml:space="preserve"> </w:t>
      </w:r>
      <w:r>
        <w:rPr>
          <w:sz w:val="20"/>
        </w:rPr>
        <w:t xml:space="preserve">В установленный настоящим Контрактом срок надлежащим образом выполнить работы по </w:t>
      </w:r>
      <w:r>
        <w:rPr>
          <w:spacing w:val="1"/>
          <w:sz w:val="20"/>
        </w:rPr>
        <w:t>изготовлению технических планов на объекты недвижимости, являющиеся имуществом государственной казны Российской Федерации</w:t>
      </w:r>
      <w:r>
        <w:rPr>
          <w:spacing w:val="1"/>
          <w:sz w:val="20"/>
        </w:rPr>
        <w:t>.</w:t>
      </w:r>
    </w:p>
    <w:p w14:paraId="26000000">
      <w:pPr>
        <w:widowControl w:val="0"/>
        <w:ind w:firstLine="720" w:left="0"/>
        <w:jc w:val="both"/>
        <w:rPr>
          <w:sz w:val="20"/>
        </w:rPr>
      </w:pPr>
      <w:r>
        <w:rPr>
          <w:sz w:val="20"/>
        </w:rPr>
        <w:t>3.4.</w:t>
      </w:r>
      <w:r>
        <w:rPr>
          <w:sz w:val="20"/>
        </w:rPr>
        <w:t>4</w:t>
      </w:r>
      <w:r>
        <w:rPr>
          <w:sz w:val="20"/>
        </w:rPr>
        <w:t>. </w:t>
      </w:r>
      <w:r>
        <w:rPr>
          <w:spacing w:val="1"/>
          <w:sz w:val="20"/>
        </w:rPr>
        <w:t>По результатам выполненных работ в срок установленный настоящим Контрактом предоставить Заказчику технические планы на каждый объект недвижимости в соответствии с Техническим заданием</w:t>
      </w:r>
      <w:r>
        <w:rPr>
          <w:spacing w:val="1"/>
          <w:sz w:val="20"/>
        </w:rPr>
        <w:t>.</w:t>
      </w:r>
    </w:p>
    <w:p w14:paraId="27000000">
      <w:pPr>
        <w:widowControl w:val="0"/>
        <w:ind w:firstLine="720" w:left="0"/>
        <w:jc w:val="both"/>
        <w:rPr>
          <w:sz w:val="20"/>
        </w:rPr>
      </w:pPr>
      <w:r>
        <w:rPr>
          <w:sz w:val="20"/>
        </w:rPr>
        <w:t>3.4.</w:t>
      </w:r>
      <w:r>
        <w:rPr>
          <w:sz w:val="20"/>
        </w:rPr>
        <w:t>5</w:t>
      </w:r>
      <w:r>
        <w:rPr>
          <w:sz w:val="20"/>
        </w:rPr>
        <w:t>. </w:t>
      </w:r>
      <w:r>
        <w:rPr>
          <w:sz w:val="20"/>
        </w:rPr>
        <w:t>Самостоятельно обеспечивать себя средствами и нести все расходы, связанные с выполнением работ по настоящему Контракту</w:t>
      </w:r>
      <w:r>
        <w:rPr>
          <w:sz w:val="20"/>
        </w:rPr>
        <w:t xml:space="preserve"> </w:t>
      </w:r>
    </w:p>
    <w:p w14:paraId="28000000">
      <w:pPr>
        <w:widowControl w:val="0"/>
        <w:ind w:firstLine="720" w:left="0"/>
        <w:jc w:val="both"/>
        <w:rPr>
          <w:sz w:val="20"/>
        </w:rPr>
      </w:pPr>
      <w:r>
        <w:rPr>
          <w:sz w:val="20"/>
        </w:rPr>
        <w:t>3.4.</w:t>
      </w:r>
      <w:r>
        <w:rPr>
          <w:sz w:val="20"/>
        </w:rPr>
        <w:t>6</w:t>
      </w:r>
      <w:r>
        <w:rPr>
          <w:sz w:val="20"/>
        </w:rPr>
        <w:t>. </w:t>
      </w:r>
      <w:r>
        <w:rPr>
          <w:sz w:val="20"/>
        </w:rPr>
        <w:t>В течение 5 (пяти) рабочих дней своими силами и за свой счет устранить допущенные по своей вине недостатки при</w:t>
      </w:r>
      <w:r>
        <w:rPr>
          <w:sz w:val="20"/>
        </w:rPr>
        <w:t xml:space="preserve"> выполнении работ.</w:t>
      </w:r>
    </w:p>
    <w:p w14:paraId="29000000">
      <w:pPr>
        <w:widowControl w:val="0"/>
        <w:ind w:firstLine="709" w:left="0"/>
        <w:jc w:val="both"/>
        <w:rPr>
          <w:sz w:val="20"/>
        </w:rPr>
      </w:pPr>
      <w:r>
        <w:rPr>
          <w:sz w:val="20"/>
        </w:rPr>
        <w:t>3.4.7</w:t>
      </w:r>
      <w:r>
        <w:rPr>
          <w:sz w:val="20"/>
        </w:rPr>
        <w:t>. </w:t>
      </w:r>
      <w:r>
        <w:rPr>
          <w:sz w:val="20"/>
        </w:rPr>
        <w:t>В течение 1 (одного) рабочего дня письменно информировать Заказчика об обстоятельствах, препятствующих выполнению работ в установленные сроки, с приложением фиксирующих причину обстоятельств актов и иных подтверждающих документов.</w:t>
      </w:r>
    </w:p>
    <w:p w14:paraId="2A000000">
      <w:pPr>
        <w:widowControl w:val="0"/>
        <w:ind w:firstLine="709" w:left="0"/>
        <w:jc w:val="both"/>
        <w:rPr>
          <w:sz w:val="20"/>
        </w:rPr>
      </w:pPr>
      <w:r>
        <w:rPr>
          <w:sz w:val="20"/>
        </w:rPr>
        <w:t>3.4.</w:t>
      </w:r>
      <w:r>
        <w:rPr>
          <w:sz w:val="20"/>
        </w:rPr>
        <w:t>8</w:t>
      </w:r>
      <w:r>
        <w:rPr>
          <w:sz w:val="20"/>
        </w:rPr>
        <w:t>.</w:t>
      </w:r>
      <w:r>
        <w:rPr>
          <w:sz w:val="20"/>
        </w:rPr>
        <w:t xml:space="preserve"> </w:t>
      </w:r>
      <w:r>
        <w:rPr>
          <w:sz w:val="20"/>
        </w:rPr>
        <w:t>Письменно информировать Заказчика об указанных ниже обстоятельствах в течение 3 (трех) рабочих дней с даты их возникновения:</w:t>
      </w:r>
    </w:p>
    <w:p w14:paraId="2B000000">
      <w:pPr>
        <w:widowControl w:val="0"/>
        <w:ind w:firstLine="709" w:left="0"/>
        <w:jc w:val="both"/>
        <w:rPr>
          <w:sz w:val="20"/>
        </w:rPr>
      </w:pPr>
      <w:r>
        <w:rPr>
          <w:sz w:val="20"/>
        </w:rPr>
        <w:t>- изменение местонахождения, почтового адреса, банковских или других реквизитов Исполнителя;</w:t>
      </w:r>
    </w:p>
    <w:p w14:paraId="2C000000">
      <w:pPr>
        <w:widowControl w:val="0"/>
        <w:ind w:firstLine="709" w:left="0"/>
        <w:jc w:val="both"/>
        <w:rPr>
          <w:sz w:val="20"/>
        </w:rPr>
      </w:pPr>
      <w:r>
        <w:rPr>
          <w:sz w:val="20"/>
        </w:rPr>
        <w:t>- реорганизация Исполнителя;</w:t>
      </w:r>
    </w:p>
    <w:p w14:paraId="2D000000">
      <w:pPr>
        <w:widowControl w:val="0"/>
        <w:ind w:firstLine="709" w:left="0"/>
        <w:jc w:val="both"/>
        <w:rPr>
          <w:sz w:val="20"/>
        </w:rPr>
      </w:pPr>
      <w:r>
        <w:rPr>
          <w:sz w:val="20"/>
        </w:rPr>
        <w:t>- смена руководителя Исполнителя;</w:t>
      </w:r>
    </w:p>
    <w:p w14:paraId="2E000000">
      <w:pPr>
        <w:widowControl w:val="0"/>
        <w:ind w:firstLine="709" w:left="0"/>
        <w:jc w:val="both"/>
        <w:rPr>
          <w:sz w:val="20"/>
        </w:rPr>
      </w:pPr>
      <w:r>
        <w:rPr>
          <w:sz w:val="20"/>
        </w:rPr>
        <w:t>- возбуждение (начало) в отношении Исполнителя процедуры банкротства или ликвидации;</w:t>
      </w:r>
    </w:p>
    <w:p w14:paraId="2F000000">
      <w:pPr>
        <w:widowControl w:val="0"/>
        <w:ind w:firstLine="709" w:left="0"/>
        <w:jc w:val="both"/>
        <w:rPr>
          <w:sz w:val="20"/>
        </w:rPr>
      </w:pPr>
      <w:r>
        <w:rPr>
          <w:sz w:val="20"/>
        </w:rPr>
        <w:t>- изменение состава учредителей (участников, акционеров), доверенных лиц Исполнителя и внесение изменений и дополнений в его учредительные документы;</w:t>
      </w:r>
    </w:p>
    <w:p w14:paraId="30000000">
      <w:pPr>
        <w:widowControl w:val="0"/>
        <w:ind w:firstLine="709" w:left="0"/>
        <w:jc w:val="both"/>
        <w:rPr>
          <w:sz w:val="20"/>
        </w:rPr>
      </w:pPr>
      <w:r>
        <w:rPr>
          <w:sz w:val="20"/>
        </w:rPr>
        <w:t>- обстоятельства, препятствующие надлежащему исполнению условий настоящего Контракта.</w:t>
      </w:r>
    </w:p>
    <w:p w14:paraId="31000000">
      <w:pPr>
        <w:widowControl w:val="0"/>
        <w:ind w:firstLine="709" w:left="0"/>
        <w:jc w:val="both"/>
        <w:rPr>
          <w:sz w:val="20"/>
        </w:rPr>
      </w:pPr>
      <w:r>
        <w:rPr>
          <w:sz w:val="20"/>
        </w:rPr>
        <w:t>3.4.</w:t>
      </w:r>
      <w:r>
        <w:rPr>
          <w:sz w:val="20"/>
        </w:rPr>
        <w:t>9</w:t>
      </w:r>
      <w:r>
        <w:rPr>
          <w:sz w:val="20"/>
        </w:rPr>
        <w:t>. Предупреждать Заказчика о вероятных событиях или обстоятельствах в будущем, которые могут негативно повлиять на качество</w:t>
      </w:r>
      <w:r>
        <w:rPr>
          <w:sz w:val="20"/>
        </w:rPr>
        <w:t xml:space="preserve"> </w:t>
      </w:r>
      <w:r>
        <w:rPr>
          <w:sz w:val="20"/>
        </w:rPr>
        <w:t>работ</w:t>
      </w:r>
      <w:r>
        <w:rPr>
          <w:sz w:val="20"/>
        </w:rPr>
        <w:t>.</w:t>
      </w:r>
      <w:r>
        <w:rPr>
          <w:sz w:val="20"/>
        </w:rPr>
        <w:t xml:space="preserve"> </w:t>
      </w:r>
    </w:p>
    <w:p w14:paraId="32000000">
      <w:pPr>
        <w:widowControl w:val="0"/>
        <w:ind w:firstLine="709" w:left="0"/>
        <w:jc w:val="both"/>
        <w:rPr>
          <w:sz w:val="20"/>
        </w:rPr>
      </w:pPr>
      <w:r>
        <w:rPr>
          <w:sz w:val="20"/>
        </w:rPr>
        <w:t>3.4.</w:t>
      </w:r>
      <w:r>
        <w:rPr>
          <w:sz w:val="20"/>
        </w:rPr>
        <w:t>10</w:t>
      </w:r>
      <w:r>
        <w:rPr>
          <w:sz w:val="20"/>
        </w:rPr>
        <w:t xml:space="preserve">. Своими силами и за свой счет устранить допущенные по своей вине недостатки оказанных </w:t>
      </w:r>
      <w:r>
        <w:rPr>
          <w:sz w:val="20"/>
        </w:rPr>
        <w:t>работ</w:t>
      </w:r>
      <w:r>
        <w:rPr>
          <w:sz w:val="20"/>
        </w:rPr>
        <w:t>.</w:t>
      </w:r>
      <w:r>
        <w:rPr>
          <w:sz w:val="20"/>
        </w:rPr>
        <w:t xml:space="preserve"> </w:t>
      </w:r>
    </w:p>
    <w:p w14:paraId="33000000">
      <w:pPr>
        <w:widowControl w:val="0"/>
        <w:ind w:firstLine="709" w:left="0"/>
        <w:jc w:val="both"/>
        <w:rPr>
          <w:sz w:val="20"/>
        </w:rPr>
      </w:pPr>
      <w:r>
        <w:rPr>
          <w:sz w:val="20"/>
        </w:rPr>
        <w:t>3.4.11</w:t>
      </w:r>
      <w:r>
        <w:rPr>
          <w:sz w:val="20"/>
        </w:rPr>
        <w:t xml:space="preserve">. Оказывать </w:t>
      </w:r>
      <w:r>
        <w:rPr>
          <w:sz w:val="20"/>
        </w:rPr>
        <w:t>работы</w:t>
      </w:r>
      <w:r>
        <w:rPr>
          <w:sz w:val="20"/>
        </w:rPr>
        <w:t xml:space="preserve"> и выполнять свои обязанности по настоящему Контракту эффективно и на высоком профессиональном уровне, а также применять передовые технологии и безопасные и эффективные оборудование, технику, материалы и методы. </w:t>
      </w:r>
    </w:p>
    <w:p w14:paraId="34000000">
      <w:pPr>
        <w:widowControl w:val="0"/>
        <w:ind w:firstLine="709" w:left="0"/>
        <w:jc w:val="both"/>
        <w:rPr>
          <w:sz w:val="20"/>
        </w:rPr>
      </w:pPr>
      <w:r>
        <w:rPr>
          <w:sz w:val="20"/>
        </w:rPr>
        <w:t>В отношении любого вопроса, связанного с настоящим Контрактом, Исполнитель должен оказывать всяческое содействие Заказчику и соблюдать его законные интересы.</w:t>
      </w:r>
    </w:p>
    <w:p w14:paraId="35000000">
      <w:pPr>
        <w:widowControl w:val="0"/>
        <w:ind w:firstLine="720" w:left="0"/>
        <w:jc w:val="both"/>
        <w:rPr>
          <w:b w:val="1"/>
          <w:sz w:val="20"/>
        </w:rPr>
      </w:pPr>
      <w:r>
        <w:rPr>
          <w:b w:val="1"/>
          <w:sz w:val="20"/>
        </w:rPr>
        <w:t>3.5. Обязанности Сторон:</w:t>
      </w:r>
    </w:p>
    <w:p w14:paraId="36000000">
      <w:pPr>
        <w:widowControl w:val="0"/>
        <w:ind w:firstLine="720" w:left="0"/>
        <w:jc w:val="both"/>
        <w:rPr>
          <w:sz w:val="20"/>
        </w:rPr>
      </w:pPr>
      <w:r>
        <w:rPr>
          <w:sz w:val="20"/>
        </w:rPr>
        <w:t>3.5.1. В течение срока действия Контракта и в течение трех лет после его окончания каждая Сторона не должна раскрывать никакой информации, за исключением информации, предусмотренной законодательством о размещении заказов, перед третьими лицами, имеющей конфиденциальный характер, которая стала известна Сторонам в связи с выполнением настоящего Контракта, без предварительного письменного согласия другой Стороны.</w:t>
      </w:r>
    </w:p>
    <w:p w14:paraId="37000000">
      <w:pPr>
        <w:widowControl w:val="0"/>
        <w:ind w:firstLine="720" w:left="0"/>
        <w:jc w:val="both"/>
        <w:rPr>
          <w:sz w:val="20"/>
        </w:rPr>
      </w:pPr>
      <w:r>
        <w:rPr>
          <w:sz w:val="20"/>
        </w:rPr>
        <w:t xml:space="preserve">3.5.2. Права и обязанности по настоящему Контракту возникают у Сторон Контракта при условии доведения до Заказчика, как получателя бюджетных средств, бюджетных ассигнований и лимитов бюджетных обязательств по соответствующим кодам бюджетной классификации, позволяющих принять по настоящему Контракту денежные обязательства, подлежащие оплате за счет средств федерального бюджета. Необходимый объем бюджетных ассигнований и лимитов бюджетных обязательств для оплаты денежных обязательств, возникающих по настоящему Контракту, определяется Заказчиком с учетом приоритета обязательств, принятых по ранее заключенным контрактам на закупки одноименных </w:t>
      </w:r>
      <w:r>
        <w:rPr>
          <w:sz w:val="20"/>
        </w:rPr>
        <w:t>работы</w:t>
      </w:r>
      <w:r>
        <w:rPr>
          <w:sz w:val="20"/>
        </w:rPr>
        <w:t>.</w:t>
      </w:r>
    </w:p>
    <w:p w14:paraId="38000000">
      <w:pPr>
        <w:widowControl w:val="0"/>
        <w:ind w:firstLine="720" w:left="0"/>
        <w:jc w:val="both"/>
        <w:rPr>
          <w:sz w:val="20"/>
        </w:rPr>
      </w:pPr>
    </w:p>
    <w:p w14:paraId="39000000">
      <w:pPr>
        <w:widowControl w:val="0"/>
        <w:ind w:firstLine="0" w:left="720"/>
        <w:jc w:val="center"/>
        <w:rPr>
          <w:b w:val="1"/>
          <w:sz w:val="20"/>
        </w:rPr>
      </w:pPr>
      <w:r>
        <w:rPr>
          <w:b w:val="1"/>
          <w:sz w:val="20"/>
        </w:rPr>
        <w:t>4. Цена контракта</w:t>
      </w:r>
    </w:p>
    <w:p w14:paraId="3A000000">
      <w:pPr>
        <w:widowControl w:val="0"/>
        <w:tabs>
          <w:tab w:leader="none" w:pos="709" w:val="left"/>
          <w:tab w:leader="none" w:pos="851" w:val="left"/>
        </w:tabs>
        <w:ind/>
        <w:jc w:val="both"/>
        <w:rPr>
          <w:spacing w:val="-2"/>
          <w:sz w:val="20"/>
        </w:rPr>
      </w:pPr>
      <w:r>
        <w:rPr>
          <w:sz w:val="20"/>
        </w:rPr>
        <w:tab/>
      </w:r>
      <w:r>
        <w:rPr>
          <w:sz w:val="20"/>
        </w:rPr>
        <w:t>4.1. </w:t>
      </w:r>
      <w:r>
        <w:rPr>
          <w:sz w:val="20"/>
        </w:rPr>
        <w:t xml:space="preserve">Цена настоящего Контракта составляет </w:t>
      </w:r>
      <w:r>
        <w:rPr>
          <w:sz w:val="20"/>
          <w:shd w:fill="FFD821" w:val="clear"/>
        </w:rPr>
        <w:t>__________</w:t>
      </w:r>
      <w:r>
        <w:rPr>
          <w:sz w:val="20"/>
        </w:rPr>
        <w:t xml:space="preserve"> </w:t>
      </w:r>
      <w:r>
        <w:rPr>
          <w:sz w:val="20"/>
          <w:shd w:fill="FFD821" w:val="clear"/>
        </w:rPr>
        <w:t>(___________)</w:t>
      </w:r>
      <w:r>
        <w:rPr>
          <w:sz w:val="20"/>
        </w:rPr>
        <w:t xml:space="preserve"> </w:t>
      </w:r>
      <w:r>
        <w:rPr>
          <w:sz w:val="20"/>
        </w:rPr>
        <w:t xml:space="preserve">рублей </w:t>
      </w:r>
      <w:r>
        <w:rPr>
          <w:sz w:val="20"/>
          <w:shd w:fill="FFD821" w:val="clear"/>
        </w:rPr>
        <w:t>____</w:t>
      </w:r>
      <w:r>
        <w:rPr>
          <w:sz w:val="20"/>
        </w:rPr>
        <w:t xml:space="preserve"> коп., </w:t>
      </w:r>
      <w:r>
        <w:rPr>
          <w:sz w:val="20"/>
          <w:shd w:fill="FFD821" w:val="clear"/>
        </w:rPr>
        <w:t xml:space="preserve">с учетом НДС / </w:t>
      </w:r>
      <w:r>
        <w:rPr>
          <w:i w:val="0"/>
          <w:sz w:val="20"/>
          <w:shd w:fill="FFD821" w:val="clear"/>
        </w:rPr>
        <w:t>НДС не облаг</w:t>
      </w:r>
      <w:r>
        <w:rPr>
          <w:i w:val="0"/>
          <w:sz w:val="20"/>
          <w:shd w:fill="FFD821" w:val="clear"/>
        </w:rPr>
        <w:t>ается</w:t>
      </w:r>
      <w:r>
        <w:rPr>
          <w:i w:val="0"/>
          <w:sz w:val="20"/>
          <w:shd w:fill="FFD821" w:val="clear"/>
        </w:rPr>
        <w:t>,</w:t>
      </w:r>
      <w:r>
        <w:rPr>
          <w:i w:val="1"/>
          <w:sz w:val="20"/>
        </w:rPr>
        <w:t xml:space="preserve"> </w:t>
      </w:r>
      <w:r>
        <w:rPr>
          <w:sz w:val="20"/>
        </w:rPr>
        <w:t>и является пред</w:t>
      </w:r>
      <w:r>
        <w:rPr>
          <w:sz w:val="20"/>
        </w:rPr>
        <w:t xml:space="preserve">ельной суммой, которую может оплатить Заказчик за фактически оказанные </w:t>
      </w:r>
      <w:r>
        <w:rPr>
          <w:sz w:val="20"/>
        </w:rPr>
        <w:t>работы</w:t>
      </w:r>
      <w:r>
        <w:rPr>
          <w:spacing w:val="-2"/>
          <w:sz w:val="20"/>
        </w:rPr>
        <w:t xml:space="preserve"> и по объектам:</w:t>
      </w:r>
    </w:p>
    <w:tbl>
      <w:tblPr>
        <w:tblStyle w:val="Style_1"/>
        <w:tblW w:type="auto" w:w="0"/>
        <w:jc w:val="right"/>
        <w:tblInd w:type="dxa"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567"/>
        <w:gridCol w:w="4333"/>
        <w:gridCol w:w="1039"/>
        <w:gridCol w:w="1515"/>
        <w:gridCol w:w="1378"/>
        <w:gridCol w:w="1232"/>
      </w:tblGrid>
      <w:tr>
        <w:trPr>
          <w:trHeight w:hRule="atLeast" w:val="266"/>
        </w:trPr>
        <w:tc>
          <w:tcPr>
            <w:tcW w:type="dxa" w:w="567"/>
            <w:tcBorders>
              <w:top w:color="000000" w:sz="4" w:val="single"/>
              <w:left w:color="000000" w:sz="4" w:val="single"/>
              <w:bottom w:color="000000" w:sz="4" w:val="single"/>
              <w:right w:color="000000" w:sz="4" w:val="single"/>
            </w:tcBorders>
          </w:tcPr>
          <w:p w14:paraId="3B000000">
            <w:pPr>
              <w:widowControl w:val="0"/>
              <w:ind/>
              <w:jc w:val="center"/>
              <w:rPr>
                <w:sz w:val="20"/>
              </w:rPr>
            </w:pPr>
            <w:r>
              <w:rPr>
                <w:sz w:val="20"/>
              </w:rPr>
              <w:t xml:space="preserve">№ </w:t>
            </w:r>
          </w:p>
          <w:p w14:paraId="3C000000">
            <w:pPr>
              <w:widowControl w:val="0"/>
              <w:ind/>
              <w:jc w:val="center"/>
              <w:rPr>
                <w:sz w:val="20"/>
              </w:rPr>
            </w:pPr>
            <w:r>
              <w:rPr>
                <w:sz w:val="20"/>
              </w:rPr>
              <w:t>п/п</w:t>
            </w:r>
          </w:p>
        </w:tc>
        <w:tc>
          <w:tcPr>
            <w:tcW w:type="dxa" w:w="4333"/>
            <w:tcBorders>
              <w:top w:color="000000" w:sz="4" w:val="single"/>
              <w:left w:color="000000" w:sz="4" w:val="single"/>
              <w:bottom w:color="000000" w:sz="4" w:val="single"/>
              <w:right w:color="000000" w:sz="4" w:val="single"/>
            </w:tcBorders>
            <w:vAlign w:val="center"/>
          </w:tcPr>
          <w:p w14:paraId="3D000000">
            <w:pPr>
              <w:widowControl w:val="0"/>
              <w:ind/>
              <w:jc w:val="center"/>
              <w:rPr>
                <w:sz w:val="20"/>
              </w:rPr>
            </w:pPr>
            <w:r>
              <w:rPr>
                <w:sz w:val="20"/>
              </w:rPr>
              <w:t>Наименование объекта закупки</w:t>
            </w:r>
          </w:p>
        </w:tc>
        <w:tc>
          <w:tcPr>
            <w:tcW w:type="dxa" w:w="1039"/>
            <w:tcBorders>
              <w:top w:color="000000" w:sz="4" w:val="single"/>
              <w:left w:color="000000" w:sz="4" w:val="single"/>
              <w:bottom w:color="000000" w:sz="4" w:val="single"/>
              <w:right w:color="000000" w:sz="4" w:val="single"/>
            </w:tcBorders>
            <w:vAlign w:val="center"/>
          </w:tcPr>
          <w:p w14:paraId="3E000000">
            <w:pPr>
              <w:widowControl w:val="0"/>
              <w:ind w:right="-24"/>
              <w:jc w:val="center"/>
              <w:rPr>
                <w:sz w:val="20"/>
              </w:rPr>
            </w:pPr>
            <w:r>
              <w:rPr>
                <w:sz w:val="20"/>
              </w:rPr>
              <w:t>Единица измерения</w:t>
            </w:r>
          </w:p>
        </w:tc>
        <w:tc>
          <w:tcPr>
            <w:tcW w:type="dxa" w:w="1515"/>
            <w:tcBorders>
              <w:top w:color="000000" w:sz="4" w:val="single"/>
              <w:left w:color="000000" w:sz="4" w:val="single"/>
              <w:bottom w:color="000000" w:sz="4" w:val="single"/>
              <w:right w:color="000000" w:sz="4" w:val="single"/>
            </w:tcBorders>
            <w:vAlign w:val="center"/>
          </w:tcPr>
          <w:p w14:paraId="3F000000">
            <w:pPr>
              <w:widowControl w:val="0"/>
              <w:ind/>
              <w:jc w:val="center"/>
              <w:rPr>
                <w:sz w:val="20"/>
              </w:rPr>
            </w:pPr>
            <w:r>
              <w:rPr>
                <w:sz w:val="20"/>
              </w:rPr>
              <w:t>Количество</w:t>
            </w:r>
          </w:p>
        </w:tc>
        <w:tc>
          <w:tcPr>
            <w:tcW w:type="dxa" w:w="1378"/>
            <w:tcBorders>
              <w:top w:color="000000" w:sz="4" w:val="single"/>
              <w:left w:color="000000" w:sz="4" w:val="single"/>
              <w:bottom w:color="000000" w:sz="4" w:val="single"/>
              <w:right w:color="000000" w:sz="4" w:val="single"/>
            </w:tcBorders>
            <w:vAlign w:val="center"/>
          </w:tcPr>
          <w:p w14:paraId="40000000">
            <w:pPr>
              <w:widowControl w:val="0"/>
              <w:ind/>
              <w:jc w:val="center"/>
              <w:rPr>
                <w:sz w:val="20"/>
              </w:rPr>
            </w:pPr>
            <w:r>
              <w:rPr>
                <w:sz w:val="20"/>
              </w:rPr>
              <w:t>Стоимость за ед. измер., руб.</w:t>
            </w:r>
          </w:p>
        </w:tc>
        <w:tc>
          <w:tcPr>
            <w:tcW w:type="dxa" w:w="1232"/>
            <w:tcBorders>
              <w:top w:color="000000" w:sz="4" w:val="single"/>
              <w:left w:color="000000" w:sz="4" w:val="single"/>
              <w:bottom w:color="000000" w:sz="4" w:val="single"/>
              <w:right w:color="000000" w:sz="4" w:val="single"/>
            </w:tcBorders>
            <w:vAlign w:val="center"/>
          </w:tcPr>
          <w:p w14:paraId="41000000">
            <w:pPr>
              <w:widowControl w:val="0"/>
              <w:ind/>
              <w:jc w:val="center"/>
              <w:rPr>
                <w:sz w:val="20"/>
              </w:rPr>
            </w:pPr>
            <w:r>
              <w:rPr>
                <w:sz w:val="20"/>
              </w:rPr>
              <w:t>Стоимость работ, руб.</w:t>
            </w:r>
          </w:p>
        </w:tc>
      </w:tr>
      <w:tr>
        <w:trPr>
          <w:trHeight w:hRule="atLeast" w:val="266"/>
        </w:trPr>
        <w:tc>
          <w:tcPr>
            <w:tcW w:type="dxa" w:w="567"/>
            <w:tcBorders>
              <w:top w:color="000000" w:sz="4" w:val="single"/>
              <w:left w:color="000000" w:sz="4" w:val="single"/>
              <w:bottom w:color="000000" w:sz="4" w:val="single"/>
              <w:right w:color="000000" w:sz="4" w:val="single"/>
            </w:tcBorders>
          </w:tcPr>
          <w:p w14:paraId="42000000">
            <w:pPr>
              <w:rPr>
                <w:b w:val="1"/>
                <w:sz w:val="20"/>
              </w:rPr>
            </w:pPr>
            <w:r>
              <w:rPr>
                <w:b w:val="1"/>
                <w:sz w:val="20"/>
              </w:rPr>
              <w:t>1</w:t>
            </w:r>
          </w:p>
        </w:tc>
        <w:tc>
          <w:tcPr>
            <w:tcW w:type="dxa" w:w="4333"/>
            <w:tcBorders>
              <w:top w:color="000000" w:sz="4" w:val="single"/>
              <w:left w:color="000000" w:sz="4" w:val="single"/>
              <w:bottom w:color="000000" w:sz="4" w:val="single"/>
              <w:right w:color="000000" w:sz="4" w:val="single"/>
            </w:tcBorders>
          </w:tcPr>
          <w:p w14:paraId="43000000">
            <w:pPr>
              <w:rPr>
                <w:spacing w:val="1"/>
                <w:sz w:val="20"/>
              </w:rPr>
            </w:pPr>
            <w:r>
              <w:rPr>
                <w:rFonts w:ascii="Times New Roman" w:hAnsi="Times New Roman"/>
              </w:rPr>
              <w:t>Изготовление технического плана с целью выделения мест общего пользования</w:t>
            </w:r>
          </w:p>
        </w:tc>
        <w:tc>
          <w:tcPr>
            <w:tcW w:type="dxa" w:w="1039"/>
            <w:tcBorders>
              <w:top w:color="000000" w:sz="4" w:val="single"/>
              <w:left w:color="000000" w:sz="4" w:val="single"/>
              <w:bottom w:color="000000" w:sz="4" w:val="single"/>
              <w:right w:color="000000" w:sz="4" w:val="single"/>
            </w:tcBorders>
            <w:vAlign w:val="center"/>
          </w:tcPr>
          <w:p w14:paraId="44000000">
            <w:pPr>
              <w:widowControl w:val="0"/>
              <w:ind/>
              <w:jc w:val="center"/>
              <w:rPr>
                <w:sz w:val="20"/>
              </w:rPr>
            </w:pPr>
            <w:r>
              <w:rPr>
                <w:sz w:val="20"/>
              </w:rPr>
              <w:t>штука</w:t>
            </w:r>
          </w:p>
        </w:tc>
        <w:tc>
          <w:tcPr>
            <w:tcW w:type="dxa" w:w="1515"/>
            <w:tcBorders>
              <w:top w:color="000000" w:sz="4" w:val="single"/>
              <w:left w:color="000000" w:sz="4" w:val="single"/>
              <w:bottom w:color="000000" w:sz="4" w:val="single"/>
              <w:right w:color="000000" w:sz="4" w:val="single"/>
            </w:tcBorders>
            <w:vAlign w:val="center"/>
          </w:tcPr>
          <w:p w14:paraId="45000000">
            <w:pPr>
              <w:widowControl w:val="0"/>
              <w:ind/>
              <w:jc w:val="center"/>
              <w:rPr>
                <w:sz w:val="20"/>
              </w:rPr>
            </w:pPr>
            <w:r>
              <w:rPr>
                <w:sz w:val="20"/>
              </w:rPr>
              <w:t>2</w:t>
            </w:r>
          </w:p>
        </w:tc>
        <w:tc>
          <w:tcPr>
            <w:tcW w:type="dxa" w:w="1378"/>
            <w:tcBorders>
              <w:top w:color="000000" w:sz="4" w:val="single"/>
              <w:left w:color="000000" w:sz="4" w:val="single"/>
              <w:bottom w:color="000000" w:sz="4" w:val="single"/>
              <w:right w:color="000000" w:sz="4" w:val="single"/>
            </w:tcBorders>
            <w:shd w:themeFill="accent1" w:val="clear"/>
            <w:vAlign w:val="center"/>
          </w:tcPr>
          <w:p/>
        </w:tc>
        <w:tc>
          <w:tcPr>
            <w:tcW w:type="dxa" w:w="1232"/>
            <w:tcBorders>
              <w:top w:color="000000" w:sz="4" w:val="single"/>
              <w:left w:color="000000" w:sz="4" w:val="single"/>
              <w:bottom w:color="000000" w:sz="4" w:val="single"/>
              <w:right w:color="000000" w:sz="4" w:val="single"/>
            </w:tcBorders>
            <w:shd w:themeFill="accent1" w:val="clear"/>
            <w:vAlign w:val="center"/>
          </w:tcPr>
          <w:p/>
        </w:tc>
      </w:tr>
    </w:tbl>
    <w:p w14:paraId="46000000">
      <w:pPr>
        <w:widowControl w:val="0"/>
        <w:ind/>
        <w:jc w:val="both"/>
        <w:rPr>
          <w:sz w:val="20"/>
        </w:rPr>
      </w:pPr>
      <w:r>
        <w:rPr>
          <w:sz w:val="20"/>
        </w:rPr>
        <w:t xml:space="preserve">    </w:t>
      </w:r>
      <w:r>
        <w:rPr>
          <w:sz w:val="20"/>
        </w:rPr>
        <w:t xml:space="preserve">4.2. Цена Контракта включает общую стоимость всех </w:t>
      </w:r>
      <w:r>
        <w:rPr>
          <w:sz w:val="20"/>
        </w:rPr>
        <w:t>работ</w:t>
      </w:r>
      <w:r>
        <w:rPr>
          <w:sz w:val="20"/>
        </w:rPr>
        <w:t xml:space="preserve">, оплачиваемую Заказчиком Исполнителю за выполнение Исполнителем своих обязательств по оказанию </w:t>
      </w:r>
      <w:r>
        <w:rPr>
          <w:sz w:val="20"/>
        </w:rPr>
        <w:t>работ</w:t>
      </w:r>
      <w:r>
        <w:rPr>
          <w:sz w:val="20"/>
        </w:rPr>
        <w:t xml:space="preserve"> по Контракту, а также расходы на уплату налогов, сборов и других обязательных платежей и иные расходы, связанные с оказанием </w:t>
      </w:r>
      <w:r>
        <w:rPr>
          <w:sz w:val="20"/>
        </w:rPr>
        <w:t>работ</w:t>
      </w:r>
      <w:r>
        <w:rPr>
          <w:sz w:val="20"/>
        </w:rPr>
        <w:t>.</w:t>
      </w:r>
    </w:p>
    <w:p w14:paraId="47000000">
      <w:pPr>
        <w:widowControl w:val="0"/>
        <w:ind w:firstLine="709" w:left="0"/>
        <w:jc w:val="both"/>
        <w:rPr>
          <w:sz w:val="20"/>
        </w:rPr>
      </w:pPr>
      <w:r>
        <w:rPr>
          <w:sz w:val="20"/>
        </w:rPr>
        <w:t xml:space="preserve">4.3. Цена Контракта является твердой и не подлежит изменению в течение срока оказания </w:t>
      </w:r>
      <w:r>
        <w:rPr>
          <w:sz w:val="20"/>
        </w:rPr>
        <w:t>работ</w:t>
      </w:r>
      <w:r>
        <w:rPr>
          <w:sz w:val="20"/>
        </w:rPr>
        <w:t xml:space="preserve">. </w:t>
      </w:r>
    </w:p>
    <w:p w14:paraId="48000000">
      <w:pPr>
        <w:widowControl w:val="0"/>
        <w:ind w:firstLine="709" w:left="0"/>
        <w:jc w:val="both"/>
        <w:rPr>
          <w:sz w:val="20"/>
        </w:rPr>
      </w:pPr>
      <w:r>
        <w:rPr>
          <w:sz w:val="20"/>
        </w:rPr>
        <w:t xml:space="preserve"> </w:t>
      </w:r>
      <w:r>
        <w:rPr>
          <w:b w:val="1"/>
          <w:sz w:val="20"/>
        </w:rPr>
        <w:t>5. Порядок расчётов</w:t>
      </w:r>
    </w:p>
    <w:p w14:paraId="49000000">
      <w:pPr>
        <w:widowControl w:val="0"/>
        <w:ind w:firstLine="720" w:left="0"/>
        <w:jc w:val="both"/>
        <w:rPr>
          <w:b w:val="1"/>
          <w:sz w:val="20"/>
          <w:u w:val="none"/>
        </w:rPr>
      </w:pPr>
      <w:r>
        <w:rPr>
          <w:b w:val="1"/>
          <w:sz w:val="20"/>
          <w:u w:val="none"/>
        </w:rPr>
        <w:t>5.1. </w:t>
      </w:r>
      <w:r>
        <w:rPr>
          <w:b w:val="0"/>
          <w:sz w:val="20"/>
          <w:u w:val="none"/>
        </w:rPr>
        <w:t>Настоящий Контракт финансируется из федерального бюджета.</w:t>
      </w:r>
    </w:p>
    <w:p w14:paraId="4A000000">
      <w:pPr>
        <w:widowControl w:val="0"/>
        <w:ind w:firstLine="720" w:left="0"/>
        <w:jc w:val="both"/>
        <w:rPr>
          <w:sz w:val="20"/>
        </w:rPr>
      </w:pPr>
      <w:r>
        <w:rPr>
          <w:sz w:val="20"/>
        </w:rPr>
        <w:t>5.2. </w:t>
      </w:r>
      <w:r>
        <w:rPr>
          <w:sz w:val="20"/>
        </w:rPr>
        <w:t>Оплата по Контракту осуществляется по безналичному расчету</w:t>
      </w:r>
      <w:r>
        <w:rPr>
          <w:sz w:val="20"/>
        </w:rPr>
        <w:t xml:space="preserve"> в течение </w:t>
      </w:r>
      <w:r>
        <w:rPr>
          <w:sz w:val="20"/>
        </w:rPr>
        <w:t>7</w:t>
      </w:r>
      <w:r>
        <w:rPr>
          <w:sz w:val="20"/>
        </w:rPr>
        <w:t xml:space="preserve"> (</w:t>
      </w:r>
      <w:r>
        <w:rPr>
          <w:sz w:val="20"/>
        </w:rPr>
        <w:t>семи</w:t>
      </w:r>
      <w:r>
        <w:rPr>
          <w:sz w:val="20"/>
        </w:rPr>
        <w:t>) рабочих дней</w:t>
      </w:r>
      <w:r>
        <w:rPr>
          <w:sz w:val="20"/>
        </w:rPr>
        <w:t xml:space="preserve"> со дня по</w:t>
      </w:r>
      <w:r>
        <w:rPr>
          <w:sz w:val="20"/>
        </w:rPr>
        <w:t>дписания Заказчиком документов о приемке, предусмотренных Разделом 6 Контракта, путем перечисления Заказчиком платежным поручением причитающейся суммы на расчетный счет Исполнителя, указанный в настоящем Контракте.</w:t>
      </w:r>
    </w:p>
    <w:p w14:paraId="4B000000">
      <w:pPr>
        <w:widowControl w:val="0"/>
        <w:ind w:firstLine="720" w:left="0"/>
        <w:jc w:val="both"/>
        <w:rPr>
          <w:sz w:val="20"/>
        </w:rPr>
      </w:pPr>
      <w:r>
        <w:rPr>
          <w:sz w:val="20"/>
        </w:rPr>
        <w:t>В случае изменения его расчетного счета Исполнитель обязан в трехдневный срок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w:t>
      </w:r>
    </w:p>
    <w:p w14:paraId="4C000000">
      <w:pPr>
        <w:widowControl w:val="0"/>
        <w:ind w:firstLine="567" w:left="0"/>
        <w:jc w:val="both"/>
        <w:rPr>
          <w:b w:val="1"/>
          <w:sz w:val="20"/>
        </w:rPr>
      </w:pPr>
      <w:r>
        <w:rPr>
          <w:b w:val="1"/>
          <w:sz w:val="20"/>
        </w:rPr>
        <w:t xml:space="preserve">5.3 </w:t>
      </w:r>
      <w:r>
        <w:rPr>
          <w:b w:val="0"/>
          <w:sz w:val="20"/>
        </w:rPr>
        <w:t>А</w:t>
      </w:r>
      <w:r>
        <w:rPr>
          <w:b w:val="0"/>
          <w:sz w:val="20"/>
        </w:rPr>
        <w:t xml:space="preserve">вансирование не предусмотрено. </w:t>
      </w:r>
    </w:p>
    <w:p w14:paraId="4D000000">
      <w:pPr>
        <w:widowControl w:val="0"/>
        <w:ind w:firstLine="567" w:left="0"/>
        <w:jc w:val="both"/>
        <w:rPr>
          <w:b w:val="1"/>
          <w:sz w:val="20"/>
        </w:rPr>
      </w:pPr>
    </w:p>
    <w:p w14:paraId="4E000000">
      <w:pPr>
        <w:widowControl w:val="0"/>
        <w:tabs>
          <w:tab w:leader="none" w:pos="1147" w:val="left"/>
        </w:tabs>
        <w:spacing w:line="254" w:lineRule="exact"/>
        <w:ind/>
        <w:jc w:val="center"/>
        <w:rPr>
          <w:b w:val="1"/>
          <w:spacing w:val="-1"/>
          <w:sz w:val="20"/>
        </w:rPr>
      </w:pPr>
      <w:r>
        <w:rPr>
          <w:b w:val="1"/>
          <w:spacing w:val="-1"/>
          <w:sz w:val="20"/>
        </w:rPr>
        <w:t xml:space="preserve">6. Порядок сдачи-приемки услуг </w:t>
      </w:r>
    </w:p>
    <w:p w14:paraId="4F000000">
      <w:pPr>
        <w:widowControl w:val="0"/>
        <w:ind w:firstLine="720" w:left="0"/>
        <w:jc w:val="both"/>
        <w:rPr>
          <w:sz w:val="20"/>
        </w:rPr>
      </w:pPr>
      <w:r>
        <w:rPr>
          <w:sz w:val="20"/>
        </w:rPr>
        <w:t xml:space="preserve">6.1. С целью проверки качества оказанных по Контракту </w:t>
      </w:r>
      <w:r>
        <w:rPr>
          <w:sz w:val="20"/>
        </w:rPr>
        <w:t>работ</w:t>
      </w:r>
      <w:r>
        <w:rPr>
          <w:sz w:val="20"/>
        </w:rPr>
        <w:t xml:space="preserve"> Заказчик организует экспертизу оказанных </w:t>
      </w:r>
      <w:r>
        <w:rPr>
          <w:sz w:val="20"/>
        </w:rPr>
        <w:t>работ</w:t>
      </w:r>
      <w:r>
        <w:rPr>
          <w:sz w:val="20"/>
        </w:rPr>
        <w:t>. Экспертиза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14:paraId="50000000">
      <w:pPr>
        <w:widowControl w:val="0"/>
        <w:ind w:firstLine="720" w:left="0"/>
        <w:jc w:val="both"/>
        <w:rPr>
          <w:sz w:val="20"/>
        </w:rPr>
      </w:pPr>
      <w:r>
        <w:rPr>
          <w:sz w:val="20"/>
        </w:rPr>
        <w:t xml:space="preserve">6.2. Для проведения экспертизы результатов, предусмотренных Контрактом,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В случае, если по результатам такой экспертизы установлены нарушения требований Контракта, не препятствующие приемке </w:t>
      </w:r>
      <w:r>
        <w:rPr>
          <w:sz w:val="20"/>
        </w:rPr>
        <w:t>работ</w:t>
      </w:r>
      <w:r>
        <w:rPr>
          <w:sz w:val="20"/>
        </w:rPr>
        <w:t>, оказанных  в соответствии с Контрактом, в заключении могут содержаться предложения об устранении   данных  нарушений, в том числе с указанием срока их устранения. Срок проведения экспертизы и оформления экспертного заключения составляет не более 10 (десяти) рабочих дней.</w:t>
      </w:r>
    </w:p>
    <w:p w14:paraId="51000000">
      <w:pPr>
        <w:widowControl w:val="0"/>
        <w:ind w:firstLine="720" w:left="0"/>
        <w:jc w:val="both"/>
        <w:rPr>
          <w:sz w:val="20"/>
        </w:rPr>
      </w:pPr>
      <w:r>
        <w:rPr>
          <w:sz w:val="20"/>
        </w:rPr>
        <w:t>6.3. </w:t>
      </w:r>
      <w:r>
        <w:rPr>
          <w:sz w:val="20"/>
        </w:rPr>
        <w:t>Исполнител</w:t>
      </w:r>
      <w:r>
        <w:rPr>
          <w:b w:val="0"/>
          <w:sz w:val="20"/>
        </w:rPr>
        <w:t xml:space="preserve">ь </w:t>
      </w:r>
      <w:r>
        <w:rPr>
          <w:b w:val="0"/>
          <w:sz w:val="20"/>
        </w:rPr>
        <w:t>в течение 3 (трех) рабочих дней</w:t>
      </w:r>
      <w:r>
        <w:rPr>
          <w:b w:val="0"/>
          <w:sz w:val="20"/>
        </w:rPr>
        <w:t xml:space="preserve">, </w:t>
      </w:r>
      <w:r>
        <w:rPr>
          <w:sz w:val="20"/>
        </w:rPr>
        <w:t xml:space="preserve">с момента окончания оказания </w:t>
      </w:r>
      <w:r>
        <w:rPr>
          <w:sz w:val="20"/>
        </w:rPr>
        <w:t>работ,</w:t>
      </w:r>
      <w:r>
        <w:rPr>
          <w:sz w:val="20"/>
        </w:rPr>
        <w:t xml:space="preserve"> </w:t>
      </w:r>
      <w:r>
        <w:rPr>
          <w:sz w:val="20"/>
        </w:rPr>
        <w:t>предоставляет</w:t>
      </w:r>
      <w:r>
        <w:rPr>
          <w:sz w:val="20"/>
        </w:rPr>
        <w:t xml:space="preserve"> Заказчику в 2 (двух) экземплярах на бумажном носителе и в 1 (одном) экземпляре на магнитном носителе технические планы; технические заключения на каждый объект недвижимости в 1 (одном) экземпляре на бумажном носителе</w:t>
      </w:r>
      <w:r>
        <w:rPr>
          <w:sz w:val="20"/>
        </w:rPr>
        <w:t>.</w:t>
      </w:r>
    </w:p>
    <w:p w14:paraId="52000000">
      <w:pPr>
        <w:widowControl w:val="0"/>
        <w:ind w:firstLine="720" w:left="0"/>
        <w:jc w:val="both"/>
        <w:rPr>
          <w:sz w:val="20"/>
        </w:rPr>
      </w:pPr>
      <w:r>
        <w:rPr>
          <w:sz w:val="20"/>
        </w:rPr>
        <w:t xml:space="preserve">6.4. В случае несоответствия оказанных </w:t>
      </w:r>
      <w:r>
        <w:rPr>
          <w:sz w:val="20"/>
        </w:rPr>
        <w:t>работ</w:t>
      </w:r>
      <w:r>
        <w:rPr>
          <w:sz w:val="20"/>
        </w:rPr>
        <w:t xml:space="preserve"> (их объема и качества) условиям настоящего Контракта, технического задания, заявок Сторонами составляется двусторонний акт с перечнем выявленных недостатков. Претензии об устранении недостатков должны быть предъявлены Заказчиком в течение 10 (десяти) рабочих дней после получения в документа о приемке. Исполнитель обязан устранить недостатки без дополнительной оплаты в пределах цены Контракта в течение 10 (десяти) рабочих дней, уведомить Заказчика об устранении недостатков незамедлительно и в течение 3 (трех) рабочих дней направить Заказчику документ о приемке в порядке, предусмотренном выше.</w:t>
      </w:r>
    </w:p>
    <w:p w14:paraId="53000000">
      <w:pPr>
        <w:widowControl w:val="0"/>
        <w:ind w:firstLine="720" w:left="0"/>
        <w:jc w:val="both"/>
        <w:rPr>
          <w:sz w:val="20"/>
        </w:rPr>
      </w:pPr>
      <w:r>
        <w:rPr>
          <w:sz w:val="20"/>
        </w:rPr>
        <w:t>6.7</w:t>
      </w:r>
      <w:r>
        <w:rPr>
          <w:sz w:val="20"/>
        </w:rPr>
        <w:t xml:space="preserve">. В случае обнаружения утраты, недостачи, повреждения имущества Стороны осуществляют действия в порядке, установленном пунктом </w:t>
      </w:r>
      <w:r>
        <w:rPr>
          <w:sz w:val="20"/>
        </w:rPr>
        <w:t>9.17</w:t>
      </w:r>
      <w:r>
        <w:rPr>
          <w:sz w:val="20"/>
        </w:rPr>
        <w:t>.</w:t>
      </w:r>
      <w:r>
        <w:rPr>
          <w:sz w:val="20"/>
        </w:rPr>
        <w:t xml:space="preserve"> настоящего Контракта. В этом случае Исполнитель обязан удовлетворить претензию либо дать мотивированный отказ в удовлетворении претензии в тридцатидневный срок с момента ее получения.</w:t>
      </w:r>
    </w:p>
    <w:p w14:paraId="54000000">
      <w:pPr>
        <w:widowControl w:val="0"/>
        <w:ind w:firstLine="709" w:left="0"/>
        <w:jc w:val="both"/>
        <w:rPr>
          <w:sz w:val="20"/>
        </w:rPr>
      </w:pPr>
      <w:r>
        <w:rPr>
          <w:sz w:val="20"/>
        </w:rPr>
        <w:t>6.8</w:t>
      </w:r>
      <w:r>
        <w:rPr>
          <w:sz w:val="20"/>
        </w:rPr>
        <w:t>. Контрактом предусмотрена возможность представление в качестве первичных учетных документов, подтверждающих (сопровождающих) поставку товаров (передачу результатов выполненных работ, оказанных услуг), универсального передаточного документа (счета-фактуры), в том числе корректировочных документов.</w:t>
      </w:r>
    </w:p>
    <w:p w14:paraId="55000000">
      <w:pPr>
        <w:widowControl w:val="0"/>
        <w:ind w:firstLine="709" w:left="0"/>
        <w:jc w:val="both"/>
        <w:rPr>
          <w:sz w:val="20"/>
        </w:rPr>
      </w:pPr>
    </w:p>
    <w:p w14:paraId="56000000">
      <w:pPr>
        <w:widowControl w:val="0"/>
        <w:spacing w:line="254" w:lineRule="exact"/>
        <w:ind/>
        <w:jc w:val="center"/>
        <w:rPr>
          <w:b w:val="1"/>
          <w:sz w:val="20"/>
        </w:rPr>
      </w:pPr>
      <w:r>
        <w:rPr>
          <w:b w:val="1"/>
          <w:sz w:val="20"/>
        </w:rPr>
        <w:t>7. Срок действия контракта, расторжение и прекращение контракта</w:t>
      </w:r>
    </w:p>
    <w:p w14:paraId="57000000">
      <w:pPr>
        <w:widowControl w:val="0"/>
        <w:tabs>
          <w:tab w:leader="none" w:pos="567" w:val="left"/>
        </w:tabs>
        <w:ind w:firstLine="567" w:left="0"/>
        <w:jc w:val="both"/>
        <w:rPr>
          <w:sz w:val="20"/>
        </w:rPr>
      </w:pPr>
      <w:r>
        <w:rPr>
          <w:sz w:val="20"/>
        </w:rPr>
        <w:t xml:space="preserve">7.1. </w:t>
      </w:r>
      <w:r>
        <w:rPr>
          <w:b w:val="1"/>
          <w:sz w:val="20"/>
        </w:rPr>
        <w:t>Срок действия ко</w:t>
      </w:r>
      <w:r>
        <w:rPr>
          <w:b w:val="1"/>
          <w:sz w:val="20"/>
        </w:rPr>
        <w:t>нтракта:</w:t>
      </w:r>
      <w:r>
        <w:rPr>
          <w:sz w:val="20"/>
        </w:rPr>
        <w:t xml:space="preserve"> </w:t>
      </w:r>
      <w:r>
        <w:rPr>
          <w:spacing w:val="-2"/>
          <w:sz w:val="20"/>
        </w:rPr>
        <w:t xml:space="preserve">с момента заключения контракта </w:t>
      </w:r>
      <w:r>
        <w:rPr>
          <w:b w:val="1"/>
          <w:spacing w:val="-2"/>
          <w:sz w:val="20"/>
        </w:rPr>
        <w:t>по 25 декабря</w:t>
      </w:r>
      <w:r>
        <w:rPr>
          <w:b w:val="1"/>
          <w:spacing w:val="-2"/>
          <w:sz w:val="20"/>
        </w:rPr>
        <w:t xml:space="preserve"> 202</w:t>
      </w:r>
      <w:r>
        <w:rPr>
          <w:b w:val="1"/>
          <w:spacing w:val="-2"/>
          <w:sz w:val="20"/>
        </w:rPr>
        <w:t>6</w:t>
      </w:r>
      <w:r>
        <w:rPr>
          <w:spacing w:val="-2"/>
          <w:sz w:val="20"/>
        </w:rPr>
        <w:t xml:space="preserve"> г.</w:t>
      </w:r>
      <w:r>
        <w:rPr>
          <w:sz w:val="20"/>
        </w:rPr>
        <w:t>, а в части взаиморасчетов, до полного исполнения сторонами своих обязательств.</w:t>
      </w:r>
      <w:r>
        <w:rPr>
          <w:sz w:val="20"/>
        </w:rPr>
        <w:t xml:space="preserve"> </w:t>
      </w:r>
    </w:p>
    <w:p w14:paraId="58000000">
      <w:pPr>
        <w:widowControl w:val="0"/>
        <w:tabs>
          <w:tab w:leader="none" w:pos="567" w:val="left"/>
        </w:tabs>
        <w:ind w:firstLine="567" w:left="0"/>
        <w:jc w:val="both"/>
        <w:rPr>
          <w:b w:val="1"/>
          <w:spacing w:val="-2"/>
          <w:sz w:val="20"/>
        </w:rPr>
      </w:pPr>
      <w:r>
        <w:rPr>
          <w:sz w:val="20"/>
        </w:rPr>
        <w:t xml:space="preserve">7.2. </w:t>
      </w:r>
      <w:r>
        <w:rPr>
          <w:b w:val="1"/>
          <w:spacing w:val="-2"/>
          <w:sz w:val="20"/>
        </w:rPr>
        <w:t>Сроки оказания услуг:</w:t>
      </w:r>
      <w:r>
        <w:rPr>
          <w:spacing w:val="-2"/>
          <w:sz w:val="20"/>
        </w:rPr>
        <w:t xml:space="preserve"> в течение</w:t>
      </w:r>
      <w:r>
        <w:rPr>
          <w:sz w:val="20"/>
        </w:rPr>
        <w:t xml:space="preserve"> 10 рабочих дней со дня получения Технического задания Сторонами, но не позднее </w:t>
      </w:r>
      <w:r>
        <w:rPr>
          <w:b w:val="1"/>
          <w:sz w:val="20"/>
        </w:rPr>
        <w:t>30 ноября 2026</w:t>
      </w:r>
      <w:r>
        <w:rPr>
          <w:b w:val="1"/>
          <w:sz w:val="20"/>
        </w:rPr>
        <w:t xml:space="preserve"> года.</w:t>
      </w:r>
    </w:p>
    <w:p w14:paraId="59000000">
      <w:pPr>
        <w:widowControl w:val="0"/>
        <w:tabs>
          <w:tab w:leader="none" w:pos="567" w:val="left"/>
        </w:tabs>
        <w:ind w:firstLine="567" w:left="0"/>
        <w:jc w:val="both"/>
        <w:rPr>
          <w:b w:val="1"/>
          <w:sz w:val="20"/>
          <w:u w:val="single"/>
        </w:rPr>
      </w:pPr>
      <w:r>
        <w:rPr>
          <w:sz w:val="20"/>
        </w:rPr>
        <w:t>7.</w:t>
      </w:r>
      <w:r>
        <w:rPr>
          <w:sz w:val="20"/>
        </w:rPr>
        <w:t>3</w:t>
      </w:r>
      <w:r>
        <w:rPr>
          <w:sz w:val="20"/>
        </w:rPr>
        <w:t>. При исполнении Контракта изменение его условий не допускается, за исключением случаев, предусмотренных настоящим Контрактом. Изменени</w:t>
      </w:r>
      <w:r>
        <w:rPr>
          <w:sz w:val="20"/>
        </w:rPr>
        <w:t>я настоящего Контракта не противоречащие действующему законодательству Российской Федерации оформляются в простой письменной форме путем подписания Сторонами дополнительных соглашений к настоящему Контракту. Дополнительные соглашения к Контракту являются его неотъемлемой частью и вступают в силу с момента их подписания обеими сторонами.</w:t>
      </w:r>
    </w:p>
    <w:p w14:paraId="5A000000">
      <w:pPr>
        <w:widowControl w:val="0"/>
        <w:tabs>
          <w:tab w:leader="none" w:pos="567" w:val="left"/>
        </w:tabs>
        <w:ind w:firstLine="567" w:left="0"/>
        <w:jc w:val="both"/>
        <w:rPr>
          <w:b w:val="1"/>
          <w:sz w:val="20"/>
          <w:u w:val="single"/>
        </w:rPr>
      </w:pPr>
      <w:r>
        <w:rPr>
          <w:sz w:val="20"/>
        </w:rPr>
        <w:t>7.4</w:t>
      </w:r>
      <w:r>
        <w:rPr>
          <w:sz w:val="20"/>
        </w:rPr>
        <w:t>.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ч.1 ст.95 Федерального закона от 05.04.2013 № 44-ФЗ.</w:t>
      </w:r>
      <w:r>
        <w:rPr>
          <w:sz w:val="20"/>
        </w:rPr>
        <w:t xml:space="preserve"> Предусмотрена возможность изменить предусмотренные контрактом количество товара, объем работы или услуги.</w:t>
      </w:r>
    </w:p>
    <w:p w14:paraId="5B000000">
      <w:pPr>
        <w:widowControl w:val="0"/>
        <w:tabs>
          <w:tab w:leader="none" w:pos="567" w:val="left"/>
        </w:tabs>
        <w:ind w:firstLine="567" w:left="0"/>
        <w:jc w:val="both"/>
        <w:rPr>
          <w:b w:val="1"/>
          <w:sz w:val="20"/>
          <w:u w:val="single"/>
        </w:rPr>
      </w:pPr>
      <w:r>
        <w:rPr>
          <w:sz w:val="20"/>
        </w:rPr>
        <w:t>7.5</w:t>
      </w:r>
      <w:r>
        <w:rPr>
          <w:sz w:val="20"/>
        </w:rPr>
        <w:t>. 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14:paraId="5C000000">
      <w:pPr>
        <w:widowControl w:val="0"/>
        <w:tabs>
          <w:tab w:leader="none" w:pos="567" w:val="left"/>
        </w:tabs>
        <w:ind w:firstLine="567" w:left="0"/>
        <w:jc w:val="both"/>
        <w:rPr>
          <w:b w:val="1"/>
          <w:sz w:val="20"/>
          <w:u w:val="single"/>
        </w:rPr>
      </w:pPr>
      <w:r>
        <w:rPr>
          <w:sz w:val="20"/>
        </w:rPr>
        <w:t>7</w:t>
      </w:r>
      <w:r>
        <w:rPr>
          <w:sz w:val="20"/>
        </w:rPr>
        <w:t>.6</w:t>
      </w:r>
      <w:r>
        <w:rPr>
          <w:sz w:val="20"/>
        </w:rPr>
        <w:t>. В случае перемены Заказчика права и обязанности Заказчика, предусмотренные Контрактом, переходят к новому заказчику.</w:t>
      </w:r>
    </w:p>
    <w:p w14:paraId="5D000000">
      <w:pPr>
        <w:widowControl w:val="0"/>
        <w:tabs>
          <w:tab w:leader="none" w:pos="567" w:val="left"/>
        </w:tabs>
        <w:ind w:firstLine="567" w:left="0"/>
        <w:jc w:val="both"/>
        <w:rPr>
          <w:b w:val="1"/>
          <w:sz w:val="20"/>
          <w:u w:val="single"/>
        </w:rPr>
      </w:pPr>
      <w:r>
        <w:rPr>
          <w:sz w:val="20"/>
        </w:rPr>
        <w:t>7.7</w:t>
      </w:r>
      <w:r>
        <w:rPr>
          <w:sz w:val="20"/>
        </w:rPr>
        <w:t>.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5E000000">
      <w:pPr>
        <w:widowControl w:val="0"/>
        <w:tabs>
          <w:tab w:leader="none" w:pos="567" w:val="left"/>
        </w:tabs>
        <w:ind w:firstLine="567" w:left="0"/>
        <w:jc w:val="both"/>
        <w:rPr>
          <w:b w:val="1"/>
          <w:sz w:val="20"/>
          <w:u w:val="single"/>
        </w:rPr>
      </w:pPr>
      <w:r>
        <w:rPr>
          <w:sz w:val="20"/>
        </w:rPr>
        <w:t>7.</w:t>
      </w:r>
      <w:r>
        <w:rPr>
          <w:sz w:val="20"/>
        </w:rPr>
        <w:t>8</w:t>
      </w:r>
      <w:r>
        <w:rPr>
          <w:sz w:val="20"/>
        </w:rPr>
        <w:t>. Заказчик вправе 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F000000">
      <w:pPr>
        <w:widowControl w:val="0"/>
        <w:tabs>
          <w:tab w:leader="none" w:pos="567" w:val="left"/>
        </w:tabs>
        <w:ind w:firstLine="567" w:left="0"/>
        <w:jc w:val="both"/>
        <w:rPr>
          <w:b w:val="1"/>
          <w:sz w:val="20"/>
          <w:u w:val="single"/>
        </w:rPr>
      </w:pPr>
      <w:r>
        <w:rPr>
          <w:sz w:val="20"/>
        </w:rPr>
        <w:t>7.</w:t>
      </w:r>
      <w:r>
        <w:rPr>
          <w:sz w:val="20"/>
        </w:rPr>
        <w:t>9</w:t>
      </w:r>
      <w:r>
        <w:rPr>
          <w:sz w:val="20"/>
        </w:rPr>
        <w:t xml:space="preserve">. </w:t>
      </w:r>
      <w:r>
        <w:rPr>
          <w:sz w:val="20"/>
        </w:rPr>
        <w:t>Решение Заказчика об одностороннем отказе принимается в порядке и на условиях, предусмотренных пунктом 3 части 6 статьи 8 Федерального закона от 02.07.2021 года №360-ФЗ «О внесении изменений в отдельные законодательные акты Российской Федерации».</w:t>
      </w:r>
    </w:p>
    <w:p w14:paraId="60000000">
      <w:pPr>
        <w:widowControl w:val="0"/>
        <w:tabs>
          <w:tab w:leader="none" w:pos="567" w:val="left"/>
        </w:tabs>
        <w:ind w:firstLine="567" w:left="0"/>
        <w:jc w:val="both"/>
        <w:rPr>
          <w:b w:val="1"/>
          <w:sz w:val="20"/>
          <w:u w:val="single"/>
        </w:rPr>
      </w:pPr>
      <w:r>
        <w:rPr>
          <w:sz w:val="20"/>
        </w:rPr>
        <w:t>7.10</w:t>
      </w:r>
      <w:r>
        <w:rPr>
          <w:sz w:val="20"/>
        </w:rPr>
        <w:t>.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14:paraId="61000000">
      <w:pPr>
        <w:widowControl w:val="0"/>
        <w:tabs>
          <w:tab w:leader="none" w:pos="567" w:val="left"/>
        </w:tabs>
        <w:ind w:firstLine="567" w:left="0"/>
        <w:jc w:val="both"/>
        <w:rPr>
          <w:b w:val="1"/>
          <w:sz w:val="20"/>
          <w:u w:val="single"/>
        </w:rPr>
      </w:pPr>
      <w:r>
        <w:rPr>
          <w:sz w:val="20"/>
        </w:rPr>
        <w:t>7.1</w:t>
      </w:r>
      <w:r>
        <w:rPr>
          <w:sz w:val="20"/>
        </w:rPr>
        <w:t>1</w:t>
      </w:r>
      <w:r>
        <w:rPr>
          <w:sz w:val="20"/>
        </w:rPr>
        <w:t>.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62000000">
      <w:pPr>
        <w:widowControl w:val="0"/>
        <w:tabs>
          <w:tab w:leader="none" w:pos="567" w:val="left"/>
        </w:tabs>
        <w:ind w:firstLine="567" w:left="0"/>
        <w:jc w:val="both"/>
        <w:rPr>
          <w:sz w:val="20"/>
        </w:rPr>
      </w:pPr>
      <w:r>
        <w:rPr>
          <w:sz w:val="20"/>
        </w:rPr>
        <w:t>7.1</w:t>
      </w:r>
      <w:r>
        <w:rPr>
          <w:sz w:val="20"/>
        </w:rPr>
        <w:t>2</w:t>
      </w:r>
      <w:r>
        <w:rPr>
          <w:sz w:val="20"/>
        </w:rPr>
        <w:t xml:space="preserve">. </w:t>
      </w:r>
      <w:r>
        <w:rPr>
          <w:sz w:val="20"/>
        </w:rPr>
        <w:t>Заказчик обязан принять решение об одностороннем отказе от исполнения Контракта, если в ходе исполнения Контракта установлено, что:</w:t>
      </w:r>
    </w:p>
    <w:p w14:paraId="63000000">
      <w:pPr>
        <w:widowControl w:val="0"/>
        <w:tabs>
          <w:tab w:leader="none" w:pos="567" w:val="left"/>
        </w:tabs>
        <w:ind w:firstLine="567" w:left="0"/>
        <w:jc w:val="both"/>
        <w:rPr>
          <w:sz w:val="20"/>
        </w:rPr>
      </w:pPr>
      <w:r>
        <w:rPr>
          <w:sz w:val="20"/>
        </w:rPr>
        <w:t xml:space="preserve">а)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от 05.04.2013 № 44-ФЗ) и (или) поставляемому товару; </w:t>
      </w:r>
    </w:p>
    <w:p w14:paraId="64000000">
      <w:pPr>
        <w:widowControl w:val="0"/>
        <w:tabs>
          <w:tab w:leader="none" w:pos="567" w:val="left"/>
        </w:tabs>
        <w:ind w:firstLine="567" w:left="0"/>
        <w:jc w:val="both"/>
        <w:rPr>
          <w:b w:val="1"/>
          <w:sz w:val="20"/>
          <w:u w:val="single"/>
        </w:rPr>
      </w:pPr>
      <w:r>
        <w:rPr>
          <w:sz w:val="20"/>
        </w:rPr>
        <w:t>б) при определении исполнителя исполнитель представил недостоверную информацию о своем соответствии требованиям, указанным в подпункте "а" настоящего пункта, что позволило ему стать победителем определения исполнителя.</w:t>
      </w:r>
    </w:p>
    <w:p w14:paraId="65000000">
      <w:pPr>
        <w:widowControl w:val="0"/>
        <w:tabs>
          <w:tab w:leader="none" w:pos="567" w:val="left"/>
        </w:tabs>
        <w:ind w:firstLine="567" w:left="0"/>
        <w:jc w:val="both"/>
        <w:rPr>
          <w:b w:val="1"/>
          <w:sz w:val="20"/>
          <w:u w:val="single"/>
        </w:rPr>
      </w:pPr>
      <w:r>
        <w:rPr>
          <w:sz w:val="20"/>
        </w:rPr>
        <w:t>7.1</w:t>
      </w:r>
      <w:r>
        <w:rPr>
          <w:sz w:val="20"/>
        </w:rPr>
        <w:t>3</w:t>
      </w:r>
      <w:r>
        <w:rPr>
          <w:sz w:val="20"/>
        </w:rPr>
        <w:t>.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6000000">
      <w:pPr>
        <w:widowControl w:val="0"/>
        <w:tabs>
          <w:tab w:leader="none" w:pos="567" w:val="left"/>
        </w:tabs>
        <w:ind w:firstLine="567" w:left="0"/>
        <w:jc w:val="both"/>
        <w:rPr>
          <w:b w:val="1"/>
          <w:sz w:val="20"/>
          <w:u w:val="single"/>
        </w:rPr>
      </w:pPr>
      <w:r>
        <w:rPr>
          <w:sz w:val="20"/>
        </w:rPr>
        <w:t>7.1</w:t>
      </w:r>
      <w:r>
        <w:rPr>
          <w:sz w:val="20"/>
        </w:rPr>
        <w:t>4</w:t>
      </w:r>
      <w:r>
        <w:rPr>
          <w:sz w:val="20"/>
        </w:rPr>
        <w:t xml:space="preserve">. </w:t>
      </w:r>
      <w:r>
        <w:rPr>
          <w:sz w:val="20"/>
        </w:rPr>
        <w:t>Решение Исполнителя об одностороннем отказе принимается в порядке и на условиях, предусмотренных пунктом 4 части 6 статьи 8 Федерального закона от 02.07.2021 года №360-ФЗ «О внесении изменений в отдельные за</w:t>
      </w:r>
      <w:r>
        <w:rPr>
          <w:sz w:val="20"/>
        </w:rPr>
        <w:t>конодательные акты Российской Федерации».</w:t>
      </w:r>
    </w:p>
    <w:p w14:paraId="67000000">
      <w:pPr>
        <w:widowControl w:val="0"/>
        <w:tabs>
          <w:tab w:leader="none" w:pos="567" w:val="left"/>
        </w:tabs>
        <w:ind w:firstLine="567" w:left="0"/>
        <w:jc w:val="both"/>
        <w:rPr>
          <w:b w:val="1"/>
          <w:sz w:val="20"/>
          <w:u w:val="single"/>
        </w:rPr>
      </w:pPr>
      <w:r>
        <w:rPr>
          <w:sz w:val="20"/>
        </w:rPr>
        <w:t>7.1</w:t>
      </w:r>
      <w:r>
        <w:rPr>
          <w:sz w:val="20"/>
        </w:rPr>
        <w:t>5</w:t>
      </w:r>
      <w:r>
        <w:rPr>
          <w:sz w:val="20"/>
        </w:rPr>
        <w:t>. Решение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Исполнителем Заказчика об одностороннем отказе от исполнения Контракта.</w:t>
      </w:r>
    </w:p>
    <w:p w14:paraId="68000000">
      <w:pPr>
        <w:widowControl w:val="0"/>
        <w:tabs>
          <w:tab w:leader="none" w:pos="567" w:val="left"/>
        </w:tabs>
        <w:ind w:firstLine="567" w:left="0"/>
        <w:jc w:val="both"/>
        <w:rPr>
          <w:b w:val="1"/>
          <w:sz w:val="20"/>
          <w:u w:val="single"/>
        </w:rPr>
      </w:pPr>
      <w:r>
        <w:rPr>
          <w:sz w:val="20"/>
        </w:rPr>
        <w:t>7.1</w:t>
      </w:r>
      <w:r>
        <w:rPr>
          <w:sz w:val="20"/>
        </w:rPr>
        <w:t>6</w:t>
      </w:r>
      <w:r>
        <w:rPr>
          <w:sz w:val="20"/>
        </w:rPr>
        <w:t>.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69000000">
      <w:pPr>
        <w:widowControl w:val="0"/>
        <w:tabs>
          <w:tab w:leader="none" w:pos="567" w:val="left"/>
        </w:tabs>
        <w:ind w:firstLine="567" w:left="0"/>
        <w:jc w:val="both"/>
        <w:rPr>
          <w:b w:val="1"/>
          <w:sz w:val="20"/>
          <w:u w:val="single"/>
        </w:rPr>
      </w:pPr>
      <w:r>
        <w:rPr>
          <w:sz w:val="20"/>
        </w:rPr>
        <w:t>7.1</w:t>
      </w:r>
      <w:r>
        <w:rPr>
          <w:sz w:val="20"/>
        </w:rPr>
        <w:t>7</w:t>
      </w:r>
      <w:r>
        <w:rPr>
          <w:sz w:val="20"/>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w:t>
      </w:r>
      <w:r>
        <w:rPr>
          <w:sz w:val="20"/>
        </w:rPr>
        <w:t>т</w:t>
      </w:r>
      <w:r>
        <w:rPr>
          <w:sz w:val="20"/>
        </w:rPr>
        <w:t>а.</w:t>
      </w:r>
    </w:p>
    <w:p w14:paraId="6A000000">
      <w:pPr>
        <w:widowControl w:val="0"/>
        <w:tabs>
          <w:tab w:leader="none" w:pos="567" w:val="left"/>
        </w:tabs>
        <w:ind w:firstLine="567" w:left="0"/>
        <w:jc w:val="both"/>
        <w:rPr>
          <w:b w:val="1"/>
          <w:sz w:val="20"/>
          <w:u w:val="single"/>
        </w:rPr>
      </w:pPr>
      <w:r>
        <w:rPr>
          <w:sz w:val="20"/>
        </w:rPr>
        <w:t>7.1</w:t>
      </w:r>
      <w:r>
        <w:rPr>
          <w:sz w:val="20"/>
        </w:rPr>
        <w:t>8</w:t>
      </w:r>
      <w:r>
        <w:rPr>
          <w:sz w:val="20"/>
        </w:rPr>
        <w:t xml:space="preserve">. Предусмотрена возможность одностороннего отказа от исполнения контракта в соответствии с ч. 8-25 ст. 95 Закона № 44-ФЗ. </w:t>
      </w:r>
    </w:p>
    <w:p w14:paraId="6B000000">
      <w:pPr>
        <w:widowControl w:val="0"/>
        <w:tabs>
          <w:tab w:leader="none" w:pos="567" w:val="left"/>
        </w:tabs>
        <w:ind w:firstLine="567" w:left="0"/>
        <w:jc w:val="both"/>
        <w:rPr>
          <w:sz w:val="20"/>
        </w:rPr>
      </w:pPr>
      <w:r>
        <w:rPr>
          <w:sz w:val="20"/>
        </w:rPr>
        <w:t>7.1</w:t>
      </w:r>
      <w:r>
        <w:rPr>
          <w:sz w:val="20"/>
        </w:rPr>
        <w:t>9</w:t>
      </w:r>
      <w:r>
        <w:rPr>
          <w:sz w:val="20"/>
        </w:rPr>
        <w:t xml:space="preserve">. </w:t>
      </w:r>
      <w:r>
        <w:rPr>
          <w:sz w:val="20"/>
        </w:rPr>
        <w:t xml:space="preserve">Контрактом предусмотрена возможность изменения объема оказываемых в рамках контракта </w:t>
      </w:r>
      <w:r>
        <w:rPr>
          <w:sz w:val="20"/>
        </w:rPr>
        <w:t>работ</w:t>
      </w:r>
      <w:r>
        <w:rPr>
          <w:sz w:val="20"/>
        </w:rPr>
        <w:t xml:space="preserve"> в рамках ч. 1 ст. 95 Федерального закона №44-ФЗ.</w:t>
      </w:r>
    </w:p>
    <w:p w14:paraId="6C000000">
      <w:pPr>
        <w:widowControl w:val="0"/>
        <w:tabs>
          <w:tab w:leader="none" w:pos="567" w:val="left"/>
        </w:tabs>
        <w:ind w:firstLine="567" w:left="0"/>
        <w:jc w:val="both"/>
        <w:rPr>
          <w:sz w:val="20"/>
        </w:rPr>
      </w:pPr>
    </w:p>
    <w:p w14:paraId="6D000000">
      <w:pPr>
        <w:widowControl w:val="0"/>
        <w:spacing w:line="254" w:lineRule="exact"/>
        <w:ind/>
        <w:jc w:val="center"/>
        <w:rPr>
          <w:b w:val="1"/>
          <w:sz w:val="20"/>
        </w:rPr>
      </w:pPr>
      <w:r>
        <w:rPr>
          <w:b w:val="1"/>
          <w:sz w:val="20"/>
        </w:rPr>
        <w:t>8. Действие непреодолимой силы</w:t>
      </w:r>
    </w:p>
    <w:p w14:paraId="6E000000">
      <w:pPr>
        <w:widowControl w:val="0"/>
        <w:ind w:firstLine="720" w:left="0"/>
        <w:jc w:val="both"/>
        <w:rPr>
          <w:sz w:val="20"/>
        </w:rPr>
      </w:pPr>
      <w:r>
        <w:rPr>
          <w:sz w:val="20"/>
        </w:rPr>
        <w:t>8.1.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блокады, изменения законодательства, препятствующих надлежащему исполнению обязательств по настоящему Контракту, а также других чрезвычайных обстоятельств, которые возникли после заключения настоящего Контракта и непосредственно повлияли на исполнение Сторонами своих обязательств, либо обстоятельств, которых Стороны были не в состоянии предвидеть и предотвратить.</w:t>
      </w:r>
    </w:p>
    <w:p w14:paraId="6F000000">
      <w:pPr>
        <w:widowControl w:val="0"/>
        <w:ind w:firstLine="720" w:left="0"/>
        <w:jc w:val="both"/>
        <w:rPr>
          <w:sz w:val="20"/>
        </w:rPr>
      </w:pPr>
      <w:r>
        <w:rPr>
          <w:sz w:val="20"/>
        </w:rPr>
        <w:t>8.2. Сторона, подвергшаяся действию обстоятельств непреодолимой силы, обязана</w:t>
      </w:r>
      <w:r>
        <w:rPr>
          <w:sz w:val="20"/>
        </w:rPr>
        <w:t xml:space="preserve"> в течение семи календарных дней письменно уведомить другую Сторону о возникновении, виде и возможной продолжительности действия указанных обстоятельств. Данное уведомление должно быть подтверждено компетентным органом территории, где данное обстоятельство имело место (в случае если Исполнителем является нерезидент Российской Федерации - Торгово-промышленной палатой страны, где данное обстоятельство имело место).</w:t>
      </w:r>
    </w:p>
    <w:p w14:paraId="70000000">
      <w:pPr>
        <w:widowControl w:val="0"/>
        <w:ind w:firstLine="720" w:left="0"/>
        <w:jc w:val="both"/>
        <w:rPr>
          <w:sz w:val="20"/>
        </w:rPr>
      </w:pPr>
      <w:r>
        <w:rPr>
          <w:sz w:val="20"/>
        </w:rPr>
        <w:t>8.3. Если такого уведомления не будет сделано в срок, указанный в пункте 8.2 настоящего Контракта, Сторона, подвергшаяся действию обстоятельств непреодолимой силы, лишается права ссылаться на них в свое оправдание, разве что само то обстоятельство не давало возможности послать уведомление.</w:t>
      </w:r>
    </w:p>
    <w:p w14:paraId="71000000">
      <w:pPr>
        <w:widowControl w:val="0"/>
        <w:ind w:firstLine="720" w:left="0"/>
        <w:jc w:val="both"/>
        <w:rPr>
          <w:sz w:val="20"/>
        </w:rPr>
      </w:pPr>
      <w:r>
        <w:rPr>
          <w:sz w:val="20"/>
        </w:rPr>
        <w:t>8.4. При возникновении обстоятельств непреодолимой силы, предусмотренных пунктом 8.1 настоящего Контракта, при условии соблюдения требований пункта 8.2 настоящего Контракта, срок исполнения обязательств по настоящему Контракту продлевается соразмерно сроку действия обстоятельств непреодолимой силы.</w:t>
      </w:r>
    </w:p>
    <w:p w14:paraId="72000000">
      <w:pPr>
        <w:widowControl w:val="0"/>
        <w:ind w:firstLine="720" w:left="0"/>
        <w:jc w:val="both"/>
        <w:rPr>
          <w:sz w:val="20"/>
        </w:rPr>
      </w:pPr>
      <w:r>
        <w:rPr>
          <w:sz w:val="20"/>
        </w:rPr>
        <w:t>8.5. Если обстоятельства непреодолимой силы будут действовать свыше 6 (шести) месяцев, каждая из Сторон вправе требовать расторжения настоящего Контракта полностью или частично. При этом ни одна из Сторон не получит права требовать от другой Стороны возмещения убытков.</w:t>
      </w:r>
    </w:p>
    <w:p w14:paraId="73000000">
      <w:pPr>
        <w:widowControl w:val="0"/>
        <w:ind w:firstLine="720" w:left="0"/>
        <w:jc w:val="both"/>
        <w:rPr>
          <w:sz w:val="20"/>
        </w:rPr>
      </w:pPr>
    </w:p>
    <w:p w14:paraId="74000000">
      <w:pPr>
        <w:widowControl w:val="0"/>
        <w:ind/>
        <w:jc w:val="center"/>
        <w:rPr>
          <w:b w:val="1"/>
          <w:sz w:val="20"/>
        </w:rPr>
      </w:pPr>
      <w:r>
        <w:rPr>
          <w:b w:val="1"/>
          <w:sz w:val="20"/>
        </w:rPr>
        <w:t>9. Ответственность Сторон и порядок разрешения споров</w:t>
      </w:r>
    </w:p>
    <w:p w14:paraId="75000000">
      <w:pPr>
        <w:widowControl w:val="0"/>
        <w:ind w:firstLine="567" w:left="0"/>
        <w:jc w:val="both"/>
        <w:rPr>
          <w:sz w:val="20"/>
        </w:rPr>
      </w:pPr>
      <w:r>
        <w:rPr>
          <w:sz w:val="20"/>
        </w:rPr>
        <w:t xml:space="preserve">9.1. За неисполнение или ненадлежащее исполнение обязательств по настоящему Контракту Стороны несут ответственность в соответствии с законодательством Российской Федерации. </w:t>
      </w:r>
      <w:r>
        <w:rPr>
          <w:sz w:val="20"/>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76000000">
      <w:pPr>
        <w:widowControl w:val="0"/>
        <w:ind w:firstLine="567" w:left="0"/>
        <w:jc w:val="both"/>
        <w:rPr>
          <w:sz w:val="20"/>
        </w:rPr>
      </w:pPr>
      <w:r>
        <w:rPr>
          <w:sz w:val="20"/>
        </w:rPr>
        <w:t>9.2. Размер штрафа устанавливается настоящим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РФ от 30.08.2017 года №1042 (далее Правила), в том числе рассчитывается как процент цены Контракта, или в случае, если Контрактом предусмотрены этапы исполнения Контр</w:t>
      </w:r>
      <w:r>
        <w:rPr>
          <w:sz w:val="20"/>
        </w:rPr>
        <w:t>акта, как процент этапа исполнения Контракта (далее - цена Контракта (этапа).</w:t>
      </w:r>
    </w:p>
    <w:p w14:paraId="77000000">
      <w:pPr>
        <w:widowControl w:val="0"/>
        <w:ind w:firstLine="567" w:left="0"/>
        <w:jc w:val="both"/>
        <w:rPr>
          <w:sz w:val="20"/>
        </w:rPr>
      </w:pPr>
      <w:r>
        <w:rPr>
          <w:sz w:val="20"/>
        </w:rPr>
        <w:t>9.3.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r>
        <w:rPr>
          <w:sz w:val="20"/>
        </w:rPr>
        <w:t xml:space="preserve"> 10 процентов цены Контракта (этапа).</w:t>
      </w:r>
    </w:p>
    <w:p w14:paraId="78000000">
      <w:pPr>
        <w:widowControl w:val="0"/>
        <w:ind w:firstLine="567" w:left="0"/>
        <w:jc w:val="both"/>
        <w:rPr>
          <w:i w:val="1"/>
          <w:sz w:val="20"/>
        </w:rPr>
      </w:pPr>
      <w:r>
        <w:rPr>
          <w:sz w:val="20"/>
        </w:rPr>
        <w:t>9.4.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Федерального закона «О контрактной системе в сфере закупок товаров, работ, услуг для обеспечения госуд</w:t>
      </w:r>
      <w:r>
        <w:rPr>
          <w:sz w:val="20"/>
        </w:rPr>
        <w:t>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 Размер штрафа составляет 1 000 (одна тысяча) рублей 00 копеек</w:t>
      </w:r>
      <w:r>
        <w:rPr>
          <w:i w:val="1"/>
          <w:sz w:val="20"/>
        </w:rPr>
        <w:t>.</w:t>
      </w:r>
    </w:p>
    <w:p w14:paraId="79000000">
      <w:pPr>
        <w:widowControl w:val="0"/>
        <w:ind w:firstLine="567" w:left="0"/>
        <w:jc w:val="both"/>
        <w:rPr>
          <w:sz w:val="20"/>
        </w:rPr>
      </w:pPr>
      <w:r>
        <w:rPr>
          <w:sz w:val="20"/>
        </w:rPr>
        <w:t>9.5.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w:t>
      </w:r>
      <w:r>
        <w:rPr>
          <w:sz w:val="20"/>
        </w:rPr>
        <w:t>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r>
        <w:rPr>
          <w:sz w:val="20"/>
        </w:rPr>
        <w:t xml:space="preserve"> 10 процентов начальной (максимальной) цены контракта.</w:t>
      </w:r>
    </w:p>
    <w:p w14:paraId="7A000000">
      <w:pPr>
        <w:widowControl w:val="0"/>
        <w:ind w:firstLine="567" w:left="0"/>
        <w:jc w:val="both"/>
        <w:rPr>
          <w:sz w:val="20"/>
        </w:rPr>
      </w:pPr>
      <w:r>
        <w:rPr>
          <w:sz w:val="20"/>
        </w:rPr>
        <w:t>9.6.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r>
        <w:rPr>
          <w:sz w:val="20"/>
        </w:rPr>
        <w:t xml:space="preserve"> 1000 рублей.</w:t>
      </w:r>
    </w:p>
    <w:p w14:paraId="7B000000">
      <w:pPr>
        <w:widowControl w:val="0"/>
        <w:ind w:firstLine="567" w:left="0"/>
        <w:jc w:val="both"/>
        <w:rPr>
          <w:sz w:val="20"/>
        </w:rPr>
      </w:pPr>
      <w:r>
        <w:rPr>
          <w:sz w:val="20"/>
        </w:rPr>
        <w:t>9.7. В случае если в соответствии с частью 6 статьи 30 Федерального закона контрактом предусмотрено условие о гражданско-правовой ответственности Исполнителя за неисполнение условия о привлечении к исполнению контракта субподрядчиков, соисполнителей из числа субъек</w:t>
      </w:r>
      <w:r>
        <w:rPr>
          <w:sz w:val="20"/>
        </w:rPr>
        <w:t>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
    <w:p w14:paraId="7C000000">
      <w:pPr>
        <w:widowControl w:val="0"/>
        <w:ind w:firstLine="567" w:left="0"/>
        <w:jc w:val="both"/>
        <w:rPr>
          <w:sz w:val="20"/>
        </w:rPr>
      </w:pPr>
      <w:r>
        <w:rPr>
          <w:sz w:val="20"/>
        </w:rPr>
        <w:t>9.8.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 (Правила, утвер</w:t>
      </w:r>
      <w:r>
        <w:rPr>
          <w:sz w:val="20"/>
        </w:rPr>
        <w:t>жденные Постановлением Правительства от 30.08.2017 года №1042).</w:t>
      </w:r>
    </w:p>
    <w:p w14:paraId="7D000000">
      <w:pPr>
        <w:widowControl w:val="0"/>
        <w:ind w:firstLine="567" w:left="0"/>
        <w:jc w:val="both"/>
        <w:rPr>
          <w:sz w:val="20"/>
        </w:rPr>
      </w:pPr>
      <w:r>
        <w:rPr>
          <w:sz w:val="20"/>
        </w:rPr>
        <w:t>9.9.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r>
        <w:rPr>
          <w:sz w:val="20"/>
        </w:rPr>
        <w:t xml:space="preserve"> 1000 рублей.</w:t>
      </w:r>
    </w:p>
    <w:p w14:paraId="7E000000">
      <w:pPr>
        <w:widowControl w:val="0"/>
        <w:ind w:firstLine="567" w:left="0"/>
        <w:jc w:val="both"/>
        <w:rPr>
          <w:sz w:val="20"/>
        </w:rPr>
      </w:pPr>
      <w:r>
        <w:rPr>
          <w:sz w:val="20"/>
        </w:rPr>
        <w:t>9.10.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14:paraId="7F000000">
      <w:pPr>
        <w:widowControl w:val="0"/>
        <w:ind w:firstLine="567" w:left="0"/>
        <w:jc w:val="both"/>
        <w:rPr>
          <w:sz w:val="20"/>
        </w:rPr>
      </w:pPr>
      <w:r>
        <w:rPr>
          <w:sz w:val="20"/>
        </w:rPr>
        <w:t>9.11.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80000000">
      <w:pPr>
        <w:widowControl w:val="0"/>
        <w:ind w:firstLine="567" w:left="0"/>
        <w:jc w:val="both"/>
        <w:rPr>
          <w:sz w:val="20"/>
        </w:rPr>
      </w:pPr>
      <w:r>
        <w:rPr>
          <w:sz w:val="20"/>
        </w:rPr>
        <w:t>9.12. В случае просрочки исполнения Исполнителем обязательств, предусмотренных настоящим Контрактом, Заказчик направляет Исполнителю требование об уплате пеней.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настоящим Контрактом срока исполнения обязательства. Пеня устанавливается Контрактом в размере, определенном в порядке, установленном Правительством Российской Федерации от 30.08.2017 г. № 1042, в размере 1/300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81000000">
      <w:pPr>
        <w:widowControl w:val="0"/>
        <w:ind w:firstLine="567" w:left="0"/>
        <w:jc w:val="both"/>
        <w:rPr>
          <w:sz w:val="20"/>
        </w:rPr>
      </w:pPr>
      <w:r>
        <w:rPr>
          <w:sz w:val="20"/>
        </w:rPr>
        <w:t>При этом общая сумма начисленной пени в случае просрочки исполнения Исполнителем обязательств, предусмотренных настоящим Контрактом, не может превышать цену Контракта.</w:t>
      </w:r>
    </w:p>
    <w:p w14:paraId="82000000">
      <w:pPr>
        <w:widowControl w:val="0"/>
        <w:ind w:firstLine="567" w:left="0"/>
        <w:jc w:val="both"/>
        <w:rPr>
          <w:sz w:val="20"/>
        </w:rPr>
      </w:pPr>
      <w:r>
        <w:rPr>
          <w:sz w:val="20"/>
        </w:rPr>
        <w:t>9.13. В случае просрочки исполнения Заказчиком обязательства, предусмотренного настоящим Контрактом, Исполнитель вправе потребовать уплату пеней за каждый день просрочки исполнения обязательства начиная со дня, следующего после дня истечения установленного настоящим Контрактом срока исполнения обязательства, в размере 1/300 (одной трехсотой) действующей на дату уплаты пеней ключевой ставки Центрального банка Российской Федерации от не уплаченной в срок суммы.</w:t>
      </w:r>
      <w:r>
        <w:rPr>
          <w:sz w:val="20"/>
        </w:rPr>
        <w:t xml:space="preserve"> При этом общая сумма начисленной пени в случае просрочки исполнения Заказчиком обязательства, предусмотренного настоящим Контрактом, не может превышать цену Контракта.</w:t>
      </w:r>
    </w:p>
    <w:p w14:paraId="83000000">
      <w:pPr>
        <w:widowControl w:val="0"/>
        <w:ind w:firstLine="567" w:left="0"/>
        <w:jc w:val="both"/>
        <w:rPr>
          <w:sz w:val="20"/>
        </w:rPr>
      </w:pPr>
      <w:r>
        <w:rPr>
          <w:sz w:val="20"/>
        </w:rPr>
        <w:t>9.14.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84000000">
      <w:pPr>
        <w:widowControl w:val="0"/>
        <w:ind w:firstLine="567" w:left="0"/>
        <w:jc w:val="both"/>
        <w:rPr>
          <w:sz w:val="20"/>
        </w:rPr>
      </w:pPr>
      <w:r>
        <w:rPr>
          <w:sz w:val="20"/>
        </w:rPr>
        <w:t xml:space="preserve">9.15. </w:t>
      </w:r>
      <w:r>
        <w:rPr>
          <w:sz w:val="20"/>
        </w:rPr>
        <w:t xml:space="preserve">Исполнитель отвечает за утрату, недостачу или повреждение имущества, принятого под охрану, если не докажет, что утрата, недостача или повреждение произошли вследствие непреодолимой силы либо из-за свойств имущества, о которых Исполнитель, принимая его под охрану, не знал и не должен был знать. </w:t>
      </w:r>
    </w:p>
    <w:p w14:paraId="85000000">
      <w:pPr>
        <w:widowControl w:val="0"/>
        <w:ind w:firstLine="567" w:left="0"/>
        <w:jc w:val="both"/>
        <w:rPr>
          <w:sz w:val="20"/>
        </w:rPr>
      </w:pPr>
      <w:r>
        <w:rPr>
          <w:sz w:val="20"/>
        </w:rPr>
        <w:t>9.16. Исполнитель обязан возместить Заказчику убытки, причиненные ему утратой, недостачей или повреждением имущества или иным ненадлежащим исполнением настоящего Контракта.</w:t>
      </w:r>
    </w:p>
    <w:p w14:paraId="86000000">
      <w:pPr>
        <w:widowControl w:val="0"/>
        <w:ind w:firstLine="567" w:left="0"/>
        <w:jc w:val="both"/>
        <w:rPr>
          <w:sz w:val="20"/>
        </w:rPr>
      </w:pPr>
      <w:r>
        <w:rPr>
          <w:sz w:val="20"/>
        </w:rPr>
        <w:t>9.17. В случае обнаружения одной из Сторон утраты, недостачи или повреждения имущества (включая ухудшение качества имущества) обнаружившая их Сторона должна незамедлительно уведомить другую Сторону об этом любым доступным способом (посредством направления телеграммы, телефонограммы и т.п.).</w:t>
      </w:r>
    </w:p>
    <w:p w14:paraId="87000000">
      <w:pPr>
        <w:widowControl w:val="0"/>
        <w:ind w:firstLine="567" w:left="0"/>
        <w:jc w:val="both"/>
        <w:rPr>
          <w:sz w:val="20"/>
        </w:rPr>
      </w:pPr>
      <w:r>
        <w:rPr>
          <w:sz w:val="20"/>
        </w:rPr>
        <w:t>В случае обнаружения Заказчиком утраты, недостачи или повреждения имущества при его получении заявление о недостаче или повреждении имущества вследствие ненадлежащей охраны должно быть сделано Заказчиком письменно в течение 3 (трех) рабочих дней, а в отношении недостачи или повреждения, которые не могли б</w:t>
      </w:r>
      <w:r>
        <w:rPr>
          <w:sz w:val="20"/>
        </w:rPr>
        <w:t>ыть обнаружены при принятии Заказчиком имущества, в течение 10 (десяти) рабочих дней после его получения.</w:t>
      </w:r>
    </w:p>
    <w:p w14:paraId="88000000">
      <w:pPr>
        <w:widowControl w:val="0"/>
        <w:ind w:firstLine="567" w:left="0"/>
        <w:jc w:val="both"/>
        <w:rPr>
          <w:sz w:val="20"/>
        </w:rPr>
      </w:pPr>
      <w:r>
        <w:rPr>
          <w:sz w:val="20"/>
        </w:rPr>
        <w:t>По результатам совместного обследования имущества Стороны составляют акт, в котором указывают перечень, количество утраченного или поврежденного имущества;</w:t>
      </w:r>
    </w:p>
    <w:p w14:paraId="89000000">
      <w:pPr>
        <w:widowControl w:val="0"/>
        <w:ind w:firstLine="567" w:left="0"/>
        <w:jc w:val="both"/>
        <w:rPr>
          <w:sz w:val="20"/>
        </w:rPr>
      </w:pPr>
      <w:r>
        <w:rPr>
          <w:sz w:val="20"/>
        </w:rPr>
        <w:t>Исполнитель обязан в течение 10 (десяти) рабочих дней после определения Заказчиком       (с привлечением независимых экспертов-оценщиков) рыночной стоимости имущества уплатить Заказчику сумму рыночной стоимости утраченного или поврежденного имущества. Уплата стоимости утраченного или поврежденного имущества не освобождает Исполнителя от возмещения иных убытков Заказчика.</w:t>
      </w:r>
    </w:p>
    <w:p w14:paraId="8A000000">
      <w:pPr>
        <w:widowControl w:val="0"/>
        <w:ind w:firstLine="567" w:left="0"/>
        <w:jc w:val="both"/>
        <w:rPr>
          <w:sz w:val="20"/>
        </w:rPr>
      </w:pPr>
      <w:r>
        <w:rPr>
          <w:sz w:val="20"/>
        </w:rPr>
        <w:t>9.18. Кроме того, в случае обнаружения иных, кроме указанных в пунктах 9.1</w:t>
      </w:r>
      <w:r>
        <w:rPr>
          <w:sz w:val="20"/>
        </w:rPr>
        <w:t>5.-9.17. недостатков оказанной работы</w:t>
      </w:r>
      <w:r>
        <w:rPr>
          <w:sz w:val="20"/>
        </w:rPr>
        <w:t>, Заказчик вправе на свое усмотрение потребовать от Исполнителя:</w:t>
      </w:r>
    </w:p>
    <w:p w14:paraId="8B000000">
      <w:pPr>
        <w:widowControl w:val="0"/>
        <w:ind w:firstLine="567" w:left="0"/>
        <w:jc w:val="both"/>
        <w:rPr>
          <w:sz w:val="20"/>
        </w:rPr>
      </w:pPr>
      <w:r>
        <w:rPr>
          <w:sz w:val="20"/>
        </w:rPr>
        <w:t>а) безвозмездного устранения недостатков;</w:t>
      </w:r>
    </w:p>
    <w:p w14:paraId="8C000000">
      <w:pPr>
        <w:widowControl w:val="0"/>
        <w:ind w:firstLine="567" w:left="0"/>
        <w:jc w:val="both"/>
        <w:rPr>
          <w:sz w:val="20"/>
        </w:rPr>
      </w:pPr>
      <w:r>
        <w:rPr>
          <w:sz w:val="20"/>
        </w:rPr>
        <w:t>б) возмещения понесенных им расходов по исправлению недостатков.</w:t>
      </w:r>
    </w:p>
    <w:p w14:paraId="8D000000">
      <w:pPr>
        <w:widowControl w:val="0"/>
        <w:ind w:firstLine="567" w:left="0"/>
        <w:jc w:val="both"/>
        <w:rPr>
          <w:sz w:val="20"/>
        </w:rPr>
      </w:pPr>
      <w:r>
        <w:rPr>
          <w:sz w:val="20"/>
        </w:rPr>
        <w:t>9.19. Исполнитель несет ответственность по настоящему Контракту за действия привлекаемых соисполнителей как за свои собственные.</w:t>
      </w:r>
    </w:p>
    <w:p w14:paraId="8E000000">
      <w:pPr>
        <w:widowControl w:val="0"/>
        <w:ind w:firstLine="567" w:left="0"/>
        <w:jc w:val="both"/>
        <w:rPr>
          <w:sz w:val="20"/>
        </w:rPr>
      </w:pPr>
      <w:r>
        <w:rPr>
          <w:sz w:val="20"/>
        </w:rPr>
        <w:t>9.20. Меры ответственности Сторон, не предусмотренные настоящим Контрактом, принимаются в соответствии с нормами гражданского законодательства Российской Федерации.</w:t>
      </w:r>
    </w:p>
    <w:p w14:paraId="8F000000">
      <w:pPr>
        <w:widowControl w:val="0"/>
        <w:ind w:firstLine="567" w:left="0"/>
        <w:jc w:val="both"/>
        <w:rPr>
          <w:sz w:val="20"/>
        </w:rPr>
      </w:pPr>
      <w:r>
        <w:rPr>
          <w:sz w:val="20"/>
        </w:rPr>
        <w:t>9.21. При расторжении Контракта в связи с односторонним отказом стороны Контракта от исполнения Контракта другая сторона К</w:t>
      </w:r>
      <w:r>
        <w:rPr>
          <w:sz w:val="20"/>
        </w:rPr>
        <w:t>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90000000">
      <w:pPr>
        <w:widowControl w:val="0"/>
        <w:ind w:firstLine="567" w:left="0"/>
        <w:jc w:val="both"/>
        <w:rPr>
          <w:sz w:val="20"/>
        </w:rPr>
      </w:pPr>
    </w:p>
    <w:p w14:paraId="91000000">
      <w:pPr>
        <w:widowControl w:val="0"/>
        <w:ind w:firstLine="0" w:left="3360"/>
        <w:rPr>
          <w:b w:val="1"/>
          <w:sz w:val="20"/>
        </w:rPr>
      </w:pPr>
      <w:r>
        <w:rPr>
          <w:b w:val="1"/>
          <w:sz w:val="20"/>
        </w:rPr>
        <w:t>10. Обеспечение контракта</w:t>
      </w:r>
    </w:p>
    <w:p w14:paraId="92000000">
      <w:pPr>
        <w:widowControl w:val="0"/>
        <w:ind w:firstLine="709" w:left="0"/>
        <w:jc w:val="both"/>
        <w:rPr>
          <w:sz w:val="20"/>
        </w:rPr>
      </w:pPr>
      <w:r>
        <w:rPr>
          <w:sz w:val="20"/>
        </w:rPr>
        <w:t>1</w:t>
      </w:r>
      <w:r>
        <w:rPr>
          <w:sz w:val="20"/>
        </w:rPr>
        <w:t>0.1</w:t>
      </w:r>
      <w:r>
        <w:rPr>
          <w:sz w:val="20"/>
        </w:rPr>
        <w:t>. Обеспечение исполнения контракта не требуется.</w:t>
      </w:r>
    </w:p>
    <w:p w14:paraId="93000000">
      <w:pPr>
        <w:widowControl w:val="0"/>
        <w:ind w:firstLine="709" w:left="0"/>
        <w:jc w:val="both"/>
        <w:rPr>
          <w:sz w:val="20"/>
        </w:rPr>
      </w:pPr>
    </w:p>
    <w:p w14:paraId="94000000">
      <w:pPr>
        <w:widowControl w:val="0"/>
        <w:ind/>
        <w:jc w:val="center"/>
        <w:rPr>
          <w:sz w:val="20"/>
        </w:rPr>
      </w:pPr>
      <w:r>
        <w:rPr>
          <w:b w:val="1"/>
          <w:sz w:val="20"/>
        </w:rPr>
        <w:t xml:space="preserve">11. </w:t>
      </w:r>
      <w:r>
        <w:rPr>
          <w:b w:val="1"/>
          <w:sz w:val="20"/>
        </w:rPr>
        <w:t>Порядок разрешения споров</w:t>
      </w:r>
    </w:p>
    <w:p w14:paraId="95000000">
      <w:pPr>
        <w:widowControl w:val="0"/>
        <w:ind w:firstLine="567" w:left="0"/>
        <w:jc w:val="both"/>
        <w:rPr>
          <w:sz w:val="20"/>
        </w:rPr>
      </w:pPr>
      <w:r>
        <w:rPr>
          <w:sz w:val="20"/>
        </w:rPr>
        <w:t>11.1. Стороны принимают все меры к тому, чтобы любые спорные вопросы, разногласия либо претензии, касающиеся исполнения Контракта, были урегулированы путём переговоров, с оформлением совместного протокола урегулирования споров.</w:t>
      </w:r>
    </w:p>
    <w:p w14:paraId="96000000">
      <w:pPr>
        <w:widowControl w:val="0"/>
        <w:ind w:firstLine="567" w:left="0"/>
        <w:jc w:val="both"/>
        <w:rPr>
          <w:sz w:val="20"/>
        </w:rPr>
      </w:pPr>
      <w:r>
        <w:rPr>
          <w:sz w:val="20"/>
        </w:rPr>
        <w:t>11.2.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Контракту, Сторона, к которой адресована данная претензия, должна дать письменный ответ по существу претензии в срок не позднее 10 (десяти) календарных дней с даты её получения.</w:t>
      </w:r>
    </w:p>
    <w:p w14:paraId="97000000">
      <w:pPr>
        <w:widowControl w:val="0"/>
        <w:ind w:firstLine="567" w:left="0"/>
        <w:jc w:val="both"/>
        <w:rPr>
          <w:sz w:val="20"/>
        </w:rPr>
      </w:pPr>
      <w:r>
        <w:rPr>
          <w:sz w:val="20"/>
        </w:rPr>
        <w:t>11.3. Любые споры, неурегулированные в досудебном порядке разрешаются Арбитражным судом Белгородской области.</w:t>
      </w:r>
    </w:p>
    <w:p w14:paraId="98000000">
      <w:pPr>
        <w:widowControl w:val="0"/>
        <w:ind w:firstLine="567" w:left="0"/>
        <w:jc w:val="both"/>
        <w:rPr>
          <w:sz w:val="20"/>
        </w:rPr>
      </w:pPr>
      <w:r>
        <w:rPr>
          <w:sz w:val="20"/>
        </w:rPr>
        <w:t>11.4.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14:paraId="99000000">
      <w:pPr>
        <w:widowControl w:val="0"/>
        <w:ind w:firstLine="567" w:left="0"/>
        <w:jc w:val="both"/>
        <w:rPr>
          <w:sz w:val="20"/>
        </w:rPr>
      </w:pPr>
    </w:p>
    <w:p w14:paraId="9A000000">
      <w:pPr>
        <w:widowControl w:val="0"/>
        <w:tabs>
          <w:tab w:leader="none" w:pos="2232" w:val="left"/>
        </w:tabs>
        <w:ind w:right="14"/>
        <w:jc w:val="center"/>
        <w:rPr>
          <w:b w:val="1"/>
          <w:sz w:val="20"/>
        </w:rPr>
      </w:pPr>
      <w:r>
        <w:rPr>
          <w:b w:val="1"/>
          <w:sz w:val="20"/>
        </w:rPr>
        <w:t>12. Гарантии</w:t>
      </w:r>
    </w:p>
    <w:p w14:paraId="9B000000">
      <w:pPr>
        <w:widowControl w:val="0"/>
        <w:ind w:right="14"/>
        <w:jc w:val="both"/>
        <w:rPr>
          <w:sz w:val="20"/>
        </w:rPr>
      </w:pPr>
      <w:r>
        <w:rPr>
          <w:sz w:val="20"/>
        </w:rPr>
        <w:tab/>
      </w:r>
      <w:r>
        <w:rPr>
          <w:sz w:val="20"/>
        </w:rPr>
        <w:t xml:space="preserve">12.1. Исполнитель гарантирует надлежащее качество оказываемых </w:t>
      </w:r>
      <w:r>
        <w:rPr>
          <w:sz w:val="20"/>
        </w:rPr>
        <w:t>работ</w:t>
      </w:r>
      <w:r>
        <w:rPr>
          <w:sz w:val="20"/>
        </w:rPr>
        <w:t xml:space="preserve"> на протяжении всего действия Контракта, а также в случае продления действия контракта на весь период продления срока действия Контракта.</w:t>
      </w:r>
    </w:p>
    <w:p w14:paraId="9C000000">
      <w:pPr>
        <w:widowControl w:val="0"/>
        <w:ind w:right="14"/>
        <w:jc w:val="both"/>
        <w:rPr>
          <w:sz w:val="20"/>
        </w:rPr>
      </w:pPr>
      <w:r>
        <w:rPr>
          <w:sz w:val="20"/>
        </w:rPr>
        <w:tab/>
      </w:r>
      <w:r>
        <w:rPr>
          <w:sz w:val="20"/>
        </w:rPr>
        <w:t>12.2. Обеспечение гарантийных обязательств не требуется.</w:t>
      </w:r>
      <w:r>
        <w:rPr>
          <w:sz w:val="20"/>
        </w:rPr>
        <w:t xml:space="preserve"> </w:t>
      </w:r>
    </w:p>
    <w:p w14:paraId="9D000000">
      <w:pPr>
        <w:widowControl w:val="0"/>
        <w:ind w:right="14"/>
        <w:jc w:val="both"/>
        <w:rPr>
          <w:sz w:val="20"/>
        </w:rPr>
      </w:pPr>
    </w:p>
    <w:p w14:paraId="9E000000">
      <w:pPr>
        <w:widowControl w:val="0"/>
        <w:ind w:hanging="357" w:left="357"/>
        <w:jc w:val="center"/>
        <w:rPr>
          <w:b w:val="1"/>
          <w:sz w:val="20"/>
        </w:rPr>
      </w:pPr>
      <w:r>
        <w:rPr>
          <w:b w:val="1"/>
          <w:sz w:val="20"/>
        </w:rPr>
        <w:t>13. Прочие условия</w:t>
      </w:r>
    </w:p>
    <w:p w14:paraId="9F000000">
      <w:pPr>
        <w:widowControl w:val="0"/>
        <w:ind w:firstLine="720" w:left="0"/>
        <w:jc w:val="both"/>
        <w:rPr>
          <w:sz w:val="20"/>
        </w:rPr>
      </w:pPr>
      <w:r>
        <w:rPr>
          <w:sz w:val="20"/>
        </w:rPr>
        <w:t>13.1. Любые изменения, дополнения и приложения к настоящему Контракту действительны, если они выполнены в письменной форме и в соответствии с законодательством Российской Федерации, а также подписаны уполномоченными представителями каждой из Сторон.</w:t>
      </w:r>
    </w:p>
    <w:p w14:paraId="A0000000">
      <w:pPr>
        <w:widowControl w:val="0"/>
        <w:ind w:firstLine="720" w:left="0"/>
        <w:jc w:val="both"/>
        <w:rPr>
          <w:sz w:val="20"/>
        </w:rPr>
      </w:pPr>
      <w:r>
        <w:rPr>
          <w:sz w:val="20"/>
        </w:rPr>
        <w:t>13.2. Официальным языком Контракта является русский язык.</w:t>
      </w:r>
    </w:p>
    <w:p w14:paraId="A1000000">
      <w:pPr>
        <w:widowControl w:val="0"/>
        <w:ind w:firstLine="720" w:left="0"/>
        <w:jc w:val="both"/>
        <w:rPr>
          <w:sz w:val="20"/>
        </w:rPr>
      </w:pPr>
      <w:r>
        <w:rPr>
          <w:sz w:val="20"/>
        </w:rPr>
        <w:t>В случае разночтений в текстах, написанных на разных языках, официальный язык Контракта признается основным для решения всех вопросов, касающихся значения или интерпретации Контракта.</w:t>
      </w:r>
    </w:p>
    <w:p w14:paraId="A2000000">
      <w:pPr>
        <w:widowControl w:val="0"/>
        <w:ind w:firstLine="720" w:left="0"/>
        <w:jc w:val="both"/>
        <w:rPr>
          <w:sz w:val="20"/>
        </w:rPr>
      </w:pPr>
      <w:r>
        <w:rPr>
          <w:sz w:val="20"/>
        </w:rPr>
        <w:t>13.3. Любое уведомление, запрос или согласие, выдача которых необходима или разрешена в связи с настоящим Контрактом, оформляется в письменном виде и направляется одной Стороной другой Стороне заказным письмом по почте, посредством факса или электронной почты по адресам указанными в реквизитах Сторон.</w:t>
      </w:r>
    </w:p>
    <w:p w14:paraId="A3000000">
      <w:pPr>
        <w:widowControl w:val="0"/>
        <w:ind w:firstLine="720" w:left="0"/>
        <w:jc w:val="both"/>
        <w:rPr>
          <w:sz w:val="20"/>
        </w:rPr>
      </w:pPr>
      <w:r>
        <w:rPr>
          <w:sz w:val="20"/>
        </w:rPr>
        <w:t>Стороны считаются уведомленными:</w:t>
      </w:r>
    </w:p>
    <w:p w14:paraId="A4000000">
      <w:pPr>
        <w:widowControl w:val="0"/>
        <w:tabs>
          <w:tab w:leader="none" w:pos="1080" w:val="left"/>
        </w:tabs>
        <w:ind w:firstLine="720" w:left="0"/>
        <w:jc w:val="both"/>
        <w:rPr>
          <w:sz w:val="20"/>
        </w:rPr>
      </w:pPr>
      <w:r>
        <w:rPr>
          <w:sz w:val="20"/>
        </w:rPr>
        <w:t>а)</w:t>
      </w:r>
      <w:r>
        <w:rPr>
          <w:sz w:val="20"/>
        </w:rPr>
        <w:tab/>
      </w:r>
      <w:r>
        <w:rPr>
          <w:sz w:val="20"/>
        </w:rPr>
        <w:t>в случае вручения адресату лично или доставки заказным письмом по почте – в момент доставки;</w:t>
      </w:r>
    </w:p>
    <w:p w14:paraId="A5000000">
      <w:pPr>
        <w:widowControl w:val="0"/>
        <w:tabs>
          <w:tab w:leader="none" w:pos="1080" w:val="left"/>
        </w:tabs>
        <w:ind w:firstLine="720" w:left="0"/>
        <w:jc w:val="both"/>
        <w:rPr>
          <w:sz w:val="20"/>
        </w:rPr>
      </w:pPr>
      <w:r>
        <w:rPr>
          <w:sz w:val="20"/>
        </w:rPr>
        <w:t>б)</w:t>
      </w:r>
      <w:r>
        <w:rPr>
          <w:sz w:val="20"/>
        </w:rPr>
        <w:tab/>
      </w:r>
      <w:r>
        <w:rPr>
          <w:sz w:val="20"/>
        </w:rPr>
        <w:t>в случае направления посредством факса – спустя два часа после отправления факса с подтверждением получения;</w:t>
      </w:r>
    </w:p>
    <w:p w14:paraId="A6000000">
      <w:pPr>
        <w:widowControl w:val="0"/>
        <w:tabs>
          <w:tab w:leader="none" w:pos="1080" w:val="left"/>
        </w:tabs>
        <w:ind w:firstLine="720" w:left="0"/>
        <w:jc w:val="both"/>
        <w:rPr>
          <w:sz w:val="20"/>
        </w:rPr>
      </w:pPr>
      <w:r>
        <w:rPr>
          <w:sz w:val="20"/>
        </w:rPr>
        <w:t>в)</w:t>
      </w:r>
      <w:r>
        <w:rPr>
          <w:sz w:val="20"/>
        </w:rPr>
        <w:tab/>
      </w:r>
      <w:r>
        <w:rPr>
          <w:sz w:val="20"/>
        </w:rPr>
        <w:t>в случае направления посредством электронной почты – в момент отправки (подтверждением о получении признается отметка об отправке по электронной почте).</w:t>
      </w:r>
    </w:p>
    <w:p w14:paraId="A7000000">
      <w:pPr>
        <w:widowControl w:val="0"/>
        <w:ind w:firstLine="720" w:left="0"/>
        <w:jc w:val="both"/>
        <w:rPr>
          <w:sz w:val="20"/>
        </w:rPr>
      </w:pPr>
      <w:r>
        <w:rPr>
          <w:sz w:val="20"/>
        </w:rPr>
        <w:t>13.4. Настоящий Контракт, составленный в форме электронного документа и подписанный Сторонами настоящего Контракта электронными цифровыми подписями, считается заключенным с момента направления оператором электронной площадки Исполнителю подписанного Контракта.</w:t>
      </w:r>
    </w:p>
    <w:p w14:paraId="A8000000">
      <w:pPr>
        <w:widowControl w:val="0"/>
        <w:ind w:firstLine="720" w:left="0"/>
        <w:jc w:val="both"/>
        <w:rPr>
          <w:sz w:val="20"/>
        </w:rPr>
      </w:pPr>
      <w:r>
        <w:rPr>
          <w:sz w:val="20"/>
        </w:rPr>
        <w:t>13.5. Все приложения, упомянутые в настоящем Контракте, являются его неотъемлемой частью.</w:t>
      </w:r>
    </w:p>
    <w:p w14:paraId="A9000000">
      <w:pPr>
        <w:widowControl w:val="0"/>
        <w:ind w:firstLine="708" w:left="0"/>
        <w:jc w:val="both"/>
        <w:rPr>
          <w:sz w:val="20"/>
        </w:rPr>
      </w:pPr>
      <w:r>
        <w:rPr>
          <w:sz w:val="20"/>
        </w:rPr>
        <w:t>13.6. В случае изменения у какой-либо из Сторон местонахождения, названия или других реквизитов она обязана в течение 3 (трех) дней письменно известить об этом другую Сторону.</w:t>
      </w:r>
    </w:p>
    <w:p w14:paraId="AA000000">
      <w:pPr>
        <w:widowControl w:val="0"/>
        <w:ind w:firstLine="708" w:left="0"/>
        <w:jc w:val="both"/>
        <w:rPr>
          <w:sz w:val="20"/>
        </w:rPr>
      </w:pPr>
    </w:p>
    <w:tbl>
      <w:tblPr>
        <w:tblStyle w:val="Style_1"/>
        <w:tblW w:type="auto" w:w="0"/>
        <w:tblLayout w:type="fixed"/>
      </w:tblPr>
      <w:tblGrid>
        <w:gridCol w:w="2425"/>
        <w:gridCol w:w="7854"/>
      </w:tblGrid>
      <w:tr>
        <w:tc>
          <w:tcPr>
            <w:tcW w:type="dxa" w:w="2425"/>
          </w:tcPr>
          <w:p w14:paraId="AB000000">
            <w:pPr>
              <w:widowControl w:val="0"/>
              <w:ind w:firstLine="720" w:left="0"/>
              <w:jc w:val="both"/>
              <w:rPr>
                <w:spacing w:val="2"/>
                <w:sz w:val="20"/>
              </w:rPr>
            </w:pPr>
            <w:r>
              <w:rPr>
                <w:spacing w:val="2"/>
                <w:sz w:val="20"/>
              </w:rPr>
              <w:t>Приложение:</w:t>
            </w:r>
          </w:p>
          <w:p w14:paraId="AC000000">
            <w:pPr>
              <w:widowControl w:val="0"/>
              <w:ind w:firstLine="720" w:left="0"/>
              <w:jc w:val="both"/>
              <w:rPr>
                <w:sz w:val="20"/>
              </w:rPr>
            </w:pPr>
          </w:p>
        </w:tc>
        <w:tc>
          <w:tcPr>
            <w:tcW w:type="dxa" w:w="7854"/>
          </w:tcPr>
          <w:p w14:paraId="AD000000">
            <w:pPr>
              <w:widowControl w:val="0"/>
              <w:numPr>
                <w:ilvl w:val="0"/>
                <w:numId w:val="2"/>
              </w:numPr>
              <w:tabs>
                <w:tab w:leader="none" w:pos="749" w:val="left"/>
              </w:tabs>
              <w:ind/>
              <w:jc w:val="both"/>
              <w:rPr>
                <w:spacing w:val="2"/>
                <w:sz w:val="20"/>
              </w:rPr>
            </w:pPr>
            <w:r>
              <w:rPr>
                <w:spacing w:val="2"/>
                <w:sz w:val="20"/>
              </w:rPr>
              <w:t>Техническое задание на 2 л.;</w:t>
            </w:r>
          </w:p>
          <w:p w14:paraId="AE000000">
            <w:pPr>
              <w:widowControl w:val="0"/>
              <w:numPr>
                <w:ilvl w:val="0"/>
                <w:numId w:val="2"/>
              </w:numPr>
              <w:tabs>
                <w:tab w:leader="none" w:pos="749" w:val="left"/>
              </w:tabs>
              <w:ind/>
              <w:jc w:val="both"/>
              <w:rPr>
                <w:spacing w:val="2"/>
                <w:sz w:val="20"/>
              </w:rPr>
            </w:pPr>
            <w:r>
              <w:rPr>
                <w:spacing w:val="2"/>
                <w:sz w:val="20"/>
              </w:rPr>
              <w:t>Акт приема-сдачи работ (образец) на 2 л.</w:t>
            </w:r>
          </w:p>
          <w:p w14:paraId="AF000000">
            <w:pPr>
              <w:widowControl w:val="0"/>
              <w:tabs>
                <w:tab w:leader="none" w:pos="749" w:val="left"/>
              </w:tabs>
              <w:ind/>
              <w:jc w:val="both"/>
              <w:rPr>
                <w:spacing w:val="2"/>
                <w:sz w:val="20"/>
              </w:rPr>
            </w:pPr>
          </w:p>
        </w:tc>
      </w:tr>
    </w:tbl>
    <w:p w14:paraId="B0000000">
      <w:pPr>
        <w:widowControl w:val="0"/>
        <w:spacing w:line="336" w:lineRule="auto"/>
        <w:ind/>
        <w:jc w:val="center"/>
        <w:rPr>
          <w:b w:val="1"/>
          <w:sz w:val="20"/>
        </w:rPr>
      </w:pPr>
    </w:p>
    <w:p w14:paraId="B1000000">
      <w:pPr>
        <w:widowControl w:val="0"/>
        <w:spacing w:line="336" w:lineRule="auto"/>
        <w:ind/>
        <w:jc w:val="center"/>
        <w:rPr>
          <w:b w:val="1"/>
          <w:sz w:val="20"/>
        </w:rPr>
      </w:pPr>
      <w:r>
        <w:rPr>
          <w:b w:val="1"/>
          <w:sz w:val="20"/>
        </w:rPr>
        <w:t>1</w:t>
      </w:r>
      <w:r>
        <w:rPr>
          <w:b w:val="1"/>
          <w:sz w:val="20"/>
        </w:rPr>
        <w:t>4</w:t>
      </w:r>
      <w:r>
        <w:rPr>
          <w:b w:val="1"/>
          <w:sz w:val="20"/>
        </w:rPr>
        <w:t>. Юридические адреса и реквизиты Сторон</w:t>
      </w:r>
    </w:p>
    <w:tbl>
      <w:tblPr>
        <w:tblStyle w:val="Style_1"/>
        <w:tblW w:type="auto" w:w="0"/>
        <w:tblInd w:type="dxa" w:w="-1"/>
        <w:tblLayout w:type="fixed"/>
        <w:tblCellMar>
          <w:left w:type="dxa" w:w="0"/>
          <w:right w:type="dxa" w:w="0"/>
        </w:tblCellMar>
      </w:tblPr>
      <w:tblGrid>
        <w:gridCol w:w="108"/>
        <w:gridCol w:w="4944"/>
        <w:gridCol w:w="4946"/>
        <w:gridCol w:w="549"/>
      </w:tblGrid>
      <w:tr>
        <w:tc>
          <w:tcPr>
            <w:tcW w:type="dxa" w:w="108"/>
            <w:shd w:fill="auto" w:val="clear"/>
            <w:tcMar>
              <w:left w:type="dxa" w:w="0"/>
              <w:right w:type="dxa" w:w="0"/>
            </w:tcMar>
          </w:tcPr>
          <w:p w14:paraId="B2000000">
            <w:pPr>
              <w:widowControl w:val="0"/>
              <w:ind w:firstLine="0" w:left="57" w:right="57"/>
              <w:rPr>
                <w:b w:val="1"/>
                <w:sz w:val="20"/>
              </w:rPr>
            </w:pPr>
          </w:p>
        </w:tc>
        <w:tc>
          <w:tcPr>
            <w:tcW w:type="dxa" w:w="4944"/>
            <w:shd w:fill="auto" w:val="clear"/>
            <w:tcMar>
              <w:left w:type="dxa" w:w="0"/>
              <w:right w:type="dxa" w:w="0"/>
            </w:tcMar>
          </w:tcPr>
          <w:p w14:paraId="B3000000">
            <w:pPr>
              <w:widowControl w:val="0"/>
              <w:ind w:firstLine="0" w:left="57" w:right="57"/>
              <w:jc w:val="center"/>
              <w:rPr>
                <w:b w:val="1"/>
                <w:sz w:val="20"/>
              </w:rPr>
            </w:pPr>
            <w:r>
              <w:rPr>
                <w:b w:val="1"/>
                <w:sz w:val="20"/>
              </w:rPr>
              <w:t>Заказчик:</w:t>
            </w:r>
          </w:p>
        </w:tc>
        <w:tc>
          <w:tcPr>
            <w:tcW w:type="dxa" w:w="4946"/>
            <w:shd w:fill="auto" w:val="clear"/>
            <w:tcMar>
              <w:left w:type="dxa" w:w="0"/>
              <w:right w:type="dxa" w:w="0"/>
            </w:tcMar>
          </w:tcPr>
          <w:p w14:paraId="B4000000">
            <w:pPr>
              <w:widowControl w:val="0"/>
              <w:ind w:firstLine="0" w:left="57" w:right="57"/>
              <w:jc w:val="center"/>
              <w:rPr>
                <w:b w:val="1"/>
                <w:sz w:val="20"/>
              </w:rPr>
            </w:pPr>
            <w:r>
              <w:rPr>
                <w:b w:val="1"/>
                <w:sz w:val="20"/>
              </w:rPr>
              <w:t>Исполнитель</w:t>
            </w:r>
            <w:r>
              <w:rPr>
                <w:b w:val="1"/>
                <w:sz w:val="20"/>
              </w:rPr>
              <w:t>:</w:t>
            </w:r>
          </w:p>
        </w:tc>
        <w:tc>
          <w:tcPr>
            <w:tcW w:type="dxa" w:w="549"/>
            <w:shd w:fill="auto" w:val="clear"/>
            <w:tcMar>
              <w:left w:type="dxa" w:w="0"/>
              <w:right w:type="dxa" w:w="0"/>
            </w:tcMar>
          </w:tcPr>
          <w:p w14:paraId="B5000000">
            <w:pPr>
              <w:widowControl w:val="0"/>
              <w:ind w:firstLine="0" w:left="57" w:right="57"/>
              <w:rPr>
                <w:sz w:val="20"/>
              </w:rPr>
            </w:pPr>
          </w:p>
        </w:tc>
      </w:tr>
      <w:tr>
        <w:tc>
          <w:tcPr>
            <w:tcW w:type="dxa" w:w="108"/>
            <w:shd w:fill="auto" w:val="clear"/>
            <w:tcMar>
              <w:left w:type="dxa" w:w="0"/>
              <w:right w:type="dxa" w:w="0"/>
            </w:tcMar>
          </w:tcPr>
          <w:p w14:paraId="B6000000">
            <w:pPr>
              <w:widowControl w:val="0"/>
              <w:ind w:firstLine="0" w:left="57" w:right="57"/>
              <w:rPr>
                <w:sz w:val="20"/>
              </w:rPr>
            </w:pPr>
          </w:p>
        </w:tc>
        <w:tc>
          <w:tcPr>
            <w:tcW w:type="dxa" w:w="4944"/>
            <w:shd w:fill="auto" w:val="clear"/>
            <w:tcMar>
              <w:left w:type="dxa" w:w="0"/>
              <w:right w:type="dxa" w:w="0"/>
            </w:tcMar>
          </w:tcPr>
          <w:p w14:paraId="B7000000">
            <w:pPr>
              <w:widowControl w:val="0"/>
              <w:ind w:firstLine="0" w:left="143" w:right="231"/>
              <w:rPr>
                <w:spacing w:val="-3"/>
                <w:sz w:val="20"/>
              </w:rPr>
            </w:pPr>
            <w:r>
              <w:rPr>
                <w:spacing w:val="-3"/>
                <w:sz w:val="20"/>
              </w:rPr>
              <w:t>Межрегиональное территориальное управление Федерального агентства по управлению государственным имуществом в Курской и Белгородской областях</w:t>
            </w:r>
          </w:p>
          <w:p w14:paraId="B8000000">
            <w:pPr>
              <w:widowControl w:val="0"/>
              <w:ind w:firstLine="0" w:left="143" w:right="231"/>
              <w:rPr>
                <w:spacing w:val="-3"/>
                <w:sz w:val="20"/>
              </w:rPr>
            </w:pPr>
          </w:p>
          <w:p w14:paraId="B9000000">
            <w:pPr>
              <w:widowControl w:val="0"/>
              <w:spacing w:line="240" w:lineRule="auto"/>
              <w:ind w:firstLine="0" w:left="0" w:right="0"/>
              <w:rPr>
                <w:sz w:val="20"/>
              </w:rPr>
            </w:pPr>
            <w:r>
              <w:rPr>
                <w:sz w:val="20"/>
              </w:rPr>
              <w:t xml:space="preserve">308024, Белгородская область, г. Белгород, ул. Мокроусова, </w:t>
            </w:r>
            <w:r>
              <w:rPr>
                <w:sz w:val="20"/>
              </w:rPr>
              <w:t>д.</w:t>
            </w:r>
            <w:r>
              <w:rPr>
                <w:sz w:val="20"/>
              </w:rPr>
              <w:t>6</w:t>
            </w:r>
            <w:r>
              <w:rPr>
                <w:sz w:val="20"/>
              </w:rPr>
              <w:t>.</w:t>
            </w:r>
          </w:p>
          <w:p w14:paraId="BA000000">
            <w:pPr>
              <w:widowControl w:val="0"/>
              <w:spacing w:after="0" w:line="240" w:lineRule="auto"/>
              <w:ind w:firstLine="0" w:left="0" w:right="0"/>
              <w:rPr>
                <w:sz w:val="20"/>
              </w:rPr>
            </w:pPr>
            <w:r>
              <w:rPr>
                <w:sz w:val="20"/>
              </w:rPr>
              <w:t xml:space="preserve">Тел. факс: (4722) 55-10-23, 55-10-29, </w:t>
            </w:r>
            <w:r>
              <w:rPr>
                <w:sz w:val="20"/>
              </w:rPr>
              <w:t xml:space="preserve">E-mail: tu31@rosim.gov.ru </w:t>
            </w:r>
          </w:p>
          <w:p w14:paraId="BB000000">
            <w:pPr>
              <w:widowControl w:val="0"/>
              <w:spacing w:after="0" w:line="240" w:lineRule="auto"/>
              <w:ind w:firstLine="0" w:left="0" w:right="0"/>
              <w:jc w:val="both"/>
              <w:rPr>
                <w:sz w:val="20"/>
              </w:rPr>
            </w:pPr>
            <w:r>
              <w:rPr>
                <w:color w:val="000000"/>
                <w:spacing w:val="-8"/>
                <w:sz w:val="20"/>
              </w:rPr>
              <w:t xml:space="preserve">ОГРН: 1093123008241 </w:t>
            </w:r>
          </w:p>
          <w:p w14:paraId="BC000000">
            <w:pPr>
              <w:widowControl w:val="0"/>
              <w:spacing w:after="0" w:line="240" w:lineRule="auto"/>
              <w:ind w:firstLine="0" w:left="0" w:right="0"/>
              <w:rPr>
                <w:sz w:val="20"/>
              </w:rPr>
            </w:pPr>
            <w:r>
              <w:rPr>
                <w:sz w:val="20"/>
              </w:rPr>
              <w:t>ИНН 3123198660</w:t>
            </w:r>
          </w:p>
          <w:p w14:paraId="BD000000">
            <w:pPr>
              <w:widowControl w:val="0"/>
              <w:spacing w:after="0" w:line="240" w:lineRule="auto"/>
              <w:ind w:firstLine="0" w:left="0" w:right="0"/>
              <w:rPr>
                <w:sz w:val="20"/>
              </w:rPr>
            </w:pPr>
            <w:r>
              <w:rPr>
                <w:sz w:val="20"/>
              </w:rPr>
              <w:t xml:space="preserve">КПП 312301001, </w:t>
            </w:r>
          </w:p>
          <w:p w14:paraId="BE000000">
            <w:pPr>
              <w:widowControl w:val="0"/>
              <w:spacing w:after="0" w:line="240" w:lineRule="auto"/>
              <w:ind w:firstLine="0" w:left="0" w:right="0"/>
              <w:rPr>
                <w:rFonts w:ascii="Times New Roman" w:hAnsi="Times New Roman"/>
                <w:color w:val="000000"/>
                <w:spacing w:val="-3"/>
                <w:sz w:val="20"/>
              </w:rPr>
            </w:pPr>
            <w:r>
              <w:rPr>
                <w:rFonts w:ascii="Times New Roman" w:hAnsi="Times New Roman"/>
                <w:color w:val="000000"/>
                <w:spacing w:val="-3"/>
                <w:sz w:val="20"/>
              </w:rPr>
              <w:t xml:space="preserve">БИК </w:t>
            </w:r>
            <w:r>
              <w:rPr>
                <w:rFonts w:ascii="Times New Roman" w:hAnsi="Times New Roman"/>
                <w:i w:val="0"/>
                <w:color w:val="000000"/>
                <w:sz w:val="20"/>
                <w:highlight w:val="white"/>
              </w:rPr>
              <w:t>012202102</w:t>
            </w:r>
          </w:p>
          <w:p w14:paraId="BF000000">
            <w:pPr>
              <w:widowControl w:val="0"/>
              <w:spacing w:after="0" w:line="240" w:lineRule="auto"/>
              <w:ind w:firstLine="0" w:left="0" w:right="0"/>
              <w:rPr>
                <w:rFonts w:ascii="Times New Roman" w:hAnsi="Times New Roman"/>
                <w:spacing w:val="-3"/>
                <w:sz w:val="20"/>
              </w:rPr>
            </w:pPr>
            <w:r>
              <w:rPr>
                <w:rFonts w:ascii="Times New Roman" w:hAnsi="Times New Roman"/>
                <w:spacing w:val="-3"/>
                <w:sz w:val="20"/>
              </w:rPr>
              <w:t>л/</w:t>
            </w:r>
            <w:r>
              <w:rPr>
                <w:rFonts w:ascii="Times New Roman" w:hAnsi="Times New Roman"/>
                <w:spacing w:val="-3"/>
                <w:sz w:val="20"/>
              </w:rPr>
              <w:t>сч</w:t>
            </w:r>
            <w:r>
              <w:rPr>
                <w:rFonts w:ascii="Times New Roman" w:hAnsi="Times New Roman"/>
                <w:spacing w:val="-3"/>
                <w:sz w:val="20"/>
              </w:rPr>
              <w:t xml:space="preserve"> 03261А19890, в УФК по Белгородской области</w:t>
            </w:r>
          </w:p>
          <w:p w14:paraId="C0000000">
            <w:pPr>
              <w:widowControl w:val="0"/>
              <w:spacing w:after="0" w:line="240" w:lineRule="auto"/>
              <w:ind w:firstLine="0" w:left="0" w:right="0"/>
              <w:rPr>
                <w:rFonts w:ascii="Times New Roman" w:hAnsi="Times New Roman"/>
                <w:spacing w:val="-3"/>
                <w:sz w:val="20"/>
              </w:rPr>
            </w:pPr>
            <w:r>
              <w:rPr>
                <w:rFonts w:ascii="Times New Roman" w:hAnsi="Times New Roman"/>
                <w:spacing w:val="-3"/>
                <w:sz w:val="20"/>
              </w:rPr>
              <w:t xml:space="preserve">Казначейский счет: </w:t>
            </w:r>
            <w:r>
              <w:rPr>
                <w:rFonts w:ascii="Times New Roman" w:hAnsi="Times New Roman"/>
                <w:sz w:val="20"/>
                <w:highlight w:val="white"/>
              </w:rPr>
              <w:t>03211643000000013226</w:t>
            </w:r>
          </w:p>
          <w:p w14:paraId="C1000000">
            <w:pPr>
              <w:widowControl w:val="0"/>
              <w:spacing w:after="0" w:line="240" w:lineRule="auto"/>
              <w:ind w:firstLine="0" w:left="0" w:right="0"/>
              <w:rPr>
                <w:rFonts w:ascii="Times New Roman" w:hAnsi="Times New Roman"/>
                <w:spacing w:val="-3"/>
                <w:sz w:val="20"/>
              </w:rPr>
            </w:pPr>
            <w:r>
              <w:rPr>
                <w:rFonts w:ascii="Times New Roman" w:hAnsi="Times New Roman"/>
                <w:spacing w:val="-3"/>
                <w:sz w:val="20"/>
              </w:rPr>
              <w:t xml:space="preserve">ЕКС: </w:t>
            </w:r>
            <w:r>
              <w:rPr>
                <w:rFonts w:ascii="Times New Roman" w:hAnsi="Times New Roman"/>
                <w:sz w:val="20"/>
                <w:highlight w:val="white"/>
              </w:rPr>
              <w:t>40102810745370000024</w:t>
            </w:r>
          </w:p>
          <w:p w14:paraId="C2000000">
            <w:pPr>
              <w:widowControl w:val="0"/>
              <w:spacing w:after="0" w:line="240" w:lineRule="auto"/>
              <w:ind w:firstLine="0" w:left="0" w:right="0"/>
              <w:rPr>
                <w:sz w:val="20"/>
              </w:rPr>
            </w:pPr>
            <w:r>
              <w:rPr>
                <w:rFonts w:ascii="Times New Roman" w:hAnsi="Times New Roman"/>
                <w:sz w:val="20"/>
                <w:highlight w:val="white"/>
              </w:rPr>
              <w:t>ВОЛГО-ВЯТСКОЕ ГУ БАНКА РОССИИ // УФК по Нижегородской области,</w:t>
            </w:r>
          </w:p>
          <w:p w14:paraId="C3000000">
            <w:pPr>
              <w:widowControl w:val="0"/>
              <w:spacing w:after="0" w:line="240" w:lineRule="auto"/>
              <w:ind w:firstLine="0" w:left="0" w:right="0"/>
              <w:rPr>
                <w:color w:val="000000"/>
                <w:sz w:val="20"/>
              </w:rPr>
            </w:pPr>
            <w:r>
              <w:rPr>
                <w:rFonts w:ascii="Times New Roman" w:hAnsi="Times New Roman"/>
                <w:color w:val="000000"/>
                <w:sz w:val="20"/>
                <w:highlight w:val="white"/>
              </w:rPr>
              <w:t xml:space="preserve">г. Нижний Новгород, </w:t>
            </w:r>
            <w:r>
              <w:rPr>
                <w:rFonts w:ascii="Times New Roman" w:hAnsi="Times New Roman"/>
                <w:color w:val="000000"/>
                <w:sz w:val="20"/>
              </w:rPr>
              <w:t xml:space="preserve">ОКЦ № 1 </w:t>
            </w:r>
            <w:r>
              <w:rPr>
                <w:rFonts w:ascii="Times New Roman" w:hAnsi="Times New Roman"/>
                <w:color w:val="000000"/>
                <w:sz w:val="20"/>
              </w:rPr>
              <w:t>Волго-Вятского ГУ Банка России</w:t>
            </w:r>
          </w:p>
          <w:p w14:paraId="C4000000">
            <w:pPr>
              <w:widowControl w:val="0"/>
              <w:spacing w:line="240" w:lineRule="auto"/>
              <w:ind w:firstLine="0" w:left="0" w:right="0"/>
              <w:rPr>
                <w:spacing w:val="-3"/>
                <w:sz w:val="20"/>
              </w:rPr>
            </w:pPr>
            <w:r>
              <w:rPr>
                <w:color w:val="000000"/>
                <w:sz w:val="20"/>
              </w:rPr>
              <w:t>ОКТМО 14701000</w:t>
            </w:r>
          </w:p>
          <w:p w14:paraId="C5000000">
            <w:pPr>
              <w:widowControl w:val="0"/>
              <w:ind w:firstLine="0" w:left="143" w:right="-642"/>
              <w:rPr>
                <w:rStyle w:val="Style_2_ch"/>
                <w:spacing w:val="-3"/>
                <w:sz w:val="20"/>
              </w:rPr>
            </w:pPr>
          </w:p>
          <w:p w14:paraId="C6000000">
            <w:pPr>
              <w:widowControl w:val="0"/>
              <w:ind w:firstLine="0" w:left="143" w:right="-642"/>
              <w:rPr>
                <w:rStyle w:val="Style_2_ch"/>
                <w:color w:val="000000"/>
                <w:spacing w:val="-3"/>
                <w:sz w:val="20"/>
                <w:u w:val="none"/>
              </w:rPr>
            </w:pPr>
            <w:r>
              <w:rPr>
                <w:rStyle w:val="Style_2_ch"/>
                <w:color w:val="000000"/>
                <w:spacing w:val="-3"/>
                <w:sz w:val="20"/>
                <w:u w:val="none"/>
              </w:rPr>
              <w:t>Руководитель</w:t>
            </w:r>
          </w:p>
          <w:p w14:paraId="C7000000">
            <w:pPr>
              <w:widowControl w:val="0"/>
              <w:ind w:firstLine="0" w:left="143" w:right="-642"/>
              <w:rPr>
                <w:spacing w:val="-3"/>
                <w:sz w:val="20"/>
              </w:rPr>
            </w:pPr>
          </w:p>
          <w:p w14:paraId="C8000000">
            <w:pPr>
              <w:widowControl w:val="0"/>
              <w:ind w:firstLine="0" w:left="143"/>
              <w:rPr>
                <w:sz w:val="20"/>
              </w:rPr>
            </w:pPr>
          </w:p>
          <w:p w14:paraId="C9000000">
            <w:pPr>
              <w:widowControl w:val="0"/>
              <w:ind w:firstLine="0" w:left="143"/>
              <w:rPr>
                <w:sz w:val="20"/>
              </w:rPr>
            </w:pPr>
          </w:p>
          <w:p w14:paraId="CA000000">
            <w:pPr>
              <w:widowControl w:val="0"/>
              <w:ind w:firstLine="0" w:left="143"/>
              <w:rPr>
                <w:sz w:val="20"/>
              </w:rPr>
            </w:pPr>
            <w:r>
              <w:rPr>
                <w:sz w:val="20"/>
              </w:rPr>
              <w:t>__________________</w:t>
            </w:r>
            <w:r>
              <w:rPr>
                <w:sz w:val="20"/>
              </w:rPr>
              <w:t xml:space="preserve"> Ю.В. Буравлев</w:t>
            </w:r>
          </w:p>
          <w:p w14:paraId="CB000000">
            <w:pPr>
              <w:widowControl w:val="0"/>
              <w:ind w:firstLine="0" w:left="143"/>
              <w:rPr>
                <w:sz w:val="20"/>
              </w:rPr>
            </w:pPr>
            <w:r>
              <w:rPr>
                <w:sz w:val="20"/>
              </w:rPr>
              <w:t>м.п.</w:t>
            </w:r>
          </w:p>
        </w:tc>
        <w:tc>
          <w:tcPr>
            <w:tcW w:type="dxa" w:w="4946"/>
            <w:shd w:fill="auto" w:val="clear"/>
            <w:tcMar>
              <w:left w:type="dxa" w:w="0"/>
              <w:right w:type="dxa" w:w="0"/>
            </w:tcMar>
          </w:tcPr>
          <w:p/>
        </w:tc>
        <w:tc>
          <w:tcPr>
            <w:tcW w:type="dxa" w:w="549"/>
            <w:shd w:fill="auto" w:val="clear"/>
            <w:tcMar>
              <w:left w:type="dxa" w:w="0"/>
              <w:right w:type="dxa" w:w="0"/>
            </w:tcMar>
          </w:tcPr>
          <w:p w14:paraId="CC000000">
            <w:pPr>
              <w:widowControl w:val="0"/>
              <w:ind w:firstLine="0" w:left="57" w:right="57"/>
              <w:rPr>
                <w:sz w:val="20"/>
              </w:rPr>
            </w:pPr>
          </w:p>
        </w:tc>
      </w:tr>
    </w:tbl>
    <w:p w14:paraId="CD000000">
      <w:pPr>
        <w:rPr>
          <w:spacing w:val="-3"/>
          <w:sz w:val="20"/>
        </w:rPr>
      </w:pPr>
    </w:p>
    <w:p w14:paraId="CE000000">
      <w:pPr>
        <w:rPr>
          <w:spacing w:val="-3"/>
          <w:sz w:val="22"/>
        </w:rPr>
      </w:pPr>
    </w:p>
    <w:p w14:paraId="CF000000">
      <w:pPr>
        <w:rPr>
          <w:spacing w:val="-3"/>
          <w:sz w:val="22"/>
        </w:rPr>
      </w:pPr>
    </w:p>
    <w:p w14:paraId="D0000000">
      <w:pPr>
        <w:rPr>
          <w:spacing w:val="-3"/>
          <w:sz w:val="22"/>
        </w:rPr>
      </w:pPr>
    </w:p>
    <w:p w14:paraId="D1000000">
      <w:pPr>
        <w:rPr>
          <w:spacing w:val="-3"/>
          <w:sz w:val="22"/>
        </w:rPr>
      </w:pPr>
    </w:p>
    <w:p w14:paraId="D2000000">
      <w:pPr>
        <w:rPr>
          <w:spacing w:val="-3"/>
          <w:sz w:val="22"/>
        </w:rPr>
      </w:pPr>
    </w:p>
    <w:p w14:paraId="D3000000">
      <w:pPr>
        <w:rPr>
          <w:spacing w:val="-3"/>
          <w:sz w:val="22"/>
        </w:rPr>
      </w:pPr>
    </w:p>
    <w:p w14:paraId="D4000000">
      <w:pPr>
        <w:rPr>
          <w:spacing w:val="-3"/>
          <w:sz w:val="22"/>
        </w:rPr>
      </w:pPr>
    </w:p>
    <w:p w14:paraId="D5000000">
      <w:pPr>
        <w:rPr>
          <w:spacing w:val="-3"/>
          <w:sz w:val="22"/>
        </w:rPr>
      </w:pPr>
    </w:p>
    <w:p w14:paraId="D6000000">
      <w:pPr>
        <w:rPr>
          <w:spacing w:val="-3"/>
          <w:sz w:val="22"/>
        </w:rPr>
      </w:pPr>
    </w:p>
    <w:p w14:paraId="D7000000">
      <w:pPr>
        <w:rPr>
          <w:spacing w:val="-3"/>
          <w:sz w:val="22"/>
        </w:rPr>
      </w:pPr>
    </w:p>
    <w:p w14:paraId="D8000000">
      <w:pPr>
        <w:rPr>
          <w:spacing w:val="-3"/>
          <w:sz w:val="22"/>
        </w:rPr>
      </w:pPr>
    </w:p>
    <w:p w14:paraId="D9000000">
      <w:pPr>
        <w:rPr>
          <w:spacing w:val="-3"/>
          <w:sz w:val="22"/>
        </w:rPr>
      </w:pPr>
    </w:p>
    <w:p w14:paraId="DA000000">
      <w:pPr>
        <w:rPr>
          <w:spacing w:val="-3"/>
          <w:sz w:val="22"/>
        </w:rPr>
      </w:pPr>
    </w:p>
    <w:p w14:paraId="DB000000">
      <w:pPr>
        <w:rPr>
          <w:spacing w:val="-3"/>
          <w:sz w:val="22"/>
        </w:rPr>
      </w:pPr>
    </w:p>
    <w:p w14:paraId="DC000000">
      <w:pPr>
        <w:rPr>
          <w:spacing w:val="-3"/>
          <w:sz w:val="22"/>
        </w:rPr>
      </w:pPr>
    </w:p>
    <w:p w14:paraId="DD000000">
      <w:pPr>
        <w:rPr>
          <w:spacing w:val="-3"/>
          <w:sz w:val="22"/>
        </w:rPr>
      </w:pPr>
    </w:p>
    <w:tbl>
      <w:tblPr>
        <w:tblStyle w:val="Style_1"/>
        <w:tblW w:type="auto" w:w="0"/>
        <w:tblInd w:type="dxa" w:w="6629"/>
        <w:tblLayout w:type="fixed"/>
      </w:tblPr>
      <w:tblGrid>
        <w:gridCol w:w="3650"/>
      </w:tblGrid>
      <w:tr>
        <w:tc>
          <w:tcPr>
            <w:tcW w:type="dxa" w:w="3650"/>
            <w:shd w:fill="auto" w:val="clear"/>
          </w:tcPr>
          <w:p w14:paraId="DE000000">
            <w:pPr>
              <w:widowControl w:val="0"/>
              <w:ind/>
              <w:jc w:val="center"/>
              <w:rPr>
                <w:sz w:val="22"/>
                <w:shd w:fill="FFD821" w:val="clear"/>
              </w:rPr>
            </w:pPr>
            <w:r>
              <w:rPr>
                <w:spacing w:val="-3"/>
                <w:sz w:val="22"/>
                <w:shd w:fill="FFD821" w:val="clear"/>
              </w:rPr>
              <w:t>Приложение</w:t>
            </w:r>
            <w:r>
              <w:rPr>
                <w:spacing w:val="-3"/>
                <w:sz w:val="22"/>
                <w:shd w:fill="FFD821" w:val="clear"/>
              </w:rPr>
              <w:t xml:space="preserve"> </w:t>
            </w:r>
            <w:r>
              <w:rPr>
                <w:spacing w:val="-3"/>
                <w:sz w:val="22"/>
                <w:shd w:fill="FFD821" w:val="clear"/>
              </w:rPr>
              <w:t xml:space="preserve">№ </w:t>
            </w:r>
            <w:r>
              <w:rPr>
                <w:spacing w:val="-3"/>
                <w:sz w:val="22"/>
                <w:shd w:fill="FFD821" w:val="clear"/>
              </w:rPr>
              <w:t>1</w:t>
            </w:r>
          </w:p>
          <w:p w14:paraId="DF000000">
            <w:pPr>
              <w:widowControl w:val="0"/>
              <w:spacing w:line="254" w:lineRule="exact"/>
              <w:ind/>
              <w:jc w:val="center"/>
              <w:rPr>
                <w:sz w:val="22"/>
                <w:shd w:fill="FFD821" w:val="clear"/>
              </w:rPr>
            </w:pPr>
            <w:r>
              <w:rPr>
                <w:sz w:val="22"/>
                <w:shd w:fill="FFD821" w:val="clear"/>
              </w:rPr>
              <w:t>к государственному контракту</w:t>
            </w:r>
          </w:p>
          <w:p w14:paraId="E0000000">
            <w:pPr>
              <w:widowControl w:val="0"/>
              <w:spacing w:line="254" w:lineRule="exact"/>
              <w:ind/>
              <w:jc w:val="center"/>
              <w:rPr>
                <w:sz w:val="22"/>
                <w:shd w:fill="FFD821" w:val="clear"/>
              </w:rPr>
            </w:pPr>
            <w:r>
              <w:rPr>
                <w:sz w:val="22"/>
                <w:shd w:fill="FFD821" w:val="clear"/>
              </w:rPr>
              <w:t xml:space="preserve">от </w:t>
            </w:r>
            <w:r>
              <w:rPr>
                <w:sz w:val="22"/>
                <w:shd w:fill="FFD821" w:val="clear"/>
              </w:rPr>
              <w:t>«___» _____ 202__</w:t>
            </w:r>
            <w:r>
              <w:rPr>
                <w:sz w:val="22"/>
                <w:shd w:fill="FFD821" w:val="clear"/>
              </w:rPr>
              <w:t xml:space="preserve"> </w:t>
            </w:r>
            <w:r>
              <w:rPr>
                <w:sz w:val="22"/>
                <w:shd w:fill="FFD821" w:val="clear"/>
              </w:rPr>
              <w:t>г. № ______</w:t>
            </w:r>
          </w:p>
          <w:p w14:paraId="E1000000">
            <w:pPr>
              <w:widowControl w:val="0"/>
              <w:ind/>
              <w:jc w:val="right"/>
              <w:rPr>
                <w:spacing w:val="-3"/>
                <w:sz w:val="22"/>
                <w:shd w:fill="FFD821" w:val="clear"/>
              </w:rPr>
            </w:pPr>
          </w:p>
        </w:tc>
      </w:tr>
    </w:tbl>
    <w:p w14:paraId="E2000000">
      <w:pPr>
        <w:pStyle w:val="Style_3"/>
        <w:widowControl w:val="0"/>
        <w:numPr>
          <w:ilvl w:val="0"/>
          <w:numId w:val="0"/>
        </w:numPr>
        <w:spacing w:after="0" w:before="0" w:line="240" w:lineRule="auto"/>
        <w:ind/>
        <w:contextualSpacing w:val="1"/>
        <w:jc w:val="center"/>
        <w:rPr>
          <w:sz w:val="22"/>
        </w:rPr>
      </w:pPr>
    </w:p>
    <w:p w14:paraId="E3000000">
      <w:pPr>
        <w:pStyle w:val="Style_3"/>
        <w:widowControl w:val="0"/>
        <w:numPr>
          <w:ilvl w:val="0"/>
          <w:numId w:val="0"/>
        </w:numPr>
        <w:spacing w:after="0" w:before="0" w:line="240" w:lineRule="auto"/>
        <w:ind/>
        <w:contextualSpacing w:val="1"/>
        <w:jc w:val="center"/>
        <w:rPr>
          <w:sz w:val="22"/>
        </w:rPr>
      </w:pPr>
    </w:p>
    <w:p w14:paraId="E4000000">
      <w:pPr>
        <w:pStyle w:val="Style_3"/>
        <w:widowControl w:val="0"/>
        <w:numPr>
          <w:ilvl w:val="0"/>
          <w:numId w:val="0"/>
        </w:numPr>
        <w:spacing w:after="0" w:before="0" w:line="240" w:lineRule="auto"/>
        <w:ind/>
        <w:contextualSpacing w:val="1"/>
        <w:jc w:val="center"/>
        <w:rPr>
          <w:sz w:val="22"/>
        </w:rPr>
      </w:pPr>
      <w:r>
        <w:rPr>
          <w:sz w:val="22"/>
        </w:rPr>
        <w:t>ТЕХНИЧЕСКОЕ ЗАДАНИЕ</w:t>
      </w:r>
    </w:p>
    <w:p w14:paraId="E5000000">
      <w:pPr>
        <w:widowControl w:val="0"/>
        <w:ind/>
        <w:jc w:val="center"/>
        <w:rPr>
          <w:b w:val="1"/>
          <w:sz w:val="22"/>
        </w:rPr>
      </w:pPr>
      <w:r>
        <w:rPr>
          <w:b w:val="1"/>
          <w:sz w:val="22"/>
        </w:rPr>
        <w:t xml:space="preserve">на </w:t>
      </w:r>
      <w:r>
        <w:rPr>
          <w:b w:val="1"/>
          <w:sz w:val="22"/>
        </w:rPr>
        <w:t>выполнение работ по изготовлению технических планов, технических заключений, актов обследования на объекты недвижимости, являющиеся имуществом государственной казны Российской Федерации</w:t>
      </w:r>
    </w:p>
    <w:p w14:paraId="E6000000">
      <w:pPr>
        <w:widowControl w:val="0"/>
        <w:ind/>
        <w:jc w:val="center"/>
        <w:rPr>
          <w:b w:val="1"/>
          <w:sz w:val="22"/>
        </w:rPr>
      </w:pPr>
    </w:p>
    <w:p w14:paraId="E7000000">
      <w:pPr>
        <w:widowControl w:val="0"/>
        <w:ind/>
        <w:jc w:val="center"/>
        <w:rPr>
          <w:b w:val="1"/>
          <w:sz w:val="22"/>
        </w:rPr>
      </w:pPr>
    </w:p>
    <w:p w14:paraId="E8000000">
      <w:pPr>
        <w:widowControl w:val="0"/>
        <w:numPr>
          <w:ilvl w:val="0"/>
          <w:numId w:val="3"/>
        </w:numPr>
        <w:ind w:firstLine="284" w:left="0"/>
        <w:jc w:val="both"/>
        <w:rPr>
          <w:spacing w:val="-2"/>
          <w:sz w:val="22"/>
        </w:rPr>
      </w:pPr>
      <w:r>
        <w:rPr>
          <w:b w:val="1"/>
          <w:sz w:val="22"/>
        </w:rPr>
        <w:t>Наименование</w:t>
      </w:r>
      <w:r>
        <w:rPr>
          <w:b w:val="1"/>
          <w:sz w:val="22"/>
        </w:rPr>
        <w:t xml:space="preserve"> работ:</w:t>
      </w:r>
      <w:r>
        <w:rPr>
          <w:spacing w:val="-2"/>
          <w:sz w:val="22"/>
        </w:rPr>
        <w:t xml:space="preserve"> </w:t>
      </w:r>
      <w:r>
        <w:rPr>
          <w:sz w:val="22"/>
        </w:rPr>
        <w:t>выполнение работ по изготовлению технических планов, технических заключений, актов обследования на объекты недвижимости, являющиеся имуществом госуда</w:t>
      </w:r>
      <w:r>
        <w:rPr>
          <w:sz w:val="22"/>
        </w:rPr>
        <w:t>рственной казны Российской Федерации</w:t>
      </w:r>
      <w:r>
        <w:rPr>
          <w:sz w:val="22"/>
        </w:rPr>
        <w:t>.</w:t>
      </w:r>
    </w:p>
    <w:p w14:paraId="E9000000">
      <w:pPr>
        <w:widowControl w:val="0"/>
        <w:ind w:firstLine="284" w:left="0"/>
        <w:jc w:val="both"/>
        <w:rPr>
          <w:spacing w:val="-2"/>
          <w:sz w:val="22"/>
        </w:rPr>
      </w:pPr>
    </w:p>
    <w:p w14:paraId="EA000000">
      <w:pPr>
        <w:widowControl w:val="0"/>
        <w:ind w:firstLine="284" w:left="0"/>
        <w:jc w:val="both"/>
        <w:rPr>
          <w:sz w:val="22"/>
        </w:rPr>
      </w:pPr>
      <w:r>
        <w:rPr>
          <w:b w:val="1"/>
          <w:sz w:val="22"/>
        </w:rPr>
        <w:t xml:space="preserve">2. Место выполнения работ: </w:t>
      </w:r>
      <w:r>
        <w:rPr>
          <w:sz w:val="22"/>
        </w:rPr>
        <w:t>Белгородская область, по месту нахождения объектов недвижимости, указанному в таблице № 1.</w:t>
      </w:r>
    </w:p>
    <w:p w14:paraId="EB000000">
      <w:pPr>
        <w:widowControl w:val="0"/>
        <w:ind w:firstLine="284" w:left="0"/>
        <w:jc w:val="both"/>
        <w:rPr>
          <w:sz w:val="22"/>
        </w:rPr>
      </w:pPr>
    </w:p>
    <w:p w14:paraId="EC000000">
      <w:pPr>
        <w:widowControl w:val="0"/>
        <w:ind w:firstLine="284" w:left="0"/>
        <w:jc w:val="left"/>
        <w:rPr>
          <w:sz w:val="22"/>
        </w:rPr>
      </w:pPr>
      <w:r>
        <w:rPr>
          <w:b w:val="1"/>
          <w:spacing w:val="-2"/>
          <w:sz w:val="22"/>
        </w:rPr>
        <w:t>3. Сроки оказания услуг:</w:t>
      </w:r>
      <w:r>
        <w:rPr>
          <w:b w:val="0"/>
          <w:spacing w:val="-2"/>
          <w:sz w:val="22"/>
        </w:rPr>
        <w:t xml:space="preserve"> согласно раздела </w:t>
      </w:r>
      <w:r>
        <w:rPr>
          <w:b w:val="0"/>
          <w:i w:val="0"/>
          <w:spacing w:val="-2"/>
          <w:sz w:val="22"/>
        </w:rPr>
        <w:t xml:space="preserve">№7 </w:t>
      </w:r>
      <w:r>
        <w:rPr>
          <w:b w:val="0"/>
          <w:i w:val="0"/>
          <w:spacing w:val="-2"/>
          <w:sz w:val="22"/>
        </w:rPr>
        <w:t>настоящего государственного контракта.</w:t>
      </w:r>
    </w:p>
    <w:p w14:paraId="ED000000">
      <w:pPr>
        <w:widowControl w:val="0"/>
        <w:ind w:firstLine="284" w:left="0"/>
        <w:jc w:val="left"/>
        <w:rPr>
          <w:sz w:val="22"/>
        </w:rPr>
      </w:pPr>
      <w:r>
        <w:rPr>
          <w:sz w:val="22"/>
        </w:rPr>
        <w:br/>
      </w:r>
      <w:r>
        <w:rPr>
          <w:b w:val="1"/>
          <w:sz w:val="22"/>
        </w:rPr>
        <w:t xml:space="preserve">     4. Условия выполнения работ:</w:t>
      </w:r>
    </w:p>
    <w:p w14:paraId="EE000000">
      <w:pPr>
        <w:widowControl w:val="0"/>
        <w:ind w:firstLine="284" w:left="0"/>
        <w:jc w:val="both"/>
        <w:rPr>
          <w:sz w:val="22"/>
        </w:rPr>
      </w:pPr>
      <w:r>
        <w:rPr>
          <w:sz w:val="22"/>
        </w:rPr>
        <w:t>4.1.</w:t>
      </w:r>
      <w:r>
        <w:rPr>
          <w:sz w:val="22"/>
        </w:rPr>
        <w:t xml:space="preserve"> </w:t>
      </w:r>
      <w:r>
        <w:rPr>
          <w:sz w:val="22"/>
        </w:rPr>
        <w:t>В</w:t>
      </w:r>
      <w:r>
        <w:rPr>
          <w:sz w:val="22"/>
        </w:rPr>
        <w:t xml:space="preserve"> соответствии с условиями Контракт</w:t>
      </w:r>
      <w:r>
        <w:rPr>
          <w:sz w:val="22"/>
        </w:rPr>
        <w:t xml:space="preserve">а </w:t>
      </w:r>
      <w:r>
        <w:rPr>
          <w:sz w:val="22"/>
        </w:rPr>
        <w:t xml:space="preserve">Исполнитель обязан </w:t>
      </w:r>
      <w:r>
        <w:rPr>
          <w:sz w:val="22"/>
        </w:rPr>
        <w:t xml:space="preserve">произвести своими силами и материально-техническими средствами комплекс </w:t>
      </w:r>
      <w:r>
        <w:rPr>
          <w:sz w:val="22"/>
        </w:rPr>
        <w:t>работ</w:t>
      </w:r>
      <w:r>
        <w:rPr>
          <w:sz w:val="22"/>
        </w:rPr>
        <w:t>ы</w:t>
      </w:r>
      <w:r>
        <w:rPr>
          <w:sz w:val="22"/>
        </w:rPr>
        <w:t xml:space="preserve"> по изготовлению технических планов, технических заключений, актов обследования на объекты недвижимости, являющиеся имуществом государственной казны Российской Федерации</w:t>
      </w:r>
      <w:r>
        <w:rPr>
          <w:spacing w:val="1"/>
          <w:sz w:val="22"/>
        </w:rPr>
        <w:t>.</w:t>
      </w:r>
    </w:p>
    <w:p w14:paraId="EF000000">
      <w:pPr>
        <w:widowControl w:val="0"/>
        <w:ind w:firstLine="284" w:left="0"/>
        <w:jc w:val="both"/>
        <w:rPr>
          <w:sz w:val="22"/>
        </w:rPr>
      </w:pPr>
      <w:r>
        <w:rPr>
          <w:sz w:val="22"/>
        </w:rPr>
        <w:t xml:space="preserve">4.2. </w:t>
      </w:r>
      <w:r>
        <w:rPr>
          <w:sz w:val="22"/>
        </w:rPr>
        <w:t xml:space="preserve">Работы по </w:t>
      </w:r>
      <w:r>
        <w:rPr>
          <w:spacing w:val="-2"/>
          <w:sz w:val="22"/>
        </w:rPr>
        <w:t xml:space="preserve">проведению технической инвентаризации, </w:t>
      </w:r>
      <w:r>
        <w:rPr>
          <w:sz w:val="22"/>
        </w:rPr>
        <w:t xml:space="preserve">изготовлению технических планов, технических заключений на объекты недвижимости, являющиеся имуществом государственной казны Российской Федерации, </w:t>
      </w:r>
      <w:r>
        <w:rPr>
          <w:spacing w:val="1"/>
          <w:sz w:val="22"/>
        </w:rPr>
        <w:t xml:space="preserve">должны осуществляться в строгом соответствии с требованиями </w:t>
      </w:r>
      <w:r>
        <w:rPr>
          <w:sz w:val="22"/>
        </w:rPr>
        <w:t xml:space="preserve">Федерального закона от 24.07.2007 № 221-ФЗ  «О кадастровой деятельности», приказа Министерства экономического развития Российской Федерации от 18.12.2015 г. № 953 «Об утверждении формы технического плана и требований к его подготовке, состава содержащихся в нем сведений, а также формы декларации об объекте недвижимости, требований к ее подготовке, состава содержащихся в ней сведений».  </w:t>
      </w:r>
    </w:p>
    <w:p w14:paraId="F0000000">
      <w:pPr>
        <w:widowControl w:val="0"/>
        <w:ind w:firstLine="284" w:left="0"/>
        <w:jc w:val="both"/>
        <w:rPr>
          <w:sz w:val="22"/>
        </w:rPr>
      </w:pPr>
    </w:p>
    <w:p w14:paraId="F1000000">
      <w:pPr>
        <w:widowControl w:val="0"/>
        <w:ind w:firstLine="284" w:left="0"/>
        <w:jc w:val="both"/>
        <w:rPr>
          <w:sz w:val="22"/>
        </w:rPr>
      </w:pPr>
      <w:r>
        <w:rPr>
          <w:b w:val="1"/>
          <w:sz w:val="22"/>
        </w:rPr>
        <w:t>5. Наименование, х</w:t>
      </w:r>
      <w:r>
        <w:rPr>
          <w:b w:val="1"/>
          <w:sz w:val="22"/>
        </w:rPr>
        <w:t>арактеристики и объем выполняемых работ:</w:t>
      </w:r>
      <w:r>
        <w:rPr>
          <w:sz w:val="22"/>
        </w:rPr>
        <w:t xml:space="preserve"> </w:t>
      </w:r>
    </w:p>
    <w:p w14:paraId="F2000000">
      <w:pPr>
        <w:widowControl w:val="0"/>
        <w:ind w:firstLine="284" w:left="0"/>
        <w:jc w:val="both"/>
        <w:rPr>
          <w:sz w:val="22"/>
        </w:rPr>
      </w:pPr>
      <w:r>
        <w:rPr>
          <w:sz w:val="22"/>
        </w:rPr>
        <w:t>5.1. В период с момента заключения Контракта</w:t>
      </w:r>
      <w:r>
        <w:rPr>
          <w:sz w:val="22"/>
        </w:rPr>
        <w:t xml:space="preserve"> </w:t>
      </w:r>
      <w:r>
        <w:rPr>
          <w:sz w:val="22"/>
        </w:rPr>
        <w:t xml:space="preserve">Исполнитель обязан осуществить </w:t>
      </w:r>
      <w:r>
        <w:rPr>
          <w:sz w:val="22"/>
        </w:rPr>
        <w:t>работ</w:t>
      </w:r>
      <w:r>
        <w:rPr>
          <w:sz w:val="22"/>
        </w:rPr>
        <w:t xml:space="preserve">ы по </w:t>
      </w:r>
      <w:r>
        <w:rPr>
          <w:spacing w:val="-2"/>
          <w:sz w:val="22"/>
        </w:rPr>
        <w:t xml:space="preserve">проведению технической инвентаризации, </w:t>
      </w:r>
      <w:r>
        <w:rPr>
          <w:sz w:val="22"/>
        </w:rPr>
        <w:t>изготов</w:t>
      </w:r>
      <w:r>
        <w:rPr>
          <w:sz w:val="22"/>
        </w:rPr>
        <w:t xml:space="preserve">лению технических планов, технических заключений на объекты недвижимости, являющиеся имуществом государственной казны Российской Федерации согласно перечню, указанному в </w:t>
      </w:r>
      <w:r>
        <w:rPr>
          <w:sz w:val="22"/>
        </w:rPr>
        <w:t>таблице №1.</w:t>
      </w:r>
    </w:p>
    <w:p w14:paraId="F3000000">
      <w:pPr>
        <w:widowControl w:val="0"/>
        <w:ind w:firstLine="284" w:left="0"/>
        <w:jc w:val="both"/>
        <w:rPr>
          <w:sz w:val="22"/>
        </w:rPr>
      </w:pPr>
      <w:r>
        <w:rPr>
          <w:spacing w:val="1"/>
          <w:sz w:val="22"/>
        </w:rPr>
        <w:t>5.2 Виды выполняемых работ:</w:t>
      </w:r>
    </w:p>
    <w:p w14:paraId="F4000000">
      <w:pPr>
        <w:widowControl w:val="0"/>
        <w:tabs>
          <w:tab w:leader="none" w:pos="720" w:val="left"/>
        </w:tabs>
        <w:ind w:firstLine="284" w:left="0"/>
        <w:jc w:val="both"/>
        <w:rPr>
          <w:sz w:val="22"/>
        </w:rPr>
      </w:pPr>
      <w:r>
        <w:rPr>
          <w:sz w:val="22"/>
        </w:rPr>
        <w:t>- обследование объектов недвижимости;</w:t>
      </w:r>
    </w:p>
    <w:p w14:paraId="F5000000">
      <w:pPr>
        <w:widowControl w:val="0"/>
        <w:tabs>
          <w:tab w:leader="none" w:pos="720" w:val="left"/>
        </w:tabs>
        <w:ind w:firstLine="284" w:left="0"/>
        <w:jc w:val="both"/>
        <w:rPr>
          <w:sz w:val="22"/>
        </w:rPr>
      </w:pPr>
      <w:r>
        <w:rPr>
          <w:sz w:val="22"/>
        </w:rPr>
        <w:t>- подготовительные работы – определение размеров и площади объектов недвижимости;</w:t>
      </w:r>
    </w:p>
    <w:p w14:paraId="F6000000">
      <w:pPr>
        <w:widowControl w:val="0"/>
        <w:tabs>
          <w:tab w:leader="none" w:pos="720" w:val="left"/>
        </w:tabs>
        <w:ind w:firstLine="284" w:left="0"/>
        <w:jc w:val="both"/>
        <w:rPr>
          <w:sz w:val="22"/>
        </w:rPr>
      </w:pPr>
      <w:r>
        <w:rPr>
          <w:sz w:val="22"/>
        </w:rPr>
        <w:t>- составление планов объектов недвижимости;</w:t>
      </w:r>
    </w:p>
    <w:p w14:paraId="F7000000">
      <w:pPr>
        <w:widowControl w:val="0"/>
        <w:tabs>
          <w:tab w:leader="none" w:pos="720" w:val="left"/>
        </w:tabs>
        <w:ind w:firstLine="284" w:left="0"/>
        <w:jc w:val="both"/>
        <w:rPr>
          <w:sz w:val="22"/>
        </w:rPr>
      </w:pPr>
      <w:r>
        <w:rPr>
          <w:sz w:val="22"/>
        </w:rPr>
        <w:t>- изготовление технических планов на объекты недвижимости с указанием сведений о земельных участках, на которых расположены объекты недвижимости, а также схем расположения объектов недвижимости на земельных участках для постановки объектов на кадастровый учет;</w:t>
      </w:r>
    </w:p>
    <w:p w14:paraId="F8000000">
      <w:pPr>
        <w:widowControl w:val="0"/>
        <w:tabs>
          <w:tab w:leader="none" w:pos="709" w:val="left"/>
        </w:tabs>
        <w:ind w:firstLine="284" w:left="0"/>
        <w:jc w:val="both"/>
        <w:rPr>
          <w:sz w:val="22"/>
        </w:rPr>
      </w:pPr>
      <w:r>
        <w:rPr>
          <w:sz w:val="22"/>
        </w:rPr>
        <w:t>- изготовление иных технических заключений в случае невозможности проведения технической инвентаризации объектов.</w:t>
      </w:r>
    </w:p>
    <w:p w14:paraId="F9000000">
      <w:pPr>
        <w:widowControl w:val="0"/>
        <w:tabs>
          <w:tab w:leader="none" w:pos="709" w:val="left"/>
        </w:tabs>
        <w:ind w:firstLine="284" w:left="0"/>
        <w:jc w:val="both"/>
        <w:rPr>
          <w:sz w:val="22"/>
        </w:rPr>
      </w:pPr>
      <w:r>
        <w:rPr>
          <w:sz w:val="22"/>
        </w:rPr>
        <w:t>5.3. По результатам выполненных работ Исполнитель обязан в срок, установленный пунктом 5.1. предоставить Заказчику в 2 (двух) экземплярах на бумажном носителе и в 1 (одном) экземпляре на магнитном носителе технические планы; технические заключения на каждый объект недвижимости в 1 (одном) экземпляре на бумажном носителе.</w:t>
      </w:r>
    </w:p>
    <w:p w14:paraId="FA000000">
      <w:pPr>
        <w:widowControl w:val="0"/>
        <w:tabs>
          <w:tab w:leader="none" w:pos="709" w:val="left"/>
        </w:tabs>
        <w:ind w:firstLine="284" w:left="0"/>
        <w:jc w:val="both"/>
        <w:rPr>
          <w:sz w:val="22"/>
        </w:rPr>
      </w:pPr>
    </w:p>
    <w:p w14:paraId="FB000000">
      <w:pPr>
        <w:widowControl w:val="0"/>
        <w:tabs>
          <w:tab w:leader="none" w:pos="709" w:val="left"/>
        </w:tabs>
        <w:ind w:firstLine="284" w:left="0"/>
        <w:jc w:val="both"/>
        <w:rPr>
          <w:sz w:val="22"/>
        </w:rPr>
      </w:pPr>
      <w:r>
        <w:rPr>
          <w:b w:val="1"/>
          <w:sz w:val="22"/>
        </w:rPr>
        <w:t>6. Требования к качеству выполняемых работ:</w:t>
      </w:r>
    </w:p>
    <w:p w14:paraId="FC000000">
      <w:pPr>
        <w:widowControl w:val="0"/>
        <w:tabs>
          <w:tab w:leader="none" w:pos="0" w:val="left"/>
        </w:tabs>
        <w:ind w:firstLine="284" w:left="0"/>
        <w:jc w:val="both"/>
        <w:rPr>
          <w:sz w:val="22"/>
        </w:rPr>
      </w:pPr>
      <w:r>
        <w:rPr>
          <w:sz w:val="22"/>
        </w:rPr>
        <w:t>6.1 Качество работ должно соответствовать требованиям, предъявляемым для данного вида работ в соответствии с действующим законодательством Российской Федерации.</w:t>
      </w:r>
    </w:p>
    <w:p w14:paraId="FD000000">
      <w:pPr>
        <w:widowControl w:val="0"/>
        <w:tabs>
          <w:tab w:leader="none" w:pos="0" w:val="left"/>
        </w:tabs>
        <w:ind w:firstLine="284" w:left="0"/>
        <w:jc w:val="both"/>
        <w:rPr>
          <w:sz w:val="22"/>
        </w:rPr>
      </w:pPr>
      <w:r>
        <w:rPr>
          <w:sz w:val="22"/>
        </w:rPr>
        <w:t>6.2 Срок обнаружения ненадлежащего качества результата работ заказчиком составляет 3 (три) года.</w:t>
      </w:r>
    </w:p>
    <w:p w14:paraId="FE000000">
      <w:pPr>
        <w:widowControl w:val="0"/>
        <w:tabs>
          <w:tab w:leader="none" w:pos="0" w:val="left"/>
        </w:tabs>
        <w:ind w:firstLine="284" w:left="0"/>
        <w:jc w:val="both"/>
        <w:rPr>
          <w:sz w:val="22"/>
        </w:rPr>
      </w:pPr>
    </w:p>
    <w:p w14:paraId="FF000000">
      <w:pPr>
        <w:widowControl w:val="0"/>
        <w:tabs>
          <w:tab w:leader="none" w:pos="0" w:val="left"/>
        </w:tabs>
        <w:ind w:firstLine="284" w:left="0"/>
        <w:jc w:val="both"/>
        <w:rPr>
          <w:sz w:val="22"/>
        </w:rPr>
      </w:pPr>
      <w:r>
        <w:rPr>
          <w:b w:val="1"/>
          <w:sz w:val="22"/>
        </w:rPr>
        <w:t xml:space="preserve">7. Перечень </w:t>
      </w:r>
      <w:r>
        <w:rPr>
          <w:b w:val="1"/>
          <w:sz w:val="22"/>
        </w:rPr>
        <w:t xml:space="preserve">объектов недвижимости, составляющих имущество казны Российской Федерации, в отношении которых необходимо </w:t>
      </w:r>
      <w:r>
        <w:rPr>
          <w:b w:val="1"/>
          <w:spacing w:val="-2"/>
          <w:sz w:val="22"/>
        </w:rPr>
        <w:t>провести работы:</w:t>
      </w:r>
    </w:p>
    <w:p w14:paraId="00010000">
      <w:pPr>
        <w:widowControl w:val="0"/>
        <w:ind/>
        <w:jc w:val="right"/>
        <w:rPr>
          <w:b w:val="1"/>
          <w:sz w:val="22"/>
        </w:rPr>
      </w:pPr>
      <w:r>
        <w:rPr>
          <w:b w:val="1"/>
          <w:sz w:val="22"/>
        </w:rPr>
        <w:t>Таблица № 1</w:t>
      </w:r>
    </w:p>
    <w:tbl>
      <w:tblPr>
        <w:tblStyle w:val="Style_1"/>
        <w:tblW w:type="auto" w:w="0"/>
        <w:tblInd w:type="dxa" w:w="-459"/>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570"/>
        <w:gridCol w:w="3545"/>
        <w:gridCol w:w="4705"/>
        <w:gridCol w:w="992"/>
        <w:gridCol w:w="709"/>
      </w:tblGrid>
      <w:tr>
        <w:trPr>
          <w:trHeight w:hRule="atLeast" w:val="266"/>
        </w:trPr>
        <w:tc>
          <w:tcPr>
            <w:tcW w:type="dxa" w:w="570"/>
            <w:tcBorders>
              <w:top w:color="000000" w:sz="4" w:val="single"/>
              <w:left w:color="000000" w:sz="4" w:val="single"/>
              <w:bottom w:color="000000" w:sz="4" w:val="single"/>
              <w:right w:color="000000" w:sz="4" w:val="single"/>
            </w:tcBorders>
          </w:tcPr>
          <w:p w14:paraId="01010000">
            <w:pPr>
              <w:widowControl w:val="0"/>
              <w:ind w:right="-24"/>
              <w:jc w:val="center"/>
              <w:rPr>
                <w:rFonts w:ascii="Times New Roman" w:hAnsi="Times New Roman"/>
                <w:sz w:val="22"/>
              </w:rPr>
            </w:pPr>
            <w:r>
              <w:rPr>
                <w:rFonts w:ascii="Times New Roman" w:hAnsi="Times New Roman"/>
                <w:sz w:val="22"/>
              </w:rPr>
              <w:t>№ п/п</w:t>
            </w:r>
          </w:p>
        </w:tc>
        <w:tc>
          <w:tcPr>
            <w:tcW w:type="dxa" w:w="8250"/>
            <w:gridSpan w:val="2"/>
            <w:tcBorders>
              <w:top w:color="000000" w:sz="4" w:val="single"/>
              <w:left w:color="000000" w:sz="4" w:val="single"/>
              <w:bottom w:color="000000" w:sz="4" w:val="single"/>
              <w:right w:color="000000" w:sz="4" w:val="single"/>
            </w:tcBorders>
          </w:tcPr>
          <w:p w14:paraId="02010000">
            <w:pPr>
              <w:widowControl w:val="0"/>
              <w:ind w:right="-24"/>
              <w:jc w:val="center"/>
              <w:rPr>
                <w:rFonts w:ascii="Times New Roman" w:hAnsi="Times New Roman"/>
                <w:sz w:val="22"/>
              </w:rPr>
            </w:pPr>
            <w:r>
              <w:rPr>
                <w:rFonts w:ascii="Times New Roman" w:hAnsi="Times New Roman"/>
                <w:sz w:val="22"/>
              </w:rPr>
              <w:t>Наименование объекта, ориентировочная площадь, адрес</w:t>
            </w:r>
          </w:p>
        </w:tc>
        <w:tc>
          <w:tcPr>
            <w:tcW w:type="dxa" w:w="992"/>
            <w:tcBorders>
              <w:top w:color="000000" w:sz="4" w:val="single"/>
              <w:left w:color="000000" w:sz="4" w:val="single"/>
              <w:bottom w:color="000000" w:sz="4" w:val="single"/>
              <w:right w:color="000000" w:sz="4" w:val="single"/>
            </w:tcBorders>
          </w:tcPr>
          <w:p w14:paraId="03010000">
            <w:pPr>
              <w:widowControl w:val="0"/>
              <w:ind/>
              <w:jc w:val="center"/>
              <w:rPr>
                <w:rFonts w:ascii="Times New Roman" w:hAnsi="Times New Roman"/>
                <w:sz w:val="22"/>
              </w:rPr>
            </w:pPr>
            <w:r>
              <w:rPr>
                <w:rFonts w:ascii="Times New Roman" w:hAnsi="Times New Roman"/>
                <w:sz w:val="22"/>
              </w:rPr>
              <w:t>Ед. измер.</w:t>
            </w:r>
          </w:p>
        </w:tc>
        <w:tc>
          <w:tcPr>
            <w:tcW w:type="dxa" w:w="709"/>
            <w:tcBorders>
              <w:top w:color="000000" w:sz="4" w:val="single"/>
              <w:left w:color="000000" w:sz="4" w:val="single"/>
              <w:bottom w:color="000000" w:sz="4" w:val="single"/>
              <w:right w:color="000000" w:sz="4" w:val="single"/>
            </w:tcBorders>
          </w:tcPr>
          <w:p w14:paraId="04010000">
            <w:pPr>
              <w:widowControl w:val="0"/>
              <w:ind/>
              <w:jc w:val="center"/>
              <w:rPr>
                <w:rFonts w:ascii="Times New Roman" w:hAnsi="Times New Roman"/>
                <w:sz w:val="22"/>
              </w:rPr>
            </w:pPr>
            <w:r>
              <w:rPr>
                <w:rFonts w:ascii="Times New Roman" w:hAnsi="Times New Roman"/>
                <w:sz w:val="22"/>
              </w:rPr>
              <w:t>Кол-во</w:t>
            </w:r>
          </w:p>
        </w:tc>
      </w:tr>
      <w:tr>
        <w:trPr>
          <w:trHeight w:hRule="atLeast" w:val="743"/>
        </w:trPr>
        <w:tc>
          <w:tcPr>
            <w:tcW w:type="dxa" w:w="10521"/>
            <w:gridSpan w:val="5"/>
            <w:tcBorders>
              <w:top w:color="000000" w:sz="4" w:val="single"/>
              <w:left w:color="000000" w:sz="4" w:val="single"/>
              <w:bottom w:color="000000" w:sz="4" w:val="single"/>
              <w:right w:color="000000" w:sz="4" w:val="single"/>
            </w:tcBorders>
            <w:vAlign w:val="center"/>
          </w:tcPr>
          <w:p w14:paraId="05010000">
            <w:pPr>
              <w:widowControl w:val="0"/>
              <w:ind/>
              <w:jc w:val="center"/>
              <w:rPr>
                <w:rFonts w:ascii="Times New Roman" w:hAnsi="Times New Roman"/>
                <w:sz w:val="22"/>
              </w:rPr>
            </w:pPr>
            <w:r>
              <w:rPr>
                <w:rFonts w:ascii="Times New Roman" w:hAnsi="Times New Roman"/>
                <w:sz w:val="22"/>
              </w:rPr>
              <w:t>Изготовление технических планов</w:t>
            </w:r>
          </w:p>
        </w:tc>
      </w:tr>
      <w:tr>
        <w:trPr>
          <w:trHeight w:hRule="atLeast" w:val="743"/>
        </w:trPr>
        <w:tc>
          <w:tcPr>
            <w:tcW w:type="dxa" w:w="570"/>
            <w:tcBorders>
              <w:top w:color="000000" w:sz="4" w:val="single"/>
              <w:left w:color="000000" w:sz="4" w:val="single"/>
              <w:bottom w:color="000000" w:sz="4" w:val="single"/>
              <w:right w:color="000000" w:sz="4" w:val="single"/>
            </w:tcBorders>
            <w:vAlign w:val="center"/>
          </w:tcPr>
          <w:p w14:paraId="06010000">
            <w:pPr>
              <w:widowControl w:val="0"/>
              <w:ind/>
              <w:jc w:val="center"/>
              <w:rPr>
                <w:rFonts w:ascii="Times New Roman" w:hAnsi="Times New Roman"/>
                <w:sz w:val="22"/>
              </w:rPr>
            </w:pPr>
            <w:r>
              <w:rPr>
                <w:rFonts w:ascii="Times New Roman" w:hAnsi="Times New Roman"/>
                <w:sz w:val="22"/>
              </w:rPr>
              <w:t>1</w:t>
            </w:r>
          </w:p>
        </w:tc>
        <w:tc>
          <w:tcPr>
            <w:tcW w:type="dxa" w:w="8250"/>
            <w:gridSpan w:val="2"/>
            <w:tcBorders>
              <w:top w:color="000000" w:sz="4" w:val="single"/>
              <w:left w:color="000000" w:sz="4" w:val="single"/>
              <w:bottom w:color="000000" w:sz="4" w:val="single"/>
              <w:right w:color="000000" w:sz="4" w:val="single"/>
            </w:tcBorders>
            <w:vAlign w:val="center"/>
          </w:tcPr>
          <w:p w14:paraId="07010000">
            <w:pPr>
              <w:widowControl w:val="0"/>
              <w:ind/>
              <w:jc w:val="left"/>
              <w:rPr>
                <w:sz w:val="22"/>
              </w:rPr>
            </w:pPr>
            <w:r>
              <w:rPr>
                <w:sz w:val="22"/>
              </w:rPr>
              <w:t>Изготовление технического плана с целью выделения мест общего пользования:</w:t>
            </w:r>
          </w:p>
          <w:p w14:paraId="08010000">
            <w:pPr>
              <w:widowControl w:val="0"/>
              <w:ind/>
              <w:jc w:val="left"/>
              <w:rPr>
                <w:sz w:val="22"/>
              </w:rPr>
            </w:pPr>
            <w:r>
              <w:rPr>
                <w:sz w:val="22"/>
              </w:rPr>
              <w:t>31:08:1701001:6325 Нежилое помещение №17 площадью 12,5 кв.м - адрес: Белгородская область, р-н Чернянский, п. Чернянка, пл. Октябрьская, д. 22</w:t>
            </w:r>
          </w:p>
        </w:tc>
        <w:tc>
          <w:tcPr>
            <w:tcW w:type="dxa" w:w="992"/>
            <w:tcBorders>
              <w:top w:color="000000" w:sz="4" w:val="single"/>
              <w:left w:color="000000" w:sz="4" w:val="single"/>
              <w:bottom w:color="000000" w:sz="4" w:val="single"/>
              <w:right w:color="000000" w:sz="4" w:val="single"/>
            </w:tcBorders>
            <w:shd w:fill="auto" w:val="clear"/>
            <w:vAlign w:val="center"/>
          </w:tcPr>
          <w:p w14:paraId="09010000">
            <w:pPr>
              <w:widowControl w:val="0"/>
              <w:ind/>
              <w:jc w:val="center"/>
              <w:rPr>
                <w:rFonts w:ascii="Times New Roman" w:hAnsi="Times New Roman"/>
                <w:sz w:val="22"/>
              </w:rPr>
            </w:pPr>
            <w:r>
              <w:rPr>
                <w:rFonts w:ascii="Times New Roman" w:hAnsi="Times New Roman"/>
                <w:sz w:val="22"/>
              </w:rPr>
              <w:t xml:space="preserve">штука </w:t>
            </w:r>
          </w:p>
        </w:tc>
        <w:tc>
          <w:tcPr>
            <w:tcW w:type="dxa" w:w="709"/>
            <w:tcBorders>
              <w:top w:color="000000" w:sz="4" w:val="single"/>
              <w:left w:color="000000" w:sz="4" w:val="single"/>
              <w:bottom w:color="000000" w:sz="4" w:val="single"/>
              <w:right w:color="000000" w:sz="4" w:val="single"/>
            </w:tcBorders>
            <w:vAlign w:val="center"/>
          </w:tcPr>
          <w:p w14:paraId="0A010000">
            <w:pPr>
              <w:widowControl w:val="0"/>
              <w:ind/>
              <w:jc w:val="center"/>
              <w:rPr>
                <w:rFonts w:ascii="Times New Roman" w:hAnsi="Times New Roman"/>
                <w:sz w:val="22"/>
              </w:rPr>
            </w:pPr>
            <w:r>
              <w:rPr>
                <w:rFonts w:ascii="Times New Roman" w:hAnsi="Times New Roman"/>
                <w:sz w:val="22"/>
              </w:rPr>
              <w:t>1</w:t>
            </w:r>
          </w:p>
        </w:tc>
      </w:tr>
      <w:tr>
        <w:trPr>
          <w:trHeight w:hRule="atLeast" w:val="743"/>
        </w:trPr>
        <w:tc>
          <w:tcPr>
            <w:tcW w:type="dxa" w:w="570"/>
            <w:tcBorders>
              <w:top w:color="000000" w:sz="4" w:val="single"/>
              <w:left w:color="000000" w:sz="4" w:val="single"/>
              <w:bottom w:color="000000" w:sz="4" w:val="single"/>
              <w:right w:color="000000" w:sz="4" w:val="single"/>
            </w:tcBorders>
            <w:vAlign w:val="center"/>
          </w:tcPr>
          <w:p w14:paraId="0B010000">
            <w:pPr>
              <w:widowControl w:val="0"/>
              <w:ind/>
              <w:jc w:val="center"/>
              <w:rPr>
                <w:rFonts w:ascii="Times New Roman" w:hAnsi="Times New Roman"/>
                <w:sz w:val="22"/>
              </w:rPr>
            </w:pPr>
            <w:r>
              <w:rPr>
                <w:rFonts w:ascii="Times New Roman" w:hAnsi="Times New Roman"/>
                <w:sz w:val="22"/>
              </w:rPr>
              <w:t>2</w:t>
            </w:r>
          </w:p>
        </w:tc>
        <w:tc>
          <w:tcPr>
            <w:tcW w:type="dxa" w:w="8250"/>
            <w:gridSpan w:val="2"/>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C010000">
            <w:pPr>
              <w:widowControl w:val="0"/>
              <w:ind/>
              <w:jc w:val="left"/>
              <w:rPr>
                <w:sz w:val="22"/>
              </w:rPr>
            </w:pPr>
            <w:r>
              <w:rPr>
                <w:sz w:val="22"/>
              </w:rPr>
              <w:t>Изготовление технического плана с целью выделения мест общего пользования:</w:t>
            </w:r>
          </w:p>
          <w:p w14:paraId="0D010000">
            <w:pPr>
              <w:widowControl w:val="0"/>
              <w:ind/>
              <w:jc w:val="left"/>
              <w:rPr>
                <w:sz w:val="22"/>
              </w:rPr>
            </w:pPr>
            <w:r>
              <w:rPr>
                <w:sz w:val="22"/>
              </w:rPr>
              <w:t>31:08:1701001:6323 Нежилое помещение площадью 680,4 кв.м - адрес: Белгородская область, р-н Чернянский, п. Чернянка, пл. Октябрьская, д. 22</w:t>
            </w:r>
          </w:p>
        </w:tc>
        <w:tc>
          <w:tcPr>
            <w:tcW w:type="dxa" w:w="992"/>
            <w:tcBorders>
              <w:top w:color="000000" w:sz="4" w:val="single"/>
              <w:left w:color="000000" w:sz="4" w:val="single"/>
              <w:bottom w:color="000000" w:sz="4" w:val="single"/>
              <w:right w:color="000000" w:sz="4" w:val="single"/>
            </w:tcBorders>
            <w:shd w:fill="auto" w:val="clear"/>
            <w:vAlign w:val="center"/>
          </w:tcPr>
          <w:p w14:paraId="0E010000">
            <w:pPr>
              <w:widowControl w:val="0"/>
              <w:ind/>
              <w:jc w:val="center"/>
              <w:rPr>
                <w:rFonts w:ascii="Times New Roman" w:hAnsi="Times New Roman"/>
                <w:sz w:val="22"/>
              </w:rPr>
            </w:pPr>
            <w:r>
              <w:rPr>
                <w:rFonts w:ascii="Times New Roman" w:hAnsi="Times New Roman"/>
                <w:sz w:val="22"/>
              </w:rPr>
              <w:t>штука</w:t>
            </w:r>
          </w:p>
        </w:tc>
        <w:tc>
          <w:tcPr>
            <w:tcW w:type="dxa" w:w="709"/>
            <w:tcBorders>
              <w:top w:color="000000" w:sz="4" w:val="single"/>
              <w:left w:color="000000" w:sz="4" w:val="single"/>
              <w:bottom w:color="000000" w:sz="4" w:val="single"/>
              <w:right w:color="000000" w:sz="4" w:val="single"/>
            </w:tcBorders>
            <w:vAlign w:val="center"/>
          </w:tcPr>
          <w:p w14:paraId="0F010000">
            <w:pPr>
              <w:widowControl w:val="0"/>
              <w:ind/>
              <w:jc w:val="center"/>
              <w:rPr>
                <w:rFonts w:ascii="Times New Roman" w:hAnsi="Times New Roman"/>
                <w:sz w:val="22"/>
              </w:rPr>
            </w:pPr>
            <w:r>
              <w:rPr>
                <w:rFonts w:ascii="Times New Roman" w:hAnsi="Times New Roman"/>
                <w:sz w:val="22"/>
              </w:rPr>
              <w:t>1</w:t>
            </w:r>
          </w:p>
        </w:tc>
      </w:tr>
      <w:tr>
        <w:trPr>
          <w:trHeight w:hRule="atLeast" w:val="403"/>
        </w:trPr>
        <w:tc>
          <w:tcPr>
            <w:tcW w:type="dxa" w:w="570"/>
            <w:tcBorders>
              <w:top w:color="000000" w:sz="4" w:val="single"/>
              <w:left w:color="000000" w:sz="4" w:val="single"/>
              <w:bottom w:color="000000" w:sz="4" w:val="single"/>
              <w:right w:color="000000" w:sz="4" w:val="single"/>
            </w:tcBorders>
            <w:vAlign w:val="center"/>
          </w:tcPr>
          <w:p w14:paraId="10010000">
            <w:pPr>
              <w:widowControl w:val="0"/>
              <w:ind/>
              <w:jc w:val="center"/>
              <w:rPr>
                <w:rFonts w:ascii="Times New Roman" w:hAnsi="Times New Roman"/>
                <w:sz w:val="22"/>
              </w:rPr>
            </w:pPr>
          </w:p>
        </w:tc>
        <w:tc>
          <w:tcPr>
            <w:tcW w:type="dxa" w:w="8250"/>
            <w:gridSpan w:val="2"/>
            <w:tcBorders>
              <w:top w:color="000000" w:sz="4" w:val="single"/>
              <w:left w:color="000000" w:sz="4" w:val="single"/>
              <w:bottom w:color="000000" w:sz="4" w:val="single"/>
              <w:right w:color="000000" w:sz="4" w:val="single"/>
            </w:tcBorders>
            <w:vAlign w:val="center"/>
          </w:tcPr>
          <w:p w14:paraId="11010000">
            <w:pPr>
              <w:widowControl w:val="0"/>
              <w:ind/>
              <w:jc w:val="center"/>
              <w:rPr>
                <w:rFonts w:ascii="Times New Roman" w:hAnsi="Times New Roman"/>
                <w:b w:val="1"/>
                <w:sz w:val="22"/>
              </w:rPr>
            </w:pPr>
            <w:r>
              <w:rPr>
                <w:rFonts w:ascii="Times New Roman" w:hAnsi="Times New Roman"/>
                <w:b w:val="1"/>
                <w:sz w:val="22"/>
              </w:rPr>
              <w:t>ИТОГО</w:t>
            </w:r>
          </w:p>
        </w:tc>
        <w:tc>
          <w:tcPr>
            <w:tcW w:type="dxa" w:w="992"/>
            <w:tcBorders>
              <w:top w:color="000000" w:sz="4" w:val="single"/>
              <w:left w:color="000000" w:sz="4" w:val="single"/>
              <w:bottom w:color="000000" w:sz="4" w:val="single"/>
              <w:right w:color="000000" w:sz="4" w:val="single"/>
            </w:tcBorders>
            <w:vAlign w:val="center"/>
          </w:tcPr>
          <w:p w14:paraId="12010000">
            <w:pPr>
              <w:widowControl w:val="0"/>
              <w:ind/>
              <w:jc w:val="center"/>
              <w:rPr>
                <w:rFonts w:ascii="Times New Roman" w:hAnsi="Times New Roman"/>
                <w:b w:val="1"/>
                <w:sz w:val="22"/>
              </w:rPr>
            </w:pPr>
            <w:r>
              <w:rPr>
                <w:rFonts w:ascii="Times New Roman" w:hAnsi="Times New Roman"/>
                <w:b w:val="1"/>
                <w:sz w:val="22"/>
              </w:rPr>
              <w:t>штука</w:t>
            </w:r>
            <w:r>
              <w:rPr>
                <w:rFonts w:ascii="Times New Roman" w:hAnsi="Times New Roman"/>
                <w:b w:val="1"/>
                <w:sz w:val="22"/>
              </w:rPr>
              <w:t xml:space="preserve"> </w:t>
            </w:r>
          </w:p>
        </w:tc>
        <w:tc>
          <w:tcPr>
            <w:tcW w:type="dxa" w:w="709"/>
            <w:tcBorders>
              <w:top w:color="000000" w:sz="4" w:val="single"/>
              <w:left w:color="000000" w:sz="4" w:val="single"/>
              <w:bottom w:color="000000" w:sz="4" w:val="single"/>
              <w:right w:color="000000" w:sz="4" w:val="single"/>
            </w:tcBorders>
            <w:vAlign w:val="center"/>
          </w:tcPr>
          <w:p w14:paraId="13010000">
            <w:pPr>
              <w:widowControl w:val="0"/>
              <w:ind/>
              <w:jc w:val="center"/>
              <w:rPr>
                <w:rFonts w:ascii="Times New Roman" w:hAnsi="Times New Roman"/>
                <w:b w:val="1"/>
                <w:sz w:val="22"/>
              </w:rPr>
            </w:pPr>
            <w:r>
              <w:rPr>
                <w:rFonts w:ascii="Times New Roman" w:hAnsi="Times New Roman"/>
                <w:b w:val="1"/>
                <w:sz w:val="22"/>
              </w:rPr>
              <w:t>2</w:t>
            </w:r>
          </w:p>
        </w:tc>
      </w:tr>
    </w:tbl>
    <w:p w14:paraId="14010000">
      <w:pPr>
        <w:rPr>
          <w:sz w:val="22"/>
        </w:rPr>
      </w:pPr>
    </w:p>
    <w:p w14:paraId="15010000">
      <w:pPr>
        <w:rPr>
          <w:sz w:val="22"/>
        </w:rPr>
      </w:pPr>
    </w:p>
    <w:p w14:paraId="16010000">
      <w:pPr>
        <w:rPr>
          <w:sz w:val="22"/>
        </w:rPr>
      </w:pPr>
    </w:p>
    <w:p w14:paraId="17010000">
      <w:pPr>
        <w:rPr>
          <w:sz w:val="22"/>
        </w:rPr>
      </w:pPr>
    </w:p>
    <w:tbl>
      <w:tblPr>
        <w:tblStyle w:val="Style_1"/>
        <w:tblW w:type="auto" w:w="0"/>
        <w:tblInd w:type="dxa" w:w="-1"/>
        <w:tblLayout w:type="fixed"/>
        <w:tblCellMar>
          <w:left w:type="dxa" w:w="0"/>
          <w:right w:type="dxa" w:w="0"/>
        </w:tblCellMar>
      </w:tblPr>
      <w:tblGrid>
        <w:gridCol w:w="4944"/>
        <w:gridCol w:w="4946"/>
      </w:tblGrid>
      <w:tr>
        <w:tc>
          <w:tcPr>
            <w:tcW w:type="dxa" w:w="4944"/>
            <w:shd w:fill="auto" w:val="clear"/>
            <w:tcMar>
              <w:left w:type="dxa" w:w="0"/>
              <w:right w:type="dxa" w:w="0"/>
            </w:tcMar>
          </w:tcPr>
          <w:p w14:paraId="18010000">
            <w:pPr>
              <w:widowControl w:val="0"/>
              <w:ind w:firstLine="0" w:left="57" w:right="57"/>
              <w:jc w:val="center"/>
              <w:rPr>
                <w:b w:val="1"/>
                <w:sz w:val="22"/>
              </w:rPr>
            </w:pPr>
            <w:r>
              <w:rPr>
                <w:b w:val="1"/>
                <w:sz w:val="22"/>
              </w:rPr>
              <w:t>Заказчик:</w:t>
            </w:r>
          </w:p>
        </w:tc>
        <w:tc>
          <w:tcPr>
            <w:tcW w:type="dxa" w:w="4946"/>
            <w:shd w:fill="auto" w:val="clear"/>
            <w:tcMar>
              <w:left w:type="dxa" w:w="0"/>
              <w:right w:type="dxa" w:w="0"/>
            </w:tcMar>
          </w:tcPr>
          <w:p w14:paraId="19010000">
            <w:pPr>
              <w:widowControl w:val="0"/>
              <w:ind w:firstLine="0" w:left="57" w:right="57"/>
              <w:jc w:val="center"/>
              <w:rPr>
                <w:b w:val="1"/>
                <w:sz w:val="22"/>
              </w:rPr>
            </w:pPr>
            <w:r>
              <w:rPr>
                <w:b w:val="1"/>
                <w:sz w:val="22"/>
              </w:rPr>
              <w:t>Исполнитель</w:t>
            </w:r>
            <w:r>
              <w:rPr>
                <w:b w:val="1"/>
                <w:sz w:val="22"/>
              </w:rPr>
              <w:t>:</w:t>
            </w:r>
          </w:p>
        </w:tc>
      </w:tr>
      <w:tr>
        <w:tc>
          <w:tcPr>
            <w:tcW w:type="dxa" w:w="4944"/>
            <w:shd w:fill="auto" w:val="clear"/>
            <w:tcMar>
              <w:left w:type="dxa" w:w="0"/>
              <w:right w:type="dxa" w:w="0"/>
            </w:tcMar>
          </w:tcPr>
          <w:p w14:paraId="1A010000">
            <w:pPr>
              <w:widowControl w:val="0"/>
              <w:ind w:firstLine="0" w:left="143" w:right="231"/>
              <w:rPr>
                <w:spacing w:val="-3"/>
                <w:sz w:val="22"/>
              </w:rPr>
            </w:pPr>
            <w:r>
              <w:rPr>
                <w:spacing w:val="-3"/>
                <w:sz w:val="22"/>
              </w:rPr>
              <w:t>Межрегиональное территориальное управление Федерального агентства по управлению государственным имуществом в Курской и Белгородской областях</w:t>
            </w:r>
          </w:p>
          <w:p w14:paraId="1B010000">
            <w:pPr>
              <w:widowControl w:val="0"/>
              <w:ind w:firstLine="0" w:left="143" w:right="231"/>
              <w:rPr>
                <w:spacing w:val="-3"/>
                <w:sz w:val="22"/>
              </w:rPr>
            </w:pPr>
          </w:p>
          <w:p w14:paraId="1C010000">
            <w:pPr>
              <w:widowControl w:val="0"/>
              <w:ind w:firstLine="0" w:left="143" w:right="231"/>
              <w:rPr>
                <w:spacing w:val="-3"/>
                <w:sz w:val="22"/>
              </w:rPr>
            </w:pPr>
          </w:p>
          <w:p w14:paraId="1D010000">
            <w:pPr>
              <w:widowControl w:val="0"/>
              <w:ind w:firstLine="0" w:left="143" w:right="-642"/>
              <w:rPr>
                <w:rStyle w:val="Style_2_ch"/>
                <w:color w:val="000000"/>
                <w:spacing w:val="-3"/>
                <w:sz w:val="22"/>
                <w:u w:val="none"/>
              </w:rPr>
            </w:pPr>
            <w:r>
              <w:rPr>
                <w:rStyle w:val="Style_2_ch"/>
                <w:color w:val="000000"/>
                <w:spacing w:val="-3"/>
                <w:sz w:val="22"/>
                <w:u w:val="none"/>
              </w:rPr>
              <w:t>Руководитель</w:t>
            </w:r>
          </w:p>
          <w:p w14:paraId="1E010000">
            <w:pPr>
              <w:widowControl w:val="0"/>
              <w:ind w:firstLine="0" w:left="143" w:right="-642"/>
              <w:rPr>
                <w:spacing w:val="-3"/>
                <w:sz w:val="22"/>
              </w:rPr>
            </w:pPr>
          </w:p>
          <w:p w14:paraId="1F010000">
            <w:pPr>
              <w:widowControl w:val="0"/>
              <w:ind w:firstLine="0" w:left="143" w:right="-642"/>
              <w:rPr>
                <w:spacing w:val="-3"/>
                <w:sz w:val="22"/>
              </w:rPr>
            </w:pPr>
          </w:p>
          <w:p w14:paraId="20010000">
            <w:pPr>
              <w:widowControl w:val="0"/>
              <w:ind w:firstLine="0" w:left="143"/>
              <w:rPr>
                <w:sz w:val="22"/>
              </w:rPr>
            </w:pPr>
            <w:r>
              <w:rPr>
                <w:sz w:val="22"/>
              </w:rPr>
              <w:t>__________________</w:t>
            </w:r>
            <w:r>
              <w:rPr>
                <w:sz w:val="22"/>
              </w:rPr>
              <w:t xml:space="preserve"> Ю.В. Буравлев</w:t>
            </w:r>
          </w:p>
          <w:p w14:paraId="21010000">
            <w:pPr>
              <w:widowControl w:val="0"/>
              <w:ind w:firstLine="0" w:left="143"/>
              <w:rPr>
                <w:sz w:val="22"/>
              </w:rPr>
            </w:pPr>
            <w:r>
              <w:rPr>
                <w:sz w:val="22"/>
              </w:rPr>
              <w:t>м.п.</w:t>
            </w:r>
          </w:p>
        </w:tc>
        <w:tc>
          <w:tcPr>
            <w:tcW w:type="dxa" w:w="4946"/>
            <w:shd w:fill="auto" w:val="clear"/>
            <w:tcMar>
              <w:left w:type="dxa" w:w="0"/>
              <w:right w:type="dxa" w:w="0"/>
            </w:tcMar>
          </w:tcPr>
          <w:p/>
        </w:tc>
      </w:tr>
    </w:tbl>
    <w:p w14:paraId="22010000">
      <w:pPr>
        <w:rPr>
          <w:sz w:val="22"/>
        </w:rPr>
      </w:pPr>
    </w:p>
    <w:p w14:paraId="23010000">
      <w:pPr>
        <w:rPr>
          <w:sz w:val="22"/>
        </w:rPr>
      </w:pPr>
    </w:p>
    <w:p w14:paraId="24010000">
      <w:pPr>
        <w:rPr>
          <w:sz w:val="22"/>
        </w:rPr>
      </w:pPr>
    </w:p>
    <w:p w14:paraId="25010000">
      <w:pPr>
        <w:rPr>
          <w:sz w:val="22"/>
        </w:rPr>
      </w:pPr>
    </w:p>
    <w:p w14:paraId="26010000">
      <w:pPr>
        <w:rPr>
          <w:sz w:val="20"/>
        </w:rPr>
      </w:pPr>
    </w:p>
    <w:p w14:paraId="27010000">
      <w:pPr>
        <w:rPr>
          <w:sz w:val="20"/>
        </w:rPr>
      </w:pPr>
    </w:p>
    <w:p w14:paraId="28010000">
      <w:pPr>
        <w:rPr>
          <w:sz w:val="20"/>
        </w:rPr>
      </w:pPr>
    </w:p>
    <w:p w14:paraId="29010000">
      <w:pPr>
        <w:rPr>
          <w:sz w:val="20"/>
        </w:rPr>
      </w:pPr>
    </w:p>
    <w:p w14:paraId="2A010000">
      <w:pPr>
        <w:rPr>
          <w:sz w:val="20"/>
        </w:rPr>
      </w:pPr>
    </w:p>
    <w:p w14:paraId="2B010000">
      <w:pPr>
        <w:rPr>
          <w:sz w:val="24"/>
        </w:rPr>
      </w:pPr>
    </w:p>
    <w:p w14:paraId="2C010000">
      <w:pPr>
        <w:rPr>
          <w:sz w:val="24"/>
        </w:rPr>
      </w:pPr>
    </w:p>
    <w:p w14:paraId="2D010000">
      <w:pPr>
        <w:rPr>
          <w:sz w:val="24"/>
        </w:rPr>
      </w:pPr>
    </w:p>
    <w:p w14:paraId="2E010000">
      <w:pPr>
        <w:rPr>
          <w:sz w:val="24"/>
        </w:rPr>
      </w:pPr>
    </w:p>
    <w:p w14:paraId="2F010000">
      <w:pPr>
        <w:rPr>
          <w:sz w:val="24"/>
        </w:rPr>
      </w:pPr>
    </w:p>
    <w:p w14:paraId="30010000">
      <w:pPr>
        <w:rPr>
          <w:sz w:val="24"/>
        </w:rPr>
      </w:pPr>
    </w:p>
    <w:p w14:paraId="31010000">
      <w:pPr>
        <w:rPr>
          <w:sz w:val="24"/>
        </w:rPr>
      </w:pPr>
    </w:p>
    <w:p w14:paraId="32010000">
      <w:pPr>
        <w:rPr>
          <w:sz w:val="24"/>
        </w:rPr>
      </w:pPr>
    </w:p>
    <w:p w14:paraId="33010000">
      <w:pPr>
        <w:rPr>
          <w:sz w:val="24"/>
        </w:rPr>
      </w:pPr>
    </w:p>
    <w:p w14:paraId="34010000">
      <w:pPr>
        <w:rPr>
          <w:sz w:val="24"/>
        </w:rPr>
      </w:pPr>
    </w:p>
    <w:p w14:paraId="35010000">
      <w:pPr>
        <w:rPr>
          <w:sz w:val="24"/>
        </w:rPr>
      </w:pPr>
    </w:p>
    <w:p w14:paraId="36010000">
      <w:pPr>
        <w:rPr>
          <w:sz w:val="24"/>
        </w:rPr>
      </w:pPr>
    </w:p>
    <w:p w14:paraId="37010000">
      <w:pPr>
        <w:rPr>
          <w:sz w:val="24"/>
        </w:rPr>
      </w:pPr>
    </w:p>
    <w:p w14:paraId="38010000">
      <w:pPr>
        <w:rPr>
          <w:sz w:val="24"/>
        </w:rPr>
      </w:pPr>
    </w:p>
    <w:p w14:paraId="39010000">
      <w:pPr>
        <w:rPr>
          <w:sz w:val="24"/>
        </w:rPr>
      </w:pPr>
    </w:p>
    <w:p w14:paraId="3A010000">
      <w:pPr>
        <w:rPr>
          <w:sz w:val="24"/>
        </w:rPr>
      </w:pPr>
    </w:p>
    <w:p w14:paraId="3B010000">
      <w:pPr>
        <w:rPr>
          <w:sz w:val="24"/>
        </w:rPr>
      </w:pPr>
    </w:p>
    <w:p w14:paraId="3C010000">
      <w:pPr>
        <w:rPr>
          <w:sz w:val="24"/>
        </w:rPr>
      </w:pPr>
    </w:p>
    <w:p w14:paraId="3D010000">
      <w:pPr>
        <w:rPr>
          <w:sz w:val="24"/>
        </w:rPr>
      </w:pPr>
    </w:p>
    <w:tbl>
      <w:tblPr>
        <w:tblStyle w:val="Style_1"/>
        <w:tblW w:type="auto" w:w="0"/>
        <w:tblInd w:type="dxa" w:w="6629"/>
        <w:tblLayout w:type="fixed"/>
      </w:tblPr>
      <w:tblGrid>
        <w:gridCol w:w="3650"/>
      </w:tblGrid>
      <w:tr>
        <w:tc>
          <w:tcPr>
            <w:tcW w:type="dxa" w:w="3650"/>
            <w:shd w:fill="auto" w:val="clear"/>
          </w:tcPr>
          <w:p w14:paraId="3E010000">
            <w:pPr>
              <w:widowControl w:val="0"/>
              <w:ind/>
              <w:jc w:val="center"/>
              <w:rPr>
                <w:sz w:val="24"/>
                <w:shd w:fill="FFD821" w:val="clear"/>
              </w:rPr>
            </w:pPr>
            <w:r>
              <w:rPr>
                <w:spacing w:val="-3"/>
                <w:sz w:val="22"/>
                <w:shd w:fill="FFD821" w:val="clear"/>
              </w:rPr>
              <w:t>Приложение</w:t>
            </w:r>
            <w:r>
              <w:rPr>
                <w:spacing w:val="-3"/>
                <w:sz w:val="22"/>
                <w:shd w:fill="FFD821" w:val="clear"/>
              </w:rPr>
              <w:t xml:space="preserve"> </w:t>
            </w:r>
            <w:r>
              <w:rPr>
                <w:spacing w:val="-3"/>
                <w:sz w:val="22"/>
                <w:shd w:fill="FFD821" w:val="clear"/>
              </w:rPr>
              <w:t xml:space="preserve">№ </w:t>
            </w:r>
            <w:r>
              <w:rPr>
                <w:sz w:val="24"/>
                <w:shd w:fill="FFD821" w:val="clear"/>
              </w:rPr>
              <w:t>2</w:t>
            </w:r>
          </w:p>
          <w:p w14:paraId="3F010000">
            <w:pPr>
              <w:widowControl w:val="0"/>
              <w:spacing w:line="254" w:lineRule="exact"/>
              <w:ind/>
              <w:jc w:val="center"/>
              <w:rPr>
                <w:sz w:val="22"/>
                <w:shd w:fill="FFD821" w:val="clear"/>
              </w:rPr>
            </w:pPr>
            <w:r>
              <w:rPr>
                <w:sz w:val="22"/>
                <w:shd w:fill="FFD821" w:val="clear"/>
              </w:rPr>
              <w:t>к государственному контракту</w:t>
            </w:r>
          </w:p>
          <w:p w14:paraId="40010000">
            <w:pPr>
              <w:widowControl w:val="0"/>
              <w:spacing w:line="254" w:lineRule="exact"/>
              <w:ind/>
              <w:jc w:val="center"/>
              <w:rPr>
                <w:sz w:val="22"/>
                <w:shd w:fill="FFD821" w:val="clear"/>
              </w:rPr>
            </w:pPr>
            <w:r>
              <w:rPr>
                <w:sz w:val="22"/>
                <w:shd w:fill="FFD821" w:val="clear"/>
              </w:rPr>
              <w:t xml:space="preserve">от </w:t>
            </w:r>
            <w:r>
              <w:rPr>
                <w:sz w:val="22"/>
                <w:shd w:fill="FFD821" w:val="clear"/>
              </w:rPr>
              <w:t>«___» _____ 202__</w:t>
            </w:r>
            <w:r>
              <w:rPr>
                <w:sz w:val="22"/>
                <w:shd w:fill="FFD821" w:val="clear"/>
              </w:rPr>
              <w:t xml:space="preserve"> </w:t>
            </w:r>
            <w:r>
              <w:rPr>
                <w:sz w:val="22"/>
                <w:shd w:fill="FFD821" w:val="clear"/>
              </w:rPr>
              <w:t>г. №____</w:t>
            </w:r>
          </w:p>
          <w:p w14:paraId="41010000">
            <w:pPr>
              <w:widowControl w:val="0"/>
              <w:ind/>
              <w:jc w:val="right"/>
              <w:rPr>
                <w:spacing w:val="-3"/>
                <w:sz w:val="22"/>
                <w:shd w:fill="FFD821" w:val="clear"/>
              </w:rPr>
            </w:pPr>
          </w:p>
        </w:tc>
      </w:tr>
    </w:tbl>
    <w:p w14:paraId="42010000">
      <w:pPr>
        <w:rPr>
          <w:sz w:val="24"/>
        </w:rPr>
      </w:pPr>
    </w:p>
    <w:p w14:paraId="43010000">
      <w:pPr>
        <w:rPr>
          <w:sz w:val="24"/>
        </w:rPr>
      </w:pPr>
    </w:p>
    <w:p w14:paraId="44010000">
      <w:pPr>
        <w:rPr>
          <w:sz w:val="24"/>
        </w:rPr>
      </w:pPr>
    </w:p>
    <w:p w14:paraId="45010000">
      <w:pPr>
        <w:widowControl w:val="0"/>
        <w:ind w:right="57"/>
        <w:jc w:val="center"/>
        <w:rPr>
          <w:sz w:val="24"/>
        </w:rPr>
      </w:pPr>
      <w:r>
        <w:rPr>
          <w:sz w:val="24"/>
        </w:rPr>
        <w:t>СОГЛАСИЕ СТОРОН С ОБРАЗЦОМ</w:t>
      </w:r>
    </w:p>
    <w:p w14:paraId="46010000">
      <w:pPr>
        <w:widowControl w:val="0"/>
        <w:ind w:right="57"/>
        <w:jc w:val="center"/>
        <w:rPr>
          <w:sz w:val="24"/>
        </w:rPr>
      </w:pPr>
    </w:p>
    <w:p w14:paraId="47010000">
      <w:pPr>
        <w:widowControl w:val="0"/>
        <w:ind w:right="57"/>
        <w:jc w:val="center"/>
        <w:rPr>
          <w:sz w:val="24"/>
        </w:rPr>
      </w:pPr>
      <w:r>
        <w:rPr>
          <w:sz w:val="24"/>
        </w:rPr>
        <w:t>НАЧАЛО ОБРАЗЦА:</w:t>
      </w:r>
    </w:p>
    <w:p w14:paraId="48010000">
      <w:pPr>
        <w:widowControl w:val="0"/>
        <w:ind w:right="57"/>
        <w:jc w:val="center"/>
        <w:rPr>
          <w:sz w:val="24"/>
        </w:rPr>
      </w:pPr>
    </w:p>
    <w:p w14:paraId="49010000">
      <w:pPr>
        <w:widowControl w:val="0"/>
        <w:ind w:right="57"/>
        <w:jc w:val="center"/>
        <w:rPr>
          <w:sz w:val="24"/>
        </w:rPr>
      </w:pPr>
      <w:r>
        <w:rPr>
          <w:sz w:val="24"/>
        </w:rPr>
        <w:t>АКТ</w:t>
      </w:r>
    </w:p>
    <w:p w14:paraId="4A010000">
      <w:pPr>
        <w:widowControl w:val="0"/>
        <w:ind w:right="57"/>
        <w:jc w:val="center"/>
        <w:rPr>
          <w:sz w:val="24"/>
        </w:rPr>
      </w:pPr>
      <w:r>
        <w:rPr>
          <w:sz w:val="24"/>
        </w:rPr>
        <w:t>приема-сдачи работ</w:t>
      </w:r>
    </w:p>
    <w:p w14:paraId="4B010000">
      <w:pPr>
        <w:widowControl w:val="0"/>
        <w:ind w:firstLine="0" w:left="57" w:right="57"/>
        <w:jc w:val="center"/>
        <w:rPr>
          <w:sz w:val="22"/>
        </w:rPr>
      </w:pPr>
    </w:p>
    <w:p w14:paraId="4C010000">
      <w:pPr>
        <w:widowControl w:val="0"/>
        <w:ind w:firstLine="0" w:left="57" w:right="57"/>
        <w:jc w:val="center"/>
        <w:rPr>
          <w:sz w:val="22"/>
        </w:rPr>
      </w:pPr>
    </w:p>
    <w:p w14:paraId="4D010000">
      <w:pPr>
        <w:widowControl w:val="0"/>
        <w:ind w:firstLine="0" w:left="57" w:right="57"/>
        <w:jc w:val="both"/>
        <w:rPr>
          <w:sz w:val="22"/>
        </w:rPr>
      </w:pPr>
      <w:r>
        <w:rPr>
          <w:sz w:val="22"/>
        </w:rPr>
        <w:t>г. Белгород</w:t>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 xml:space="preserve">          </w:t>
      </w:r>
      <w:r>
        <w:rPr>
          <w:sz w:val="24"/>
        </w:rPr>
        <w:t>« ____» __________ 202_</w:t>
      </w:r>
      <w:r>
        <w:rPr>
          <w:sz w:val="24"/>
        </w:rPr>
        <w:t xml:space="preserve"> г.</w:t>
      </w:r>
    </w:p>
    <w:p w14:paraId="4E010000">
      <w:pPr>
        <w:widowControl w:val="0"/>
        <w:ind w:firstLine="0" w:left="57" w:right="57"/>
        <w:jc w:val="center"/>
        <w:rPr>
          <w:sz w:val="22"/>
        </w:rPr>
      </w:pPr>
    </w:p>
    <w:p w14:paraId="4F010000">
      <w:pPr>
        <w:widowControl w:val="0"/>
        <w:ind w:firstLine="720" w:left="0"/>
        <w:jc w:val="both"/>
        <w:rPr>
          <w:sz w:val="24"/>
        </w:rPr>
      </w:pPr>
      <w:r>
        <w:rPr>
          <w:sz w:val="24"/>
        </w:rPr>
        <w:t xml:space="preserve">Мы, нижеподписавшиеся, Межрегиональное территориальное управление Федерального агентства по управлению государственным имуществом в Курской и Белгородской областях, именуемое в дальнейшем – Заказчик, в лице _______, действующего на основании _________ с одной стороны, и__________________ именуемое в дальнейшем – Исполнитель, в лице ________, действующего на основании _________, с другой стороны, составили настоящий акт о нижеследующем: </w:t>
      </w:r>
    </w:p>
    <w:p w14:paraId="50010000">
      <w:pPr>
        <w:widowControl w:val="0"/>
        <w:ind w:firstLine="720" w:left="0"/>
        <w:jc w:val="both"/>
        <w:rPr>
          <w:spacing w:val="-12"/>
          <w:sz w:val="24"/>
        </w:rPr>
      </w:pPr>
      <w:r>
        <w:rPr>
          <w:spacing w:val="-12"/>
          <w:sz w:val="24"/>
        </w:rPr>
        <w:t>1. В соответствии с Государственным контрактом № _</w:t>
      </w:r>
      <w:r>
        <w:rPr>
          <w:spacing w:val="-12"/>
          <w:sz w:val="24"/>
        </w:rPr>
        <w:t>___ от «___» ______________ 20___</w:t>
      </w:r>
      <w:r>
        <w:rPr>
          <w:spacing w:val="-12"/>
          <w:sz w:val="24"/>
        </w:rPr>
        <w:t xml:space="preserve"> г.                                (далее – Контракт) Исполнитель выполнил работы в соответствии с Техническим заданием (Приложение №1 к Контракту) и условиями Контракта.</w:t>
      </w:r>
    </w:p>
    <w:p w14:paraId="51010000">
      <w:pPr>
        <w:widowControl w:val="0"/>
        <w:ind w:firstLine="720" w:left="0"/>
        <w:jc w:val="both"/>
        <w:rPr>
          <w:spacing w:val="-12"/>
          <w:sz w:val="24"/>
        </w:rPr>
      </w:pPr>
      <w:r>
        <w:rPr>
          <w:spacing w:val="-12"/>
          <w:sz w:val="24"/>
        </w:rPr>
        <w:t>В результате выполненных работ Исполнителем подготовлены и передаются Заказчику в 2 (двух) экземплярах на бумажном носителе и в 1 (одном) экземпляре на магнитном носителе технические планы;  в 1 (одном) экземпляре на бумажном носителе  технические заключения на объекты недвижимости (в случае необходимости), являющиеся имуществом государственной казны Российской Федерации (перечень указан в таблице №1).</w:t>
      </w:r>
    </w:p>
    <w:p w14:paraId="52010000">
      <w:pPr>
        <w:widowControl w:val="0"/>
        <w:ind w:firstLine="720" w:left="0"/>
        <w:jc w:val="right"/>
        <w:rPr>
          <w:spacing w:val="-12"/>
          <w:sz w:val="24"/>
        </w:rPr>
      </w:pPr>
      <w:r>
        <w:rPr>
          <w:spacing w:val="-12"/>
          <w:sz w:val="24"/>
        </w:rPr>
        <w:t>Таблица № 1</w:t>
      </w:r>
    </w:p>
    <w:p w14:paraId="53010000">
      <w:pPr>
        <w:widowControl w:val="0"/>
        <w:ind w:firstLine="720" w:left="0"/>
        <w:jc w:val="right"/>
        <w:rPr>
          <w:spacing w:val="-12"/>
          <w:sz w:val="24"/>
        </w:rPr>
      </w:pPr>
    </w:p>
    <w:p w14:paraId="54010000">
      <w:pPr>
        <w:widowControl w:val="0"/>
        <w:ind w:firstLine="720" w:left="0"/>
        <w:jc w:val="right"/>
        <w:rPr>
          <w:spacing w:val="-12"/>
          <w:sz w:val="24"/>
        </w:rPr>
      </w:pPr>
    </w:p>
    <w:p w14:paraId="55010000">
      <w:pPr>
        <w:widowControl w:val="0"/>
        <w:tabs>
          <w:tab w:leader="none" w:pos="0" w:val="left"/>
        </w:tabs>
        <w:ind w:firstLine="567" w:left="0"/>
        <w:jc w:val="center"/>
        <w:rPr>
          <w:b w:val="1"/>
          <w:sz w:val="24"/>
        </w:rPr>
      </w:pPr>
      <w:r>
        <w:rPr>
          <w:b w:val="1"/>
          <w:sz w:val="24"/>
        </w:rPr>
        <w:t>Перечень</w:t>
      </w:r>
    </w:p>
    <w:p w14:paraId="56010000">
      <w:pPr>
        <w:widowControl w:val="0"/>
        <w:ind/>
        <w:jc w:val="center"/>
        <w:rPr>
          <w:b w:val="1"/>
          <w:sz w:val="24"/>
        </w:rPr>
      </w:pPr>
      <w:r>
        <w:rPr>
          <w:b w:val="1"/>
          <w:sz w:val="24"/>
        </w:rPr>
        <w:t xml:space="preserve">объектов недвижимости, составляющих имущество казны Российской Федерации, в отношении которых </w:t>
      </w:r>
      <w:r>
        <w:rPr>
          <w:b w:val="1"/>
          <w:spacing w:val="-2"/>
          <w:sz w:val="24"/>
        </w:rPr>
        <w:t>проводятся работы</w:t>
      </w:r>
      <w:r>
        <w:rPr>
          <w:b w:val="1"/>
          <w:sz w:val="24"/>
        </w:rPr>
        <w:t xml:space="preserve"> </w:t>
      </w:r>
    </w:p>
    <w:tbl>
      <w:tblPr>
        <w:tblStyle w:val="Style_1"/>
        <w:tblW w:type="auto" w:w="0"/>
        <w:tblInd w:type="dxa" w:w="108"/>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51"/>
        <w:gridCol w:w="2551"/>
        <w:gridCol w:w="2977"/>
        <w:gridCol w:w="992"/>
        <w:gridCol w:w="1134"/>
        <w:gridCol w:w="1701"/>
      </w:tblGrid>
      <w:tr>
        <w:trPr>
          <w:trHeight w:hRule="atLeast" w:val="266"/>
        </w:trPr>
        <w:tc>
          <w:tcPr>
            <w:tcW w:type="dxa" w:w="851"/>
            <w:tcBorders>
              <w:top w:color="000000" w:sz="4" w:val="single"/>
              <w:left w:color="000000" w:sz="4" w:val="single"/>
              <w:bottom w:color="000000" w:sz="4" w:val="single"/>
              <w:right w:color="000000" w:sz="4" w:val="single"/>
            </w:tcBorders>
          </w:tcPr>
          <w:p w14:paraId="57010000">
            <w:pPr>
              <w:widowControl w:val="0"/>
              <w:ind w:right="-24"/>
              <w:jc w:val="center"/>
              <w:rPr>
                <w:sz w:val="24"/>
              </w:rPr>
            </w:pPr>
            <w:r>
              <w:rPr>
                <w:sz w:val="24"/>
              </w:rPr>
              <w:t>№ п/п</w:t>
            </w:r>
          </w:p>
        </w:tc>
        <w:tc>
          <w:tcPr>
            <w:tcW w:type="dxa" w:w="2551"/>
            <w:tcBorders>
              <w:top w:color="000000" w:sz="4" w:val="single"/>
              <w:left w:color="000000" w:sz="4" w:val="single"/>
              <w:bottom w:color="000000" w:sz="4" w:val="single"/>
              <w:right w:color="000000" w:sz="4" w:val="single"/>
            </w:tcBorders>
          </w:tcPr>
          <w:p w14:paraId="58010000">
            <w:pPr>
              <w:widowControl w:val="0"/>
              <w:ind w:right="-24"/>
              <w:jc w:val="center"/>
              <w:rPr>
                <w:sz w:val="24"/>
              </w:rPr>
            </w:pPr>
            <w:r>
              <w:rPr>
                <w:sz w:val="24"/>
              </w:rPr>
              <w:t>Наименование объекта, ориентировочная площадь</w:t>
            </w:r>
          </w:p>
        </w:tc>
        <w:tc>
          <w:tcPr>
            <w:tcW w:type="dxa" w:w="2977"/>
            <w:tcBorders>
              <w:top w:color="000000" w:sz="4" w:val="single"/>
              <w:left w:color="000000" w:sz="4" w:val="single"/>
              <w:bottom w:color="000000" w:sz="4" w:val="single"/>
              <w:right w:color="000000" w:sz="4" w:val="single"/>
            </w:tcBorders>
            <w:vAlign w:val="center"/>
          </w:tcPr>
          <w:p w14:paraId="59010000">
            <w:pPr>
              <w:widowControl w:val="0"/>
              <w:ind/>
              <w:jc w:val="center"/>
              <w:rPr>
                <w:sz w:val="24"/>
              </w:rPr>
            </w:pPr>
            <w:r>
              <w:rPr>
                <w:sz w:val="24"/>
              </w:rPr>
              <w:t>Адрес</w:t>
            </w:r>
          </w:p>
        </w:tc>
        <w:tc>
          <w:tcPr>
            <w:tcW w:type="dxa" w:w="992"/>
            <w:tcBorders>
              <w:top w:color="000000" w:sz="4" w:val="single"/>
              <w:left w:color="000000" w:sz="4" w:val="single"/>
              <w:bottom w:color="000000" w:sz="4" w:val="single"/>
              <w:right w:color="000000" w:sz="4" w:val="single"/>
            </w:tcBorders>
          </w:tcPr>
          <w:p w14:paraId="5A010000">
            <w:pPr>
              <w:widowControl w:val="0"/>
              <w:ind/>
              <w:jc w:val="center"/>
              <w:rPr>
                <w:sz w:val="24"/>
              </w:rPr>
            </w:pPr>
            <w:r>
              <w:rPr>
                <w:sz w:val="24"/>
              </w:rPr>
              <w:t>Ед. измер.</w:t>
            </w:r>
          </w:p>
        </w:tc>
        <w:tc>
          <w:tcPr>
            <w:tcW w:type="dxa" w:w="1134"/>
            <w:tcBorders>
              <w:top w:color="000000" w:sz="4" w:val="single"/>
              <w:left w:color="000000" w:sz="4" w:val="single"/>
              <w:bottom w:color="000000" w:sz="4" w:val="single"/>
              <w:right w:color="000000" w:sz="4" w:val="single"/>
            </w:tcBorders>
          </w:tcPr>
          <w:p w14:paraId="5B010000">
            <w:pPr>
              <w:widowControl w:val="0"/>
              <w:ind/>
              <w:jc w:val="center"/>
              <w:rPr>
                <w:sz w:val="24"/>
              </w:rPr>
            </w:pPr>
            <w:r>
              <w:rPr>
                <w:sz w:val="24"/>
              </w:rPr>
              <w:t>Кол-во</w:t>
            </w:r>
          </w:p>
        </w:tc>
        <w:tc>
          <w:tcPr>
            <w:tcW w:type="dxa" w:w="1701"/>
            <w:tcBorders>
              <w:top w:color="000000" w:sz="4" w:val="single"/>
              <w:left w:color="000000" w:sz="4" w:val="single"/>
              <w:bottom w:color="000000" w:sz="4" w:val="single"/>
              <w:right w:color="000000" w:sz="4" w:val="single"/>
            </w:tcBorders>
          </w:tcPr>
          <w:p w14:paraId="5C010000">
            <w:pPr>
              <w:widowControl w:val="0"/>
              <w:ind/>
              <w:jc w:val="center"/>
              <w:rPr>
                <w:b w:val="1"/>
                <w:sz w:val="24"/>
              </w:rPr>
            </w:pPr>
            <w:r>
              <w:rPr>
                <w:b w:val="1"/>
                <w:sz w:val="24"/>
              </w:rPr>
              <w:t>Стоимость позиции</w:t>
            </w:r>
          </w:p>
        </w:tc>
      </w:tr>
      <w:tr>
        <w:trPr>
          <w:trHeight w:hRule="atLeast" w:val="522"/>
        </w:trPr>
        <w:tc>
          <w:tcPr>
            <w:tcW w:type="dxa" w:w="10206"/>
            <w:gridSpan w:val="6"/>
            <w:tcBorders>
              <w:top w:color="000000" w:sz="4" w:val="single"/>
              <w:left w:color="000000" w:sz="4" w:val="single"/>
              <w:bottom w:color="000000" w:sz="4" w:val="single"/>
              <w:right w:color="000000" w:sz="4" w:val="single"/>
            </w:tcBorders>
            <w:vAlign w:val="center"/>
          </w:tcPr>
          <w:p w14:paraId="5D010000">
            <w:pPr>
              <w:widowControl w:val="0"/>
              <w:ind/>
              <w:jc w:val="center"/>
              <w:rPr>
                <w:b w:val="1"/>
                <w:sz w:val="24"/>
              </w:rPr>
            </w:pPr>
            <w:r>
              <w:rPr>
                <w:sz w:val="24"/>
              </w:rPr>
              <w:t>Изготовление технических планов</w:t>
            </w:r>
          </w:p>
        </w:tc>
      </w:tr>
      <w:tr>
        <w:trPr>
          <w:trHeight w:hRule="atLeast" w:val="743"/>
        </w:trPr>
        <w:tc>
          <w:tcPr>
            <w:tcW w:type="dxa" w:w="851"/>
            <w:tcBorders>
              <w:top w:color="000000" w:sz="4" w:val="single"/>
              <w:left w:color="000000" w:sz="4" w:val="single"/>
              <w:bottom w:color="000000" w:sz="4" w:val="single"/>
              <w:right w:color="000000" w:sz="4" w:val="single"/>
            </w:tcBorders>
            <w:vAlign w:val="center"/>
          </w:tcPr>
          <w:p w14:paraId="5E010000">
            <w:pPr>
              <w:widowControl w:val="0"/>
              <w:ind/>
              <w:jc w:val="center"/>
              <w:rPr>
                <w:color w:val="000000"/>
                <w:sz w:val="24"/>
              </w:rPr>
            </w:pPr>
            <w:r>
              <w:rPr>
                <w:color w:val="000000"/>
                <w:sz w:val="24"/>
              </w:rPr>
              <w:t>1</w:t>
            </w:r>
          </w:p>
        </w:tc>
        <w:tc>
          <w:tcPr>
            <w:tcW w:type="dxa" w:w="2551"/>
            <w:tcBorders>
              <w:top w:color="000000" w:sz="4" w:val="single"/>
              <w:left w:color="000000" w:sz="4" w:val="single"/>
              <w:bottom w:color="000000" w:sz="4" w:val="single"/>
              <w:right w:color="000000" w:sz="4" w:val="single"/>
            </w:tcBorders>
            <w:vAlign w:val="bottom"/>
          </w:tcPr>
          <w:p w14:paraId="5F010000">
            <w:pPr>
              <w:rPr>
                <w:sz w:val="24"/>
              </w:rPr>
            </w:pPr>
          </w:p>
        </w:tc>
        <w:tc>
          <w:tcPr>
            <w:tcW w:type="dxa" w:w="2977"/>
            <w:tcBorders>
              <w:top w:color="000000" w:sz="4" w:val="single"/>
              <w:left w:color="000000" w:sz="4" w:val="single"/>
              <w:bottom w:color="000000" w:sz="4" w:val="single"/>
              <w:right w:color="000000" w:sz="4" w:val="single"/>
            </w:tcBorders>
            <w:shd w:fill="auto" w:val="clear"/>
            <w:vAlign w:val="center"/>
          </w:tcPr>
          <w:p w14:paraId="60010000">
            <w:pPr>
              <w:widowControl w:val="0"/>
              <w:ind/>
              <w:jc w:val="center"/>
              <w:rPr>
                <w:sz w:val="24"/>
              </w:rPr>
            </w:pPr>
          </w:p>
        </w:tc>
        <w:tc>
          <w:tcPr>
            <w:tcW w:type="dxa" w:w="992"/>
            <w:tcBorders>
              <w:top w:color="000000" w:sz="4" w:val="single"/>
              <w:left w:color="000000" w:sz="4" w:val="single"/>
              <w:bottom w:color="000000" w:sz="4" w:val="single"/>
              <w:right w:color="000000" w:sz="4" w:val="single"/>
            </w:tcBorders>
            <w:shd w:fill="auto" w:val="clear"/>
            <w:vAlign w:val="center"/>
          </w:tcPr>
          <w:p w14:paraId="61010000">
            <w:pPr>
              <w:widowControl w:val="0"/>
              <w:ind/>
              <w:jc w:val="center"/>
              <w:rPr>
                <w:sz w:val="24"/>
              </w:rPr>
            </w:pPr>
            <w:r>
              <w:rPr>
                <w:sz w:val="24"/>
              </w:rPr>
              <w:t>штука</w:t>
            </w:r>
          </w:p>
        </w:tc>
        <w:tc>
          <w:tcPr>
            <w:tcW w:type="dxa" w:w="1134"/>
            <w:tcBorders>
              <w:top w:color="000000" w:sz="4" w:val="single"/>
              <w:left w:color="000000" w:sz="4" w:val="single"/>
              <w:bottom w:color="000000" w:sz="4" w:val="single"/>
              <w:right w:color="000000" w:sz="4" w:val="single"/>
            </w:tcBorders>
            <w:vAlign w:val="center"/>
          </w:tcPr>
          <w:p w14:paraId="62010000">
            <w:pPr>
              <w:widowControl w:val="0"/>
              <w:ind/>
              <w:jc w:val="center"/>
              <w:rPr>
                <w:sz w:val="24"/>
              </w:rPr>
            </w:pPr>
          </w:p>
        </w:tc>
        <w:tc>
          <w:tcPr>
            <w:tcW w:type="dxa" w:w="1701"/>
            <w:tcBorders>
              <w:top w:color="000000" w:sz="4" w:val="single"/>
              <w:left w:color="000000" w:sz="4" w:val="single"/>
              <w:bottom w:color="000000" w:sz="4" w:val="single"/>
              <w:right w:color="000000" w:sz="4" w:val="single"/>
            </w:tcBorders>
            <w:vAlign w:val="center"/>
          </w:tcPr>
          <w:p w14:paraId="63010000">
            <w:pPr>
              <w:widowControl w:val="0"/>
              <w:ind/>
              <w:jc w:val="center"/>
              <w:rPr>
                <w:b w:val="1"/>
              </w:rPr>
            </w:pPr>
          </w:p>
        </w:tc>
      </w:tr>
      <w:tr>
        <w:trPr>
          <w:trHeight w:hRule="atLeast" w:val="837"/>
        </w:trPr>
        <w:tc>
          <w:tcPr>
            <w:tcW w:type="dxa" w:w="851"/>
            <w:tcBorders>
              <w:top w:color="000000" w:sz="4" w:val="single"/>
              <w:left w:color="000000" w:sz="4" w:val="single"/>
              <w:bottom w:color="000000" w:sz="4" w:val="single"/>
              <w:right w:color="000000" w:sz="4" w:val="single"/>
            </w:tcBorders>
            <w:vAlign w:val="center"/>
          </w:tcPr>
          <w:p w14:paraId="64010000">
            <w:pPr>
              <w:widowControl w:val="0"/>
              <w:ind/>
              <w:jc w:val="center"/>
              <w:rPr>
                <w:color w:val="000000"/>
                <w:sz w:val="24"/>
              </w:rPr>
            </w:pPr>
            <w:r>
              <w:rPr>
                <w:color w:val="000000"/>
                <w:sz w:val="24"/>
              </w:rPr>
              <w:t>2</w:t>
            </w:r>
          </w:p>
        </w:tc>
        <w:tc>
          <w:tcPr>
            <w:tcW w:type="dxa" w:w="2551"/>
            <w:tcBorders>
              <w:top w:color="000000" w:sz="4" w:val="single"/>
              <w:left w:color="000000" w:sz="4" w:val="single"/>
              <w:bottom w:color="000000" w:sz="4" w:val="single"/>
              <w:right w:color="000000" w:sz="4" w:val="single"/>
            </w:tcBorders>
            <w:vAlign w:val="bottom"/>
          </w:tcPr>
          <w:p w14:paraId="65010000">
            <w:pPr>
              <w:rPr>
                <w:sz w:val="24"/>
              </w:rPr>
            </w:pPr>
          </w:p>
        </w:tc>
        <w:tc>
          <w:tcPr>
            <w:tcW w:type="dxa" w:w="2977"/>
            <w:tcBorders>
              <w:top w:color="000000" w:sz="4" w:val="single"/>
              <w:left w:color="000000" w:sz="4" w:val="single"/>
              <w:bottom w:color="000000" w:sz="4" w:val="single"/>
              <w:right w:color="000000" w:sz="4" w:val="single"/>
            </w:tcBorders>
            <w:shd w:fill="auto" w:val="clear"/>
            <w:vAlign w:val="center"/>
          </w:tcPr>
          <w:p w14:paraId="66010000">
            <w:pPr>
              <w:widowControl w:val="0"/>
              <w:ind/>
              <w:jc w:val="center"/>
              <w:rPr>
                <w:sz w:val="24"/>
              </w:rPr>
            </w:pPr>
          </w:p>
        </w:tc>
        <w:tc>
          <w:tcPr>
            <w:tcW w:type="dxa" w:w="992"/>
            <w:tcBorders>
              <w:top w:color="000000" w:sz="4" w:val="single"/>
              <w:left w:color="000000" w:sz="4" w:val="single"/>
              <w:bottom w:color="000000" w:sz="4" w:val="single"/>
              <w:right w:color="000000" w:sz="4" w:val="single"/>
            </w:tcBorders>
            <w:shd w:fill="auto" w:val="clear"/>
            <w:vAlign w:val="center"/>
          </w:tcPr>
          <w:p w14:paraId="67010000">
            <w:pPr>
              <w:widowControl w:val="0"/>
              <w:ind/>
              <w:jc w:val="center"/>
              <w:rPr>
                <w:sz w:val="24"/>
              </w:rPr>
            </w:pPr>
            <w:r>
              <w:rPr>
                <w:sz w:val="24"/>
              </w:rPr>
              <w:t>штука</w:t>
            </w:r>
          </w:p>
        </w:tc>
        <w:tc>
          <w:tcPr>
            <w:tcW w:type="dxa" w:w="1134"/>
            <w:tcBorders>
              <w:top w:color="000000" w:sz="4" w:val="single"/>
              <w:left w:color="000000" w:sz="4" w:val="single"/>
              <w:bottom w:color="000000" w:sz="4" w:val="single"/>
              <w:right w:color="000000" w:sz="4" w:val="single"/>
            </w:tcBorders>
            <w:vAlign w:val="center"/>
          </w:tcPr>
          <w:p w14:paraId="68010000">
            <w:pPr>
              <w:widowControl w:val="0"/>
              <w:ind/>
              <w:jc w:val="center"/>
            </w:pPr>
          </w:p>
        </w:tc>
        <w:tc>
          <w:tcPr>
            <w:tcW w:type="dxa" w:w="1701"/>
            <w:tcBorders>
              <w:top w:color="000000" w:sz="4" w:val="single"/>
              <w:left w:color="000000" w:sz="4" w:val="single"/>
              <w:bottom w:color="000000" w:sz="4" w:val="single"/>
              <w:right w:color="000000" w:sz="4" w:val="single"/>
            </w:tcBorders>
            <w:vAlign w:val="center"/>
          </w:tcPr>
          <w:p w14:paraId="69010000">
            <w:pPr>
              <w:widowControl w:val="0"/>
              <w:ind/>
              <w:jc w:val="center"/>
              <w:rPr>
                <w:b w:val="1"/>
              </w:rPr>
            </w:pPr>
          </w:p>
        </w:tc>
      </w:tr>
      <w:tr>
        <w:trPr>
          <w:trHeight w:hRule="atLeast" w:val="704"/>
        </w:trPr>
        <w:tc>
          <w:tcPr>
            <w:tcW w:type="dxa" w:w="851"/>
            <w:tcBorders>
              <w:top w:color="000000" w:sz="4" w:val="single"/>
              <w:left w:color="000000" w:sz="4" w:val="single"/>
              <w:bottom w:color="000000" w:sz="4" w:val="single"/>
              <w:right w:color="000000" w:sz="4" w:val="single"/>
            </w:tcBorders>
            <w:vAlign w:val="center"/>
          </w:tcPr>
          <w:p w14:paraId="6A010000">
            <w:pPr>
              <w:widowControl w:val="0"/>
              <w:ind/>
              <w:jc w:val="center"/>
              <w:rPr>
                <w:sz w:val="24"/>
              </w:rPr>
            </w:pPr>
          </w:p>
        </w:tc>
        <w:tc>
          <w:tcPr>
            <w:tcW w:type="dxa" w:w="2551"/>
            <w:tcBorders>
              <w:top w:color="000000" w:sz="4" w:val="single"/>
              <w:left w:color="000000" w:sz="4" w:val="single"/>
              <w:bottom w:color="000000" w:sz="4" w:val="single"/>
              <w:right w:color="000000" w:sz="4" w:val="single"/>
            </w:tcBorders>
            <w:vAlign w:val="center"/>
          </w:tcPr>
          <w:p w14:paraId="6B010000">
            <w:pPr>
              <w:widowControl w:val="0"/>
              <w:ind/>
              <w:jc w:val="center"/>
              <w:rPr>
                <w:b w:val="1"/>
                <w:sz w:val="24"/>
              </w:rPr>
            </w:pPr>
            <w:r>
              <w:rPr>
                <w:b w:val="1"/>
                <w:sz w:val="24"/>
              </w:rPr>
              <w:t>ИТОГО</w:t>
            </w:r>
          </w:p>
        </w:tc>
        <w:tc>
          <w:tcPr>
            <w:tcW w:type="dxa" w:w="2977"/>
            <w:tcBorders>
              <w:top w:color="000000" w:sz="4" w:val="single"/>
              <w:left w:color="000000" w:sz="4" w:val="single"/>
              <w:bottom w:color="000000" w:sz="4" w:val="single"/>
              <w:right w:color="000000" w:sz="4" w:val="single"/>
            </w:tcBorders>
            <w:vAlign w:val="center"/>
          </w:tcPr>
          <w:p w14:paraId="6C010000">
            <w:pPr>
              <w:widowControl w:val="0"/>
              <w:ind/>
              <w:jc w:val="center"/>
              <w:rPr>
                <w:sz w:val="24"/>
              </w:rPr>
            </w:pPr>
          </w:p>
        </w:tc>
        <w:tc>
          <w:tcPr>
            <w:tcW w:type="dxa" w:w="992"/>
            <w:tcBorders>
              <w:top w:color="000000" w:sz="4" w:val="single"/>
              <w:left w:color="000000" w:sz="4" w:val="single"/>
              <w:bottom w:color="000000" w:sz="4" w:val="single"/>
              <w:right w:color="000000" w:sz="4" w:val="single"/>
            </w:tcBorders>
            <w:vAlign w:val="center"/>
          </w:tcPr>
          <w:p w14:paraId="6D010000">
            <w:pPr>
              <w:widowControl w:val="0"/>
              <w:ind/>
              <w:jc w:val="center"/>
              <w:rPr>
                <w:b w:val="1"/>
                <w:sz w:val="24"/>
              </w:rPr>
            </w:pPr>
          </w:p>
        </w:tc>
        <w:tc>
          <w:tcPr>
            <w:tcW w:type="dxa" w:w="1134"/>
            <w:tcBorders>
              <w:top w:color="000000" w:sz="4" w:val="single"/>
              <w:left w:color="000000" w:sz="4" w:val="single"/>
              <w:bottom w:color="000000" w:sz="4" w:val="single"/>
              <w:right w:color="000000" w:sz="4" w:val="single"/>
            </w:tcBorders>
            <w:vAlign w:val="center"/>
          </w:tcPr>
          <w:p w14:paraId="6E010000">
            <w:pPr>
              <w:widowControl w:val="0"/>
              <w:ind/>
              <w:jc w:val="center"/>
              <w:rPr>
                <w:b w:val="1"/>
                <w:sz w:val="24"/>
              </w:rPr>
            </w:pPr>
          </w:p>
        </w:tc>
        <w:tc>
          <w:tcPr>
            <w:tcW w:type="dxa" w:w="1701"/>
            <w:tcBorders>
              <w:top w:color="000000" w:sz="4" w:val="single"/>
              <w:left w:color="000000" w:sz="4" w:val="single"/>
              <w:bottom w:color="000000" w:sz="4" w:val="single"/>
              <w:right w:color="000000" w:sz="4" w:val="single"/>
            </w:tcBorders>
            <w:vAlign w:val="center"/>
          </w:tcPr>
          <w:p w14:paraId="6F010000">
            <w:pPr>
              <w:widowControl w:val="0"/>
              <w:ind/>
              <w:jc w:val="center"/>
              <w:rPr>
                <w:b w:val="1"/>
                <w:sz w:val="24"/>
              </w:rPr>
            </w:pPr>
          </w:p>
        </w:tc>
      </w:tr>
    </w:tbl>
    <w:p w14:paraId="70010000">
      <w:pPr>
        <w:widowControl w:val="0"/>
        <w:ind/>
        <w:jc w:val="center"/>
        <w:rPr>
          <w:b w:val="1"/>
          <w:sz w:val="24"/>
        </w:rPr>
      </w:pPr>
    </w:p>
    <w:p w14:paraId="71010000">
      <w:pPr>
        <w:widowControl w:val="0"/>
        <w:spacing w:before="120"/>
        <w:ind/>
        <w:jc w:val="both"/>
        <w:rPr>
          <w:spacing w:val="-12"/>
          <w:sz w:val="24"/>
        </w:rPr>
      </w:pPr>
      <w:r>
        <w:rPr>
          <w:spacing w:val="-12"/>
          <w:sz w:val="24"/>
        </w:rPr>
        <w:tab/>
      </w:r>
      <w:r>
        <w:rPr>
          <w:spacing w:val="-12"/>
          <w:sz w:val="24"/>
        </w:rPr>
        <w:t xml:space="preserve">2. Фактическое Качество выполненных работ соответствует требованиям Контракта. </w:t>
      </w:r>
    </w:p>
    <w:p w14:paraId="72010000">
      <w:pPr>
        <w:widowControl w:val="0"/>
        <w:spacing w:after="120"/>
        <w:ind w:firstLine="720" w:left="0"/>
        <w:jc w:val="both"/>
        <w:rPr>
          <w:spacing w:val="-12"/>
          <w:sz w:val="24"/>
        </w:rPr>
      </w:pPr>
      <w:r>
        <w:rPr>
          <w:spacing w:val="-12"/>
          <w:sz w:val="24"/>
        </w:rPr>
        <w:t>Заказчик каких-либо отклонений от условий Контракта или других недостатков в работах Исполнителя не обнаружил.</w:t>
      </w:r>
    </w:p>
    <w:p w14:paraId="73010000">
      <w:pPr>
        <w:widowControl w:val="0"/>
        <w:ind w:firstLine="720" w:left="0"/>
        <w:jc w:val="both"/>
        <w:rPr>
          <w:spacing w:val="-12"/>
          <w:sz w:val="24"/>
        </w:rPr>
      </w:pPr>
      <w:r>
        <w:rPr>
          <w:spacing w:val="-12"/>
          <w:sz w:val="24"/>
        </w:rPr>
        <w:t xml:space="preserve">3. Стоимость выполненных работ составляет _______ (________) рублей __ копеек, включая НДС в сумме _______ (________) рублей __ копеек </w:t>
      </w:r>
      <w:r>
        <w:rPr>
          <w:i w:val="1"/>
          <w:spacing w:val="-12"/>
          <w:sz w:val="24"/>
        </w:rPr>
        <w:t>(</w:t>
      </w:r>
      <w:r>
        <w:rPr>
          <w:i w:val="1"/>
          <w:sz w:val="24"/>
        </w:rPr>
        <w:t>в случае если Исполнитель является плательщиком НДС).</w:t>
      </w:r>
    </w:p>
    <w:p w14:paraId="74010000">
      <w:pPr>
        <w:widowControl w:val="0"/>
        <w:ind w:firstLine="720" w:left="0"/>
        <w:jc w:val="both"/>
        <w:rPr>
          <w:spacing w:val="-12"/>
          <w:sz w:val="24"/>
        </w:rPr>
      </w:pPr>
      <w:r>
        <w:rPr>
          <w:spacing w:val="-12"/>
          <w:sz w:val="24"/>
        </w:rPr>
        <w:t xml:space="preserve">4. В соответствии с обязательствами по Контракту Заказчик оплатит Исполнителю </w:t>
      </w:r>
      <w:r>
        <w:rPr>
          <w:spacing w:val="-12"/>
          <w:sz w:val="24"/>
        </w:rPr>
        <w:br/>
      </w:r>
      <w:r>
        <w:rPr>
          <w:spacing w:val="-12"/>
          <w:sz w:val="24"/>
        </w:rPr>
        <w:t>сумму _______ (________) рублей __ копеек.</w:t>
      </w:r>
    </w:p>
    <w:p w14:paraId="75010000">
      <w:pPr>
        <w:widowControl w:val="0"/>
        <w:tabs>
          <w:tab w:leader="none" w:pos="1003" w:val="left"/>
        </w:tabs>
        <w:ind w:firstLine="709" w:left="0"/>
        <w:jc w:val="both"/>
        <w:rPr>
          <w:spacing w:val="-12"/>
          <w:sz w:val="24"/>
        </w:rPr>
      </w:pPr>
      <w:r>
        <w:rPr>
          <w:spacing w:val="-12"/>
          <w:sz w:val="24"/>
        </w:rPr>
        <w:t>5. Настоящий акт составлен в двух экземплярах, каждый из которых имеет одинаковую юридическую силу, один экземпляр для Заказчика, второй для Исполнителя.</w:t>
      </w:r>
    </w:p>
    <w:p w14:paraId="76010000">
      <w:pPr>
        <w:widowControl w:val="0"/>
        <w:tabs>
          <w:tab w:leader="none" w:pos="1003" w:val="left"/>
        </w:tabs>
        <w:ind w:firstLine="709" w:left="0"/>
        <w:jc w:val="both"/>
        <w:rPr>
          <w:color w:val="000000"/>
          <w:spacing w:val="-12"/>
          <w:sz w:val="24"/>
        </w:rPr>
      </w:pPr>
    </w:p>
    <w:p w14:paraId="77010000">
      <w:pPr>
        <w:widowControl w:val="0"/>
        <w:tabs>
          <w:tab w:leader="none" w:pos="1003" w:val="left"/>
        </w:tabs>
        <w:ind w:firstLine="709" w:left="0"/>
        <w:jc w:val="center"/>
        <w:rPr>
          <w:color w:val="000000"/>
          <w:spacing w:val="-12"/>
          <w:sz w:val="24"/>
        </w:rPr>
      </w:pPr>
      <w:r>
        <w:rPr>
          <w:color w:val="000000"/>
          <w:spacing w:val="-12"/>
          <w:sz w:val="24"/>
        </w:rPr>
        <w:t>ОКОНЧАНИЕ ОБРАЗЦА</w:t>
      </w:r>
    </w:p>
    <w:p w14:paraId="78010000">
      <w:pPr>
        <w:widowControl w:val="0"/>
        <w:tabs>
          <w:tab w:leader="none" w:pos="1003" w:val="left"/>
        </w:tabs>
        <w:ind w:firstLine="709" w:left="0"/>
        <w:jc w:val="both"/>
        <w:rPr>
          <w:color w:val="000000"/>
          <w:spacing w:val="-12"/>
          <w:sz w:val="24"/>
        </w:rPr>
      </w:pPr>
    </w:p>
    <w:p w14:paraId="79010000">
      <w:pPr>
        <w:widowControl w:val="0"/>
        <w:tabs>
          <w:tab w:leader="none" w:pos="1003" w:val="left"/>
        </w:tabs>
        <w:ind w:firstLine="709" w:left="0"/>
        <w:jc w:val="both"/>
        <w:rPr>
          <w:color w:val="000000"/>
          <w:spacing w:val="-12"/>
          <w:sz w:val="24"/>
        </w:rPr>
      </w:pPr>
    </w:p>
    <w:p w14:paraId="7A010000">
      <w:pPr>
        <w:widowControl w:val="0"/>
        <w:tabs>
          <w:tab w:leader="none" w:pos="1003" w:val="left"/>
        </w:tabs>
        <w:ind w:firstLine="709" w:left="0"/>
        <w:jc w:val="both"/>
        <w:rPr>
          <w:color w:val="000000"/>
          <w:spacing w:val="-12"/>
          <w:sz w:val="24"/>
        </w:rPr>
      </w:pPr>
    </w:p>
    <w:tbl>
      <w:tblPr>
        <w:tblStyle w:val="Style_1"/>
        <w:tblW w:type="auto" w:w="0"/>
        <w:tblInd w:type="dxa" w:w="-1"/>
        <w:tblLayout w:type="fixed"/>
        <w:tblCellMar>
          <w:left w:type="dxa" w:w="0"/>
          <w:right w:type="dxa" w:w="0"/>
        </w:tblCellMar>
      </w:tblPr>
      <w:tblGrid>
        <w:gridCol w:w="4944"/>
        <w:gridCol w:w="4946"/>
      </w:tblGrid>
      <w:tr>
        <w:tc>
          <w:tcPr>
            <w:tcW w:type="dxa" w:w="4944"/>
            <w:shd w:fill="auto" w:val="clear"/>
            <w:tcMar>
              <w:left w:type="dxa" w:w="0"/>
              <w:right w:type="dxa" w:w="0"/>
            </w:tcMar>
          </w:tcPr>
          <w:p w14:paraId="7B010000">
            <w:pPr>
              <w:widowControl w:val="0"/>
              <w:ind w:firstLine="0" w:left="57" w:right="57"/>
              <w:jc w:val="center"/>
              <w:rPr>
                <w:b w:val="1"/>
                <w:sz w:val="24"/>
              </w:rPr>
            </w:pPr>
            <w:r>
              <w:rPr>
                <w:b w:val="1"/>
                <w:sz w:val="24"/>
              </w:rPr>
              <w:t>Заказчик:</w:t>
            </w:r>
          </w:p>
        </w:tc>
        <w:tc>
          <w:tcPr>
            <w:tcW w:type="dxa" w:w="4946"/>
            <w:shd w:fill="auto" w:val="clear"/>
            <w:tcMar>
              <w:left w:type="dxa" w:w="0"/>
              <w:right w:type="dxa" w:w="0"/>
            </w:tcMar>
          </w:tcPr>
          <w:p w14:paraId="7C010000">
            <w:pPr>
              <w:widowControl w:val="0"/>
              <w:ind w:firstLine="0" w:left="57" w:right="57"/>
              <w:jc w:val="center"/>
              <w:rPr>
                <w:b w:val="1"/>
                <w:sz w:val="24"/>
              </w:rPr>
            </w:pPr>
            <w:r>
              <w:rPr>
                <w:b w:val="1"/>
                <w:sz w:val="24"/>
              </w:rPr>
              <w:t>Исполнитель</w:t>
            </w:r>
            <w:r>
              <w:rPr>
                <w:b w:val="1"/>
                <w:sz w:val="24"/>
              </w:rPr>
              <w:t>:</w:t>
            </w:r>
          </w:p>
        </w:tc>
      </w:tr>
      <w:tr>
        <w:tc>
          <w:tcPr>
            <w:tcW w:type="dxa" w:w="4944"/>
            <w:shd w:fill="auto" w:val="clear"/>
            <w:tcMar>
              <w:left w:type="dxa" w:w="0"/>
              <w:right w:type="dxa" w:w="0"/>
            </w:tcMar>
          </w:tcPr>
          <w:p w14:paraId="7D010000">
            <w:pPr>
              <w:widowControl w:val="0"/>
              <w:ind w:firstLine="0" w:left="143" w:right="231"/>
              <w:rPr>
                <w:spacing w:val="-3"/>
                <w:sz w:val="24"/>
              </w:rPr>
            </w:pPr>
            <w:r>
              <w:rPr>
                <w:spacing w:val="-3"/>
                <w:sz w:val="24"/>
              </w:rPr>
              <w:t>Межрегиональное территориальное управление Федерального агентства по управлению государственным имуществом в Курской и Белгородской областях</w:t>
            </w:r>
          </w:p>
          <w:p w14:paraId="7E010000">
            <w:pPr>
              <w:widowControl w:val="0"/>
              <w:ind w:firstLine="0" w:left="143" w:right="231"/>
              <w:rPr>
                <w:spacing w:val="-3"/>
                <w:sz w:val="24"/>
              </w:rPr>
            </w:pPr>
          </w:p>
          <w:p w14:paraId="7F010000">
            <w:pPr>
              <w:widowControl w:val="0"/>
              <w:ind w:firstLine="0" w:left="143" w:right="231"/>
              <w:rPr>
                <w:spacing w:val="-3"/>
                <w:sz w:val="24"/>
              </w:rPr>
            </w:pPr>
          </w:p>
          <w:p w14:paraId="80010000">
            <w:pPr>
              <w:widowControl w:val="0"/>
              <w:ind w:firstLine="0" w:left="143" w:right="-642"/>
              <w:rPr>
                <w:rStyle w:val="Style_2_ch"/>
                <w:color w:val="000000"/>
                <w:spacing w:val="-3"/>
                <w:sz w:val="24"/>
                <w:u w:val="none"/>
              </w:rPr>
            </w:pPr>
            <w:r>
              <w:rPr>
                <w:rStyle w:val="Style_2_ch"/>
                <w:color w:val="000000"/>
                <w:spacing w:val="-3"/>
                <w:sz w:val="24"/>
                <w:u w:val="none"/>
              </w:rPr>
              <w:t>Руководитель</w:t>
            </w:r>
          </w:p>
          <w:p w14:paraId="81010000">
            <w:pPr>
              <w:widowControl w:val="0"/>
              <w:ind w:firstLine="0" w:left="143" w:right="-642"/>
              <w:rPr>
                <w:spacing w:val="-3"/>
                <w:sz w:val="24"/>
              </w:rPr>
            </w:pPr>
          </w:p>
          <w:p w14:paraId="82010000">
            <w:pPr>
              <w:widowControl w:val="0"/>
              <w:ind w:firstLine="0" w:left="143" w:right="-642"/>
              <w:rPr>
                <w:spacing w:val="-3"/>
                <w:sz w:val="24"/>
              </w:rPr>
            </w:pPr>
          </w:p>
          <w:p w14:paraId="83010000">
            <w:pPr>
              <w:widowControl w:val="0"/>
              <w:ind w:firstLine="0" w:left="143"/>
              <w:rPr>
                <w:sz w:val="24"/>
              </w:rPr>
            </w:pPr>
            <w:r>
              <w:rPr>
                <w:sz w:val="24"/>
              </w:rPr>
              <w:t>__________________</w:t>
            </w:r>
            <w:r>
              <w:rPr>
                <w:sz w:val="24"/>
              </w:rPr>
              <w:t xml:space="preserve"> Ю.В. Буравлев</w:t>
            </w:r>
          </w:p>
          <w:p w14:paraId="84010000">
            <w:pPr>
              <w:widowControl w:val="0"/>
              <w:ind w:firstLine="0" w:left="143"/>
              <w:rPr>
                <w:sz w:val="24"/>
              </w:rPr>
            </w:pPr>
            <w:r>
              <w:rPr>
                <w:sz w:val="24"/>
              </w:rPr>
              <w:t>м.п.</w:t>
            </w:r>
          </w:p>
        </w:tc>
        <w:tc>
          <w:tcPr>
            <w:tcW w:type="dxa" w:w="4946"/>
            <w:shd w:fill="auto" w:val="clear"/>
            <w:tcMar>
              <w:left w:type="dxa" w:w="0"/>
              <w:right w:type="dxa" w:w="0"/>
            </w:tcMar>
          </w:tcPr>
          <w:p/>
        </w:tc>
      </w:tr>
    </w:tbl>
    <w:p w14:paraId="85010000">
      <w:pPr>
        <w:widowControl w:val="0"/>
        <w:tabs>
          <w:tab w:leader="none" w:pos="1003" w:val="left"/>
        </w:tabs>
        <w:ind w:firstLine="709" w:left="0"/>
        <w:jc w:val="both"/>
        <w:rPr>
          <w:color w:val="000000"/>
          <w:spacing w:val="-12"/>
          <w:sz w:val="24"/>
        </w:rPr>
      </w:pPr>
    </w:p>
    <w:p w14:paraId="86010000">
      <w:pPr>
        <w:widowControl w:val="0"/>
        <w:tabs>
          <w:tab w:leader="none" w:pos="1003" w:val="left"/>
        </w:tabs>
        <w:ind w:firstLine="709" w:left="0"/>
        <w:jc w:val="both"/>
        <w:rPr>
          <w:color w:val="000000"/>
          <w:spacing w:val="-12"/>
          <w:sz w:val="24"/>
        </w:rPr>
      </w:pPr>
    </w:p>
    <w:p w14:paraId="87010000">
      <w:pPr>
        <w:pStyle w:val="Style_4"/>
        <w:rPr>
          <w:sz w:val="24"/>
        </w:rPr>
      </w:pPr>
    </w:p>
    <w:p w14:paraId="88010000"/>
    <w:p w14:paraId="89010000">
      <w:pPr>
        <w:widowControl w:val="0"/>
        <w:spacing w:after="60"/>
        <w:ind/>
        <w:jc w:val="center"/>
        <w:rPr>
          <w:sz w:val="28"/>
        </w:rPr>
      </w:pPr>
    </w:p>
    <w:sectPr>
      <w:pgSz w:h="16838" w:orient="portrait" w:w="11906"/>
      <w:pgMar w:bottom="992" w:footer="335" w:gutter="0" w:header="454" w:left="1134" w:right="709" w:top="816"/>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widowControl w:val="0"/>
        <w:ind w:hanging="1200" w:left="1200"/>
      </w:pPr>
    </w:lvl>
    <w:lvl w:ilvl="1">
      <w:start w:val="1"/>
      <w:numFmt w:val="decimal"/>
      <w:lvlText w:val="%1.%2."/>
      <w:lvlJc w:val="left"/>
      <w:pPr>
        <w:widowControl w:val="0"/>
        <w:ind w:hanging="1200" w:left="1908"/>
      </w:pPr>
    </w:lvl>
    <w:lvl w:ilvl="2">
      <w:start w:val="1"/>
      <w:numFmt w:val="decimal"/>
      <w:lvlText w:val="%1.%2.%3."/>
      <w:lvlJc w:val="left"/>
      <w:pPr>
        <w:widowControl w:val="0"/>
        <w:ind w:hanging="1200" w:left="2616"/>
      </w:pPr>
    </w:lvl>
    <w:lvl w:ilvl="3">
      <w:start w:val="1"/>
      <w:numFmt w:val="decimal"/>
      <w:lvlText w:val="%1.%2.%3.%4."/>
      <w:lvlJc w:val="left"/>
      <w:pPr>
        <w:widowControl w:val="0"/>
        <w:ind w:hanging="1200" w:left="3324"/>
      </w:pPr>
    </w:lvl>
    <w:lvl w:ilvl="4">
      <w:start w:val="1"/>
      <w:numFmt w:val="decimal"/>
      <w:lvlText w:val="%1.%2.%3.%4.%5."/>
      <w:lvlJc w:val="left"/>
      <w:pPr>
        <w:widowControl w:val="0"/>
        <w:ind w:hanging="1200" w:left="4032"/>
      </w:pPr>
    </w:lvl>
    <w:lvl w:ilvl="5">
      <w:start w:val="1"/>
      <w:numFmt w:val="decimal"/>
      <w:lvlText w:val="%1.%2.%3.%4.%5.%6."/>
      <w:lvlJc w:val="left"/>
      <w:pPr>
        <w:widowControl w:val="0"/>
        <w:ind w:hanging="1200" w:left="4740"/>
      </w:pPr>
    </w:lvl>
    <w:lvl w:ilvl="6">
      <w:start w:val="1"/>
      <w:numFmt w:val="decimal"/>
      <w:lvlText w:val="%1.%2.%3.%4.%5.%6.%7."/>
      <w:lvlJc w:val="left"/>
      <w:pPr>
        <w:widowControl w:val="0"/>
        <w:ind w:hanging="1440" w:left="5688"/>
      </w:pPr>
    </w:lvl>
    <w:lvl w:ilvl="7">
      <w:start w:val="1"/>
      <w:numFmt w:val="decimal"/>
      <w:lvlText w:val="%1.%2.%3.%4.%5.%6.%7.%8."/>
      <w:lvlJc w:val="left"/>
      <w:pPr>
        <w:widowControl w:val="0"/>
        <w:ind w:hanging="1440" w:left="6396"/>
      </w:pPr>
    </w:lvl>
    <w:lvl w:ilvl="8">
      <w:start w:val="1"/>
      <w:numFmt w:val="decimal"/>
      <w:lvlText w:val="%1.%2.%3.%4.%5.%6.%7.%8.%9."/>
      <w:lvlJc w:val="left"/>
      <w:pPr>
        <w:widowControl w:val="0"/>
        <w:ind w:hanging="1800" w:left="7464"/>
      </w:pPr>
    </w:lvl>
  </w:abstractNum>
  <w:abstractNum w:abstractNumId="1">
    <w:lvl w:ilvl="0">
      <w:start w:val="1"/>
      <w:numFmt w:val="decimal"/>
      <w:lvlText w:val="%1."/>
      <w:lvlJc w:val="left"/>
      <w:pPr>
        <w:widowControl w:val="0"/>
        <w:ind w:hanging="360" w:left="720"/>
      </w:pPr>
    </w:lvl>
    <w:lvl w:ilvl="1">
      <w:start w:val="1"/>
      <w:numFmt w:val="lowerLetter"/>
      <w:lvlText w:val="%2."/>
      <w:lvlJc w:val="left"/>
      <w:pPr>
        <w:widowControl w:val="0"/>
        <w:ind w:hanging="360" w:left="1440"/>
      </w:pPr>
    </w:lvl>
    <w:lvl w:ilvl="2">
      <w:start w:val="1"/>
      <w:numFmt w:val="lowerRoman"/>
      <w:lvlText w:val="%3."/>
      <w:lvlJc w:val="right"/>
      <w:pPr>
        <w:widowControl w:val="0"/>
        <w:ind w:hanging="180" w:left="2160"/>
      </w:pPr>
    </w:lvl>
    <w:lvl w:ilvl="3">
      <w:start w:val="1"/>
      <w:numFmt w:val="decimal"/>
      <w:lvlText w:val="%4."/>
      <w:lvlJc w:val="left"/>
      <w:pPr>
        <w:widowControl w:val="0"/>
        <w:ind w:hanging="360" w:left="2880"/>
      </w:pPr>
    </w:lvl>
    <w:lvl w:ilvl="4">
      <w:start w:val="1"/>
      <w:numFmt w:val="lowerLetter"/>
      <w:lvlText w:val="%5."/>
      <w:lvlJc w:val="left"/>
      <w:pPr>
        <w:widowControl w:val="0"/>
        <w:ind w:hanging="360" w:left="3600"/>
      </w:pPr>
    </w:lvl>
    <w:lvl w:ilvl="5">
      <w:start w:val="1"/>
      <w:numFmt w:val="lowerRoman"/>
      <w:lvlText w:val="%6."/>
      <w:lvlJc w:val="right"/>
      <w:pPr>
        <w:widowControl w:val="0"/>
        <w:ind w:hanging="180" w:left="4320"/>
      </w:pPr>
    </w:lvl>
    <w:lvl w:ilvl="6">
      <w:start w:val="1"/>
      <w:numFmt w:val="decimal"/>
      <w:lvlText w:val="%7."/>
      <w:lvlJc w:val="left"/>
      <w:pPr>
        <w:widowControl w:val="0"/>
        <w:ind w:hanging="360" w:left="5040"/>
      </w:pPr>
    </w:lvl>
    <w:lvl w:ilvl="7">
      <w:start w:val="1"/>
      <w:numFmt w:val="lowerLetter"/>
      <w:lvlText w:val="%8."/>
      <w:lvlJc w:val="left"/>
      <w:pPr>
        <w:widowControl w:val="0"/>
        <w:ind w:hanging="360" w:left="5760"/>
      </w:pPr>
    </w:lvl>
    <w:lvl w:ilvl="8">
      <w:start w:val="1"/>
      <w:numFmt w:val="lowerRoman"/>
      <w:lvlText w:val="%9."/>
      <w:lvlJc w:val="right"/>
      <w:pPr>
        <w:widowControl w:val="0"/>
        <w:ind w:hanging="180" w:left="6480"/>
      </w:pPr>
    </w:lvl>
  </w:abstractNum>
  <w:abstractNum w:abstractNumId="2">
    <w:lvl w:ilvl="0">
      <w:start w:val="1"/>
      <w:numFmt w:val="decimal"/>
      <w:lvlText w:val="%1."/>
      <w:lvlJc w:val="left"/>
      <w:pPr>
        <w:widowControl w:val="0"/>
        <w:ind w:hanging="360" w:left="1065"/>
      </w:pPr>
      <w:rPr>
        <w:b w:val="1"/>
      </w:rPr>
    </w:lvl>
    <w:lvl w:ilvl="1">
      <w:start w:val="1"/>
      <w:numFmt w:val="lowerLetter"/>
      <w:lvlText w:val="%2."/>
      <w:lvlJc w:val="left"/>
      <w:pPr>
        <w:widowControl w:val="0"/>
        <w:ind w:hanging="360" w:left="1785"/>
      </w:pPr>
    </w:lvl>
    <w:lvl w:ilvl="2">
      <w:start w:val="1"/>
      <w:numFmt w:val="lowerRoman"/>
      <w:lvlText w:val="%3."/>
      <w:lvlJc w:val="right"/>
      <w:pPr>
        <w:widowControl w:val="0"/>
        <w:ind w:hanging="180" w:left="2505"/>
      </w:pPr>
    </w:lvl>
    <w:lvl w:ilvl="3">
      <w:start w:val="1"/>
      <w:numFmt w:val="decimal"/>
      <w:lvlText w:val="%4."/>
      <w:lvlJc w:val="left"/>
      <w:pPr>
        <w:widowControl w:val="0"/>
        <w:ind w:hanging="360" w:left="3225"/>
      </w:pPr>
    </w:lvl>
    <w:lvl w:ilvl="4">
      <w:start w:val="1"/>
      <w:numFmt w:val="lowerLetter"/>
      <w:lvlText w:val="%5."/>
      <w:lvlJc w:val="left"/>
      <w:pPr>
        <w:widowControl w:val="0"/>
        <w:ind w:hanging="360" w:left="3945"/>
      </w:pPr>
    </w:lvl>
    <w:lvl w:ilvl="5">
      <w:start w:val="1"/>
      <w:numFmt w:val="lowerRoman"/>
      <w:lvlText w:val="%6."/>
      <w:lvlJc w:val="right"/>
      <w:pPr>
        <w:widowControl w:val="0"/>
        <w:ind w:hanging="180" w:left="4665"/>
      </w:pPr>
    </w:lvl>
    <w:lvl w:ilvl="6">
      <w:start w:val="1"/>
      <w:numFmt w:val="decimal"/>
      <w:lvlText w:val="%7."/>
      <w:lvlJc w:val="left"/>
      <w:pPr>
        <w:widowControl w:val="0"/>
        <w:ind w:hanging="360" w:left="5385"/>
      </w:pPr>
    </w:lvl>
    <w:lvl w:ilvl="7">
      <w:start w:val="1"/>
      <w:numFmt w:val="lowerLetter"/>
      <w:lvlText w:val="%8."/>
      <w:lvlJc w:val="left"/>
      <w:pPr>
        <w:widowControl w:val="0"/>
        <w:ind w:hanging="360" w:left="6105"/>
      </w:pPr>
    </w:lvl>
    <w:lvl w:ilvl="8">
      <w:start w:val="1"/>
      <w:numFmt w:val="lowerRoman"/>
      <w:lvlText w:val="%9."/>
      <w:lvlJc w:val="right"/>
      <w:pPr>
        <w:widowControl w:val="0"/>
        <w:ind w:hanging="180" w:left="6825"/>
      </w:pPr>
    </w:lvl>
  </w:abstractNum>
  <w:abstractNum w:abstractNumId="3">
    <w:lvl w:ilvl="0">
      <w:start w:val="1"/>
      <w:numFmt w:val="bullet"/>
      <w:pStyle w:val="Style_46"/>
      <w:lvlText w:val=""/>
      <w:lvlJc w:val="left"/>
      <w:pPr>
        <w:widowControl w:val="0"/>
        <w:tabs>
          <w:tab w:leader="none" w:pos="2059" w:val="left"/>
        </w:tabs>
        <w:ind w:hanging="360" w:left="2059"/>
      </w:pPr>
      <w:rPr>
        <w:rFonts w:ascii="Symbol" w:hAnsi="Symbol"/>
      </w:rPr>
    </w:lvl>
  </w:abstractNum>
  <w:abstractNum w:abstractNumId="4">
    <w:lvl w:ilvl="0">
      <w:start w:val="1"/>
      <w:numFmt w:val="decimal"/>
      <w:pStyle w:val="Style_3"/>
      <w:lvlText w:val="Часть %1."/>
      <w:lvlJc w:val="left"/>
      <w:pPr>
        <w:widowControl w:val="0"/>
        <w:tabs>
          <w:tab w:leader="none" w:pos="2559" w:val="left"/>
        </w:tabs>
        <w:ind w:hanging="432" w:left="2559"/>
      </w:pPr>
    </w:lvl>
    <w:lvl w:ilvl="1">
      <w:start w:val="1"/>
      <w:numFmt w:val="decimal"/>
      <w:pStyle w:val="Style_195"/>
      <w:lvlText w:val="РАЗДЕЛ %1.%2."/>
      <w:lvlJc w:val="left"/>
      <w:pPr>
        <w:widowControl w:val="0"/>
        <w:tabs>
          <w:tab w:leader="none" w:pos="1285" w:val="left"/>
        </w:tabs>
        <w:ind w:hanging="576" w:left="1285"/>
      </w:pPr>
    </w:lvl>
    <w:lvl w:ilvl="2">
      <w:start w:val="1"/>
      <w:numFmt w:val="decimal"/>
      <w:pStyle w:val="Style_50"/>
      <w:lvlText w:val="%3."/>
      <w:lvlJc w:val="left"/>
      <w:pPr>
        <w:widowControl w:val="0"/>
        <w:tabs>
          <w:tab w:leader="none" w:pos="1429" w:val="left"/>
        </w:tabs>
        <w:ind w:hanging="720" w:left="1429"/>
      </w:pPr>
    </w:lvl>
    <w:lvl w:ilvl="3">
      <w:start w:val="1"/>
      <w:numFmt w:val="decimal"/>
      <w:pStyle w:val="Style_9"/>
      <w:lvlText w:val="%3.%4."/>
      <w:lvlJc w:val="left"/>
      <w:pPr>
        <w:widowControl w:val="0"/>
        <w:tabs>
          <w:tab w:leader="none" w:pos="1824" w:val="left"/>
        </w:tabs>
        <w:ind w:hanging="864" w:left="1824"/>
      </w:pPr>
      <w:rPr>
        <w:b w:val="1"/>
        <w:color w:val="000000"/>
        <w:sz w:val="28"/>
      </w:rPr>
    </w:lvl>
    <w:lvl w:ilvl="4">
      <w:start w:val="1"/>
      <w:numFmt w:val="decimal"/>
      <w:pStyle w:val="Style_111"/>
      <w:lvlText w:val="%3.%5."/>
      <w:lvlJc w:val="left"/>
      <w:pPr>
        <w:widowControl w:val="0"/>
        <w:tabs>
          <w:tab w:leader="none" w:pos="1717" w:val="left"/>
        </w:tabs>
        <w:ind w:hanging="1008" w:left="1717"/>
      </w:pPr>
    </w:lvl>
    <w:lvl w:ilvl="5">
      <w:start w:val="0"/>
      <w:numFmt w:val="decimal"/>
      <w:pStyle w:val="Style_198"/>
      <w:lvlJc w:val="left"/>
      <w:pPr>
        <w:widowControl w:val="0"/>
        <w:tabs>
          <w:tab w:leader="none" w:pos="360" w:val="left"/>
        </w:tabs>
        <w:ind w:firstLine="0" w:left="0"/>
      </w:pPr>
    </w:lvl>
    <w:lvl w:ilvl="6">
      <w:start w:val="1"/>
      <w:numFmt w:val="decimal"/>
      <w:lvlText w:val="%1.%2.%3.%4.%5.%6.%7"/>
      <w:lvlJc w:val="left"/>
      <w:pPr>
        <w:widowControl w:val="0"/>
        <w:tabs>
          <w:tab w:leader="none" w:pos="2005" w:val="left"/>
        </w:tabs>
        <w:ind w:hanging="1296" w:left="2005"/>
      </w:pPr>
    </w:lvl>
    <w:lvl w:ilvl="7">
      <w:start w:val="1"/>
      <w:numFmt w:val="decimal"/>
      <w:lvlText w:val="%1.%2.%3.%4.%5.%6.%7.%8"/>
      <w:lvlJc w:val="left"/>
      <w:pPr>
        <w:widowControl w:val="0"/>
        <w:tabs>
          <w:tab w:leader="none" w:pos="2149" w:val="left"/>
        </w:tabs>
        <w:ind w:hanging="1440" w:left="2149"/>
      </w:pPr>
    </w:lvl>
    <w:lvl w:ilvl="8">
      <w:start w:val="1"/>
      <w:numFmt w:val="decimal"/>
      <w:lvlText w:val="%1.%2.%3.%4.%5.%6.%7.%8.%9"/>
      <w:lvlJc w:val="left"/>
      <w:pPr>
        <w:widowControl w:val="0"/>
        <w:tabs>
          <w:tab w:leader="none" w:pos="2293" w:val="left"/>
        </w:tabs>
        <w:ind w:hanging="1584" w:left="2293"/>
      </w:pPr>
    </w:lvl>
  </w:abstractNum>
  <w:abstractNum w:abstractNumId="5">
    <w:lvl w:ilvl="0">
      <w:start w:val="1"/>
      <w:numFmt w:val="bullet"/>
      <w:pStyle w:val="Style_154"/>
      <w:lvlText w:val=""/>
      <w:lvlJc w:val="left"/>
      <w:pPr>
        <w:widowControl w:val="0"/>
        <w:tabs>
          <w:tab w:leader="none" w:pos="6840" w:val="left"/>
        </w:tabs>
        <w:ind w:hanging="360" w:left="6840"/>
      </w:pPr>
      <w:rPr>
        <w:rFonts w:ascii="Symbol" w:hAnsi="Symbol"/>
      </w:rPr>
    </w:lvl>
    <w:lvl w:ilvl="1">
      <w:start w:val="1"/>
      <w:numFmt w:val="bullet"/>
      <w:lvlText w:val="-"/>
      <w:lvlJc w:val="left"/>
      <w:pPr>
        <w:widowControl w:val="0"/>
        <w:tabs>
          <w:tab w:leader="none" w:pos="1440" w:val="left"/>
        </w:tabs>
        <w:ind w:hanging="360" w:left="1440"/>
      </w:pPr>
      <w:rPr>
        <w:rFonts w:ascii="Times New Roman" w:hAnsi="Times New Roman"/>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9"/>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0"/>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style>
  <w:style w:default="1" w:styleId="Style_5_ch" w:type="character">
    <w:name w:val="Normal"/>
    <w:link w:val="Style_5"/>
  </w:style>
  <w:style w:styleId="Style_6" w:type="paragraph">
    <w:name w:val="Стиль3 Знак Знак"/>
    <w:basedOn w:val="Style_7"/>
    <w:link w:val="Style_6_ch"/>
    <w:pPr>
      <w:widowControl w:val="0"/>
      <w:tabs>
        <w:tab w:leader="none" w:pos="227" w:val="left"/>
      </w:tabs>
      <w:spacing w:after="0" w:line="240" w:lineRule="auto"/>
      <w:ind w:firstLine="0" w:left="0"/>
      <w:jc w:val="both"/>
    </w:pPr>
    <w:rPr>
      <w:sz w:val="24"/>
    </w:rPr>
  </w:style>
  <w:style w:styleId="Style_6_ch" w:type="character">
    <w:name w:val="Стиль3 Знак Знак"/>
    <w:basedOn w:val="Style_7_ch"/>
    <w:link w:val="Style_6"/>
    <w:rPr>
      <w:sz w:val="24"/>
    </w:rPr>
  </w:style>
  <w:style w:styleId="Style_8" w:type="paragraph">
    <w:name w:val="Заг 4"/>
    <w:basedOn w:val="Style_9"/>
    <w:link w:val="Style_8_ch"/>
    <w:pPr>
      <w:widowControl w:val="0"/>
      <w:numPr>
        <w:ilvl w:val="0"/>
        <w:numId w:val="0"/>
      </w:numPr>
      <w:tabs>
        <w:tab w:leader="none" w:pos="1824" w:val="left"/>
      </w:tabs>
      <w:spacing w:after="60" w:before="60" w:line="312" w:lineRule="auto"/>
      <w:ind w:hanging="864" w:left="1824"/>
      <w:jc w:val="both"/>
    </w:pPr>
    <w:rPr>
      <w:b w:val="0"/>
    </w:rPr>
  </w:style>
  <w:style w:styleId="Style_8_ch" w:type="character">
    <w:name w:val="Заг 4"/>
    <w:basedOn w:val="Style_9_ch"/>
    <w:link w:val="Style_8"/>
    <w:rPr>
      <w:b w:val="0"/>
    </w:rPr>
  </w:style>
  <w:style w:styleId="Style_10" w:type="paragraph">
    <w:name w:val="Body Text"/>
    <w:basedOn w:val="Style_5"/>
    <w:link w:val="Style_10_ch"/>
    <w:pPr>
      <w:keepNext w:val="1"/>
      <w:widowControl w:val="0"/>
      <w:ind/>
      <w:outlineLvl w:val="0"/>
    </w:pPr>
    <w:rPr>
      <w:sz w:val="24"/>
    </w:rPr>
  </w:style>
  <w:style w:styleId="Style_10_ch" w:type="character">
    <w:name w:val="Body Text"/>
    <w:basedOn w:val="Style_5_ch"/>
    <w:link w:val="Style_10"/>
    <w:rPr>
      <w:sz w:val="24"/>
    </w:rPr>
  </w:style>
  <w:style w:styleId="Style_11" w:type="paragraph">
    <w:name w:val="xl94"/>
    <w:basedOn w:val="Style_5"/>
    <w:link w:val="Style_11_ch"/>
    <w:pPr>
      <w:widowControl w:val="0"/>
      <w:spacing w:afterAutospacing="on" w:beforeAutospacing="on"/>
      <w:ind/>
    </w:pPr>
    <w:rPr>
      <w:sz w:val="24"/>
    </w:rPr>
  </w:style>
  <w:style w:styleId="Style_11_ch" w:type="character">
    <w:name w:val="xl94"/>
    <w:basedOn w:val="Style_5_ch"/>
    <w:link w:val="Style_11"/>
    <w:rPr>
      <w:sz w:val="24"/>
    </w:rPr>
  </w:style>
  <w:style w:styleId="Style_12" w:type="paragraph">
    <w:name w:val="Знак Знак Char Char Знак Знак Char Char Знак Знак Знак Знак Знак Знак"/>
    <w:basedOn w:val="Style_5"/>
    <w:link w:val="Style_12_ch"/>
    <w:pPr>
      <w:widowControl w:val="0"/>
      <w:spacing w:after="160" w:line="240" w:lineRule="exact"/>
      <w:ind/>
    </w:pPr>
    <w:rPr>
      <w:rFonts w:ascii="Verdana" w:hAnsi="Verdana"/>
      <w:sz w:val="24"/>
    </w:rPr>
  </w:style>
  <w:style w:styleId="Style_12_ch" w:type="character">
    <w:name w:val="Знак Знак Char Char Знак Знак Char Char Знак Знак Знак Знак Знак Знак"/>
    <w:basedOn w:val="Style_5_ch"/>
    <w:link w:val="Style_12"/>
    <w:rPr>
      <w:rFonts w:ascii="Verdana" w:hAnsi="Verdana"/>
      <w:sz w:val="24"/>
    </w:rPr>
  </w:style>
  <w:style w:styleId="Style_13" w:type="paragraph">
    <w:name w:val="head21"/>
    <w:basedOn w:val="Style_5"/>
    <w:link w:val="Style_13_ch"/>
    <w:pPr>
      <w:widowControl w:val="0"/>
      <w:ind/>
      <w:jc w:val="center"/>
    </w:pPr>
    <w:rPr>
      <w:b w:val="1"/>
      <w:sz w:val="24"/>
    </w:rPr>
  </w:style>
  <w:style w:styleId="Style_13_ch" w:type="character">
    <w:name w:val="head21"/>
    <w:basedOn w:val="Style_5_ch"/>
    <w:link w:val="Style_13"/>
    <w:rPr>
      <w:b w:val="1"/>
      <w:sz w:val="24"/>
    </w:rPr>
  </w:style>
  <w:style w:styleId="Style_14" w:type="paragraph">
    <w:name w:val="toc 2"/>
    <w:basedOn w:val="Style_5"/>
    <w:next w:val="Style_5"/>
    <w:link w:val="Style_14_ch"/>
    <w:uiPriority w:val="39"/>
    <w:pPr>
      <w:widowControl w:val="0"/>
      <w:ind w:firstLine="0" w:left="200"/>
    </w:pPr>
  </w:style>
  <w:style w:styleId="Style_14_ch" w:type="character">
    <w:name w:val="toc 2"/>
    <w:basedOn w:val="Style_5_ch"/>
    <w:link w:val="Style_14"/>
  </w:style>
  <w:style w:styleId="Style_15" w:type="paragraph">
    <w:name w:val="xl91"/>
    <w:basedOn w:val="Style_5"/>
    <w:link w:val="Style_15_ch"/>
    <w:pPr>
      <w:widowControl w:val="0"/>
      <w:spacing w:afterAutospacing="on" w:beforeAutospacing="on"/>
      <w:ind/>
    </w:pPr>
    <w:rPr>
      <w:rFonts w:ascii="Calibri" w:hAnsi="Calibri"/>
      <w:sz w:val="24"/>
    </w:rPr>
  </w:style>
  <w:style w:styleId="Style_15_ch" w:type="character">
    <w:name w:val="xl91"/>
    <w:basedOn w:val="Style_5_ch"/>
    <w:link w:val="Style_15"/>
    <w:rPr>
      <w:rFonts w:ascii="Calibri" w:hAnsi="Calibri"/>
      <w:sz w:val="24"/>
    </w:rPr>
  </w:style>
  <w:style w:styleId="Style_16" w:type="paragraph">
    <w:name w:val="Strong"/>
    <w:link w:val="Style_16_ch"/>
    <w:rPr>
      <w:b w:val="1"/>
    </w:rPr>
  </w:style>
  <w:style w:styleId="Style_16_ch" w:type="character">
    <w:name w:val="Strong"/>
    <w:link w:val="Style_16"/>
    <w:rPr>
      <w:b w:val="1"/>
    </w:rPr>
  </w:style>
  <w:style w:styleId="Style_17" w:type="paragraph">
    <w:name w:val="xl108"/>
    <w:basedOn w:val="Style_5"/>
    <w:link w:val="Style_17_ch"/>
    <w:pPr>
      <w:widowControl w:val="0"/>
      <w:spacing w:afterAutospacing="on" w:beforeAutospacing="on"/>
      <w:ind/>
    </w:pPr>
    <w:rPr>
      <w:sz w:val="24"/>
    </w:rPr>
  </w:style>
  <w:style w:styleId="Style_17_ch" w:type="character">
    <w:name w:val="xl108"/>
    <w:basedOn w:val="Style_5_ch"/>
    <w:link w:val="Style_17"/>
    <w:rPr>
      <w:sz w:val="24"/>
    </w:rPr>
  </w:style>
  <w:style w:styleId="Style_18" w:type="paragraph">
    <w:name w:val="xl75"/>
    <w:basedOn w:val="Style_5"/>
    <w:link w:val="Style_18_ch"/>
    <w:pPr>
      <w:widowControl w:val="0"/>
      <w:spacing w:afterAutospacing="on" w:beforeAutospacing="on"/>
      <w:ind/>
    </w:pPr>
    <w:rPr>
      <w:sz w:val="28"/>
    </w:rPr>
  </w:style>
  <w:style w:styleId="Style_18_ch" w:type="character">
    <w:name w:val="xl75"/>
    <w:basedOn w:val="Style_5_ch"/>
    <w:link w:val="Style_18"/>
    <w:rPr>
      <w:sz w:val="28"/>
    </w:rPr>
  </w:style>
  <w:style w:styleId="Style_19" w:type="paragraph">
    <w:name w:val="toc 4"/>
    <w:next w:val="Style_5"/>
    <w:link w:val="Style_19_ch"/>
    <w:uiPriority w:val="39"/>
    <w:pPr>
      <w:widowControl w:val="0"/>
      <w:ind w:firstLine="0" w:left="600"/>
      <w:jc w:val="left"/>
    </w:pPr>
    <w:rPr>
      <w:rFonts w:ascii="XO Thames" w:hAnsi="XO Thames"/>
      <w:sz w:val="28"/>
    </w:rPr>
  </w:style>
  <w:style w:styleId="Style_19_ch" w:type="character">
    <w:name w:val="toc 4"/>
    <w:link w:val="Style_19"/>
    <w:rPr>
      <w:rFonts w:ascii="XO Thames" w:hAnsi="XO Thames"/>
      <w:sz w:val="28"/>
    </w:rPr>
  </w:style>
  <w:style w:styleId="Style_20" w:type="paragraph">
    <w:name w:val="FollowedHyperlink"/>
    <w:link w:val="Style_20_ch"/>
    <w:rPr>
      <w:color w:val="800080"/>
      <w:u w:val="single"/>
    </w:rPr>
  </w:style>
  <w:style w:styleId="Style_20_ch" w:type="character">
    <w:name w:val="FollowedHyperlink"/>
    <w:link w:val="Style_20"/>
    <w:rPr>
      <w:color w:val="800080"/>
      <w:u w:val="single"/>
    </w:rPr>
  </w:style>
  <w:style w:styleId="Style_21" w:type="paragraph">
    <w:name w:val="heading 7"/>
    <w:basedOn w:val="Style_5"/>
    <w:next w:val="Style_5"/>
    <w:link w:val="Style_21_ch"/>
    <w:uiPriority w:val="9"/>
    <w:qFormat/>
    <w:pPr>
      <w:widowControl w:val="0"/>
      <w:spacing w:after="60" w:before="240"/>
      <w:ind/>
      <w:outlineLvl w:val="6"/>
    </w:pPr>
    <w:rPr>
      <w:sz w:val="24"/>
    </w:rPr>
  </w:style>
  <w:style w:styleId="Style_21_ch" w:type="character">
    <w:name w:val="heading 7"/>
    <w:basedOn w:val="Style_5_ch"/>
    <w:link w:val="Style_21"/>
    <w:rPr>
      <w:sz w:val="24"/>
    </w:rPr>
  </w:style>
  <w:style w:styleId="Style_22" w:type="paragraph">
    <w:name w:val="xl76"/>
    <w:basedOn w:val="Style_5"/>
    <w:link w:val="Style_22_ch"/>
    <w:pPr>
      <w:widowControl w:val="0"/>
      <w:spacing w:afterAutospacing="on" w:beforeAutospacing="on"/>
      <w:ind/>
    </w:pPr>
    <w:rPr>
      <w:sz w:val="28"/>
    </w:rPr>
  </w:style>
  <w:style w:styleId="Style_22_ch" w:type="character">
    <w:name w:val="xl76"/>
    <w:basedOn w:val="Style_5_ch"/>
    <w:link w:val="Style_22"/>
    <w:rPr>
      <w:sz w:val="28"/>
    </w:rPr>
  </w:style>
  <w:style w:styleId="Style_23" w:type="paragraph">
    <w:name w:val="toc 6"/>
    <w:next w:val="Style_5"/>
    <w:link w:val="Style_23_ch"/>
    <w:uiPriority w:val="39"/>
    <w:pPr>
      <w:widowControl w:val="0"/>
      <w:ind w:firstLine="0" w:left="1000"/>
      <w:jc w:val="left"/>
    </w:pPr>
    <w:rPr>
      <w:rFonts w:ascii="XO Thames" w:hAnsi="XO Thames"/>
      <w:sz w:val="28"/>
    </w:rPr>
  </w:style>
  <w:style w:styleId="Style_23_ch" w:type="character">
    <w:name w:val="toc 6"/>
    <w:link w:val="Style_23"/>
    <w:rPr>
      <w:rFonts w:ascii="XO Thames" w:hAnsi="XO Thames"/>
      <w:sz w:val="28"/>
    </w:rPr>
  </w:style>
  <w:style w:styleId="Style_24" w:type="paragraph">
    <w:name w:val="Стиль1-КУРСАК"/>
    <w:basedOn w:val="Style_5"/>
    <w:link w:val="Style_24_ch"/>
    <w:pPr>
      <w:widowControl w:val="0"/>
      <w:spacing w:line="360" w:lineRule="auto"/>
      <w:ind w:firstLine="699" w:left="19" w:right="5"/>
      <w:jc w:val="center"/>
    </w:pPr>
    <w:rPr>
      <w:b w:val="1"/>
      <w:color w:val="000000"/>
      <w:spacing w:val="29"/>
      <w:sz w:val="36"/>
    </w:rPr>
  </w:style>
  <w:style w:styleId="Style_24_ch" w:type="character">
    <w:name w:val="Стиль1-КУРСАК"/>
    <w:basedOn w:val="Style_5_ch"/>
    <w:link w:val="Style_24"/>
    <w:rPr>
      <w:b w:val="1"/>
      <w:color w:val="000000"/>
      <w:spacing w:val="29"/>
      <w:sz w:val="36"/>
    </w:rPr>
  </w:style>
  <w:style w:styleId="Style_25" w:type="paragraph">
    <w:name w:val="xl70"/>
    <w:basedOn w:val="Style_5"/>
    <w:link w:val="Style_25_ch"/>
    <w:pPr>
      <w:widowControl w:val="0"/>
      <w:spacing w:afterAutospacing="on" w:beforeAutospacing="on"/>
      <w:ind/>
      <w:jc w:val="center"/>
    </w:pPr>
    <w:rPr>
      <w:b w:val="1"/>
      <w:color w:val="000000"/>
      <w:sz w:val="28"/>
    </w:rPr>
  </w:style>
  <w:style w:styleId="Style_25_ch" w:type="character">
    <w:name w:val="xl70"/>
    <w:basedOn w:val="Style_5_ch"/>
    <w:link w:val="Style_25"/>
    <w:rPr>
      <w:b w:val="1"/>
      <w:color w:val="000000"/>
      <w:sz w:val="28"/>
    </w:rPr>
  </w:style>
  <w:style w:styleId="Style_26" w:type="paragraph">
    <w:name w:val="toc 7"/>
    <w:next w:val="Style_5"/>
    <w:link w:val="Style_26_ch"/>
    <w:uiPriority w:val="39"/>
    <w:pPr>
      <w:widowControl w:val="0"/>
      <w:ind w:firstLine="0" w:left="1200"/>
      <w:jc w:val="left"/>
    </w:pPr>
    <w:rPr>
      <w:rFonts w:ascii="XO Thames" w:hAnsi="XO Thames"/>
      <w:sz w:val="28"/>
    </w:rPr>
  </w:style>
  <w:style w:styleId="Style_26_ch" w:type="character">
    <w:name w:val="toc 7"/>
    <w:link w:val="Style_26"/>
    <w:rPr>
      <w:rFonts w:ascii="XO Thames" w:hAnsi="XO Thames"/>
      <w:sz w:val="28"/>
    </w:rPr>
  </w:style>
  <w:style w:styleId="Style_27" w:type="paragraph">
    <w:name w:val="xl95"/>
    <w:basedOn w:val="Style_5"/>
    <w:link w:val="Style_27_ch"/>
    <w:pPr>
      <w:widowControl w:val="0"/>
      <w:spacing w:afterAutospacing="on" w:beforeAutospacing="on"/>
      <w:ind/>
      <w:jc w:val="center"/>
    </w:pPr>
    <w:rPr>
      <w:sz w:val="24"/>
    </w:rPr>
  </w:style>
  <w:style w:styleId="Style_27_ch" w:type="character">
    <w:name w:val="xl95"/>
    <w:basedOn w:val="Style_5_ch"/>
    <w:link w:val="Style_27"/>
    <w:rPr>
      <w:sz w:val="24"/>
    </w:rPr>
  </w:style>
  <w:style w:styleId="Style_28" w:type="paragraph">
    <w:name w:val="ConsPlusNonformat"/>
    <w:link w:val="Style_28_ch"/>
    <w:rPr>
      <w:rFonts w:ascii="Courier New" w:hAnsi="Courier New"/>
    </w:rPr>
  </w:style>
  <w:style w:styleId="Style_28_ch" w:type="character">
    <w:name w:val="ConsPlusNonformat"/>
    <w:link w:val="Style_28"/>
    <w:rPr>
      <w:rFonts w:ascii="Courier New" w:hAnsi="Courier New"/>
    </w:rPr>
  </w:style>
  <w:style w:styleId="Style_29" w:type="paragraph">
    <w:name w:val="xl97"/>
    <w:basedOn w:val="Style_5"/>
    <w:link w:val="Style_29_ch"/>
    <w:pPr>
      <w:widowControl w:val="0"/>
      <w:spacing w:afterAutospacing="on" w:beforeAutospacing="on"/>
      <w:ind/>
    </w:pPr>
    <w:rPr>
      <w:sz w:val="24"/>
    </w:rPr>
  </w:style>
  <w:style w:styleId="Style_29_ch" w:type="character">
    <w:name w:val="xl97"/>
    <w:basedOn w:val="Style_5_ch"/>
    <w:link w:val="Style_29"/>
    <w:rPr>
      <w:sz w:val="24"/>
    </w:rPr>
  </w:style>
  <w:style w:styleId="Style_30" w:type="paragraph">
    <w:name w:val="основной сергей"/>
    <w:basedOn w:val="Style_5"/>
    <w:link w:val="Style_30_ch"/>
    <w:rPr>
      <w:sz w:val="24"/>
    </w:rPr>
  </w:style>
  <w:style w:styleId="Style_30_ch" w:type="character">
    <w:name w:val="основной сергей"/>
    <w:basedOn w:val="Style_5_ch"/>
    <w:link w:val="Style_30"/>
    <w:rPr>
      <w:sz w:val="24"/>
    </w:rPr>
  </w:style>
  <w:style w:styleId="Style_31" w:type="paragraph">
    <w:name w:val="xl88"/>
    <w:basedOn w:val="Style_5"/>
    <w:link w:val="Style_31_ch"/>
    <w:pPr>
      <w:widowControl w:val="0"/>
      <w:spacing w:afterAutospacing="on" w:beforeAutospacing="on"/>
      <w:ind/>
    </w:pPr>
    <w:rPr>
      <w:b w:val="1"/>
      <w:sz w:val="28"/>
    </w:rPr>
  </w:style>
  <w:style w:styleId="Style_31_ch" w:type="character">
    <w:name w:val="xl88"/>
    <w:basedOn w:val="Style_5_ch"/>
    <w:link w:val="Style_31"/>
    <w:rPr>
      <w:b w:val="1"/>
      <w:sz w:val="28"/>
    </w:rPr>
  </w:style>
  <w:style w:styleId="Style_32" w:type="paragraph">
    <w:name w:val="Заголовок 5.H5"/>
    <w:basedOn w:val="Style_5"/>
    <w:next w:val="Style_5"/>
    <w:link w:val="Style_32_ch"/>
    <w:pPr>
      <w:widowControl w:val="0"/>
      <w:spacing w:before="120"/>
      <w:ind/>
    </w:pPr>
    <w:rPr>
      <w:sz w:val="22"/>
    </w:rPr>
  </w:style>
  <w:style w:styleId="Style_32_ch" w:type="character">
    <w:name w:val="Заголовок 5.H5"/>
    <w:basedOn w:val="Style_5_ch"/>
    <w:link w:val="Style_32"/>
    <w:rPr>
      <w:sz w:val="22"/>
    </w:rPr>
  </w:style>
  <w:style w:styleId="Style_33" w:type="paragraph">
    <w:name w:val="FR2"/>
    <w:link w:val="Style_33_ch"/>
    <w:pPr>
      <w:widowControl w:val="0"/>
      <w:spacing w:before="320" w:line="300" w:lineRule="auto"/>
      <w:ind/>
      <w:jc w:val="center"/>
    </w:pPr>
    <w:rPr>
      <w:b w:val="1"/>
      <w:sz w:val="48"/>
    </w:rPr>
  </w:style>
  <w:style w:styleId="Style_33_ch" w:type="character">
    <w:name w:val="FR2"/>
    <w:link w:val="Style_33"/>
    <w:rPr>
      <w:b w:val="1"/>
      <w:sz w:val="48"/>
    </w:rPr>
  </w:style>
  <w:style w:styleId="Style_34" w:type="paragraph">
    <w:name w:val="Balloon Text"/>
    <w:basedOn w:val="Style_5"/>
    <w:link w:val="Style_34_ch"/>
    <w:rPr>
      <w:rFonts w:ascii="Tahoma" w:hAnsi="Tahoma"/>
      <w:sz w:val="16"/>
    </w:rPr>
  </w:style>
  <w:style w:styleId="Style_34_ch" w:type="character">
    <w:name w:val="Balloon Text"/>
    <w:basedOn w:val="Style_5_ch"/>
    <w:link w:val="Style_34"/>
    <w:rPr>
      <w:rFonts w:ascii="Tahoma" w:hAnsi="Tahoma"/>
      <w:sz w:val="16"/>
    </w:rPr>
  </w:style>
  <w:style w:styleId="Style_35" w:type="paragraph">
    <w:name w:val="Стиль4"/>
    <w:basedOn w:val="Style_5"/>
    <w:link w:val="Style_35_ch"/>
    <w:pPr>
      <w:widowControl w:val="0"/>
      <w:ind/>
      <w:jc w:val="both"/>
    </w:pPr>
    <w:rPr>
      <w:sz w:val="24"/>
    </w:rPr>
  </w:style>
  <w:style w:styleId="Style_35_ch" w:type="character">
    <w:name w:val="Стиль4"/>
    <w:basedOn w:val="Style_5_ch"/>
    <w:link w:val="Style_35"/>
    <w:rPr>
      <w:sz w:val="24"/>
    </w:rPr>
  </w:style>
  <w:style w:styleId="Style_36" w:type="paragraph">
    <w:name w:val="Обычный (Web)"/>
    <w:basedOn w:val="Style_5"/>
    <w:link w:val="Style_36_ch"/>
    <w:pPr>
      <w:widowControl w:val="0"/>
      <w:spacing w:afterAutospacing="on" w:beforeAutospacing="on"/>
      <w:ind/>
    </w:pPr>
    <w:rPr>
      <w:sz w:val="24"/>
    </w:rPr>
  </w:style>
  <w:style w:styleId="Style_36_ch" w:type="character">
    <w:name w:val="Обычный (Web)"/>
    <w:basedOn w:val="Style_5_ch"/>
    <w:link w:val="Style_36"/>
    <w:rPr>
      <w:sz w:val="24"/>
    </w:rPr>
  </w:style>
  <w:style w:styleId="Style_37" w:type="paragraph">
    <w:name w:val="xl66"/>
    <w:basedOn w:val="Style_5"/>
    <w:link w:val="Style_37_ch"/>
    <w:pPr>
      <w:widowControl w:val="0"/>
      <w:spacing w:afterAutospacing="on" w:beforeAutospacing="on"/>
      <w:ind/>
      <w:jc w:val="center"/>
    </w:pPr>
    <w:rPr>
      <w:sz w:val="21"/>
    </w:rPr>
  </w:style>
  <w:style w:styleId="Style_37_ch" w:type="character">
    <w:name w:val="xl66"/>
    <w:basedOn w:val="Style_5_ch"/>
    <w:link w:val="Style_37"/>
    <w:rPr>
      <w:sz w:val="21"/>
    </w:rPr>
  </w:style>
  <w:style w:styleId="Style_38" w:type="paragraph">
    <w:name w:val="FR1"/>
    <w:link w:val="Style_38_ch"/>
    <w:pPr>
      <w:widowControl w:val="0"/>
      <w:spacing w:before="3100"/>
      <w:ind/>
      <w:jc w:val="center"/>
    </w:pPr>
    <w:rPr>
      <w:sz w:val="64"/>
    </w:rPr>
  </w:style>
  <w:style w:styleId="Style_38_ch" w:type="character">
    <w:name w:val="FR1"/>
    <w:link w:val="Style_38"/>
    <w:rPr>
      <w:sz w:val="64"/>
    </w:rPr>
  </w:style>
  <w:style w:styleId="Style_39" w:type="paragraph">
    <w:name w:val="Îáû÷íûé"/>
    <w:link w:val="Style_39_ch"/>
  </w:style>
  <w:style w:styleId="Style_39_ch" w:type="character">
    <w:name w:val="Îáû÷íûé"/>
    <w:link w:val="Style_39"/>
  </w:style>
  <w:style w:styleId="Style_40" w:type="paragraph">
    <w:name w:val="содержание2-11"/>
    <w:basedOn w:val="Style_5"/>
    <w:link w:val="Style_40_ch"/>
    <w:pPr>
      <w:widowControl w:val="0"/>
      <w:spacing w:after="60"/>
      <w:ind/>
      <w:jc w:val="both"/>
    </w:pPr>
    <w:rPr>
      <w:sz w:val="24"/>
    </w:rPr>
  </w:style>
  <w:style w:styleId="Style_40_ch" w:type="character">
    <w:name w:val="содержание2-11"/>
    <w:basedOn w:val="Style_5_ch"/>
    <w:link w:val="Style_40"/>
    <w:rPr>
      <w:sz w:val="24"/>
    </w:rPr>
  </w:style>
  <w:style w:styleId="Style_41" w:type="paragraph">
    <w:name w:val="Обычный11"/>
    <w:link w:val="Style_41_ch"/>
    <w:rPr>
      <w:rFonts w:ascii="NTHelvetica/Cyrillic" w:hAnsi="NTHelvetica/Cyrillic"/>
      <w:color w:val="000080"/>
      <w:sz w:val="16"/>
    </w:rPr>
  </w:style>
  <w:style w:styleId="Style_41_ch" w:type="character">
    <w:name w:val="Обычный11"/>
    <w:link w:val="Style_41"/>
    <w:rPr>
      <w:rFonts w:ascii="NTHelvetica/Cyrillic" w:hAnsi="NTHelvetica/Cyrillic"/>
      <w:color w:val="000080"/>
      <w:sz w:val="16"/>
    </w:rPr>
  </w:style>
  <w:style w:styleId="Style_42" w:type="paragraph">
    <w:name w:val="font1"/>
    <w:basedOn w:val="Style_5"/>
    <w:link w:val="Style_42_ch"/>
    <w:pPr>
      <w:widowControl w:val="0"/>
      <w:spacing w:afterAutospacing="on" w:beforeAutospacing="on"/>
      <w:ind/>
    </w:pPr>
    <w:rPr>
      <w:rFonts w:ascii="Calibri" w:hAnsi="Calibri"/>
      <w:color w:val="000000"/>
      <w:sz w:val="22"/>
    </w:rPr>
  </w:style>
  <w:style w:styleId="Style_42_ch" w:type="character">
    <w:name w:val="font1"/>
    <w:basedOn w:val="Style_5_ch"/>
    <w:link w:val="Style_42"/>
    <w:rPr>
      <w:rFonts w:ascii="Calibri" w:hAnsi="Calibri"/>
      <w:color w:val="000000"/>
      <w:sz w:val="22"/>
    </w:rPr>
  </w:style>
  <w:style w:styleId="Style_43" w:type="paragraph">
    <w:name w:val="Основной текст с отступом 31"/>
    <w:basedOn w:val="Style_44"/>
    <w:link w:val="Style_43_ch"/>
    <w:pPr>
      <w:widowControl w:val="0"/>
      <w:spacing w:line="360" w:lineRule="auto"/>
      <w:ind w:firstLine="709" w:left="0"/>
      <w:jc w:val="both"/>
    </w:pPr>
    <w:rPr>
      <w:sz w:val="24"/>
    </w:rPr>
  </w:style>
  <w:style w:styleId="Style_43_ch" w:type="character">
    <w:name w:val="Основной текст с отступом 31"/>
    <w:basedOn w:val="Style_44_ch"/>
    <w:link w:val="Style_43"/>
    <w:rPr>
      <w:sz w:val="24"/>
    </w:rPr>
  </w:style>
  <w:style w:styleId="Style_45" w:type="paragraph">
    <w:name w:val="Основной текст3"/>
    <w:basedOn w:val="Style_5"/>
    <w:link w:val="Style_45_ch"/>
    <w:pPr>
      <w:widowControl w:val="0"/>
      <w:spacing w:after="120" w:before="120"/>
      <w:ind/>
      <w:jc w:val="both"/>
    </w:pPr>
    <w:rPr>
      <w:sz w:val="24"/>
    </w:rPr>
  </w:style>
  <w:style w:styleId="Style_45_ch" w:type="character">
    <w:name w:val="Основной текст3"/>
    <w:basedOn w:val="Style_5_ch"/>
    <w:link w:val="Style_45"/>
    <w:rPr>
      <w:sz w:val="24"/>
    </w:rPr>
  </w:style>
  <w:style w:styleId="Style_46" w:type="paragraph">
    <w:name w:val="List Bullet 5"/>
    <w:basedOn w:val="Style_5"/>
    <w:link w:val="Style_46_ch"/>
    <w:pPr>
      <w:numPr>
        <w:ilvl w:val="0"/>
        <w:numId w:val="4"/>
      </w:numPr>
    </w:pPr>
  </w:style>
  <w:style w:styleId="Style_46_ch" w:type="character">
    <w:name w:val="List Bullet 5"/>
    <w:basedOn w:val="Style_5_ch"/>
    <w:link w:val="Style_46"/>
  </w:style>
  <w:style w:styleId="Style_47" w:type="paragraph">
    <w:name w:val="2. Заголовок 2"/>
    <w:basedOn w:val="Style_48"/>
    <w:link w:val="Style_47_ch"/>
    <w:pPr>
      <w:keepNext w:val="1"/>
      <w:keepLines w:val="1"/>
      <w:widowControl w:val="0"/>
      <w:tabs>
        <w:tab w:leader="none" w:pos="1080" w:val="left"/>
      </w:tabs>
      <w:spacing w:after="120" w:before="120"/>
      <w:ind w:firstLine="720" w:left="0"/>
      <w:jc w:val="left"/>
    </w:pPr>
    <w:rPr>
      <w:smallCaps w:val="1"/>
      <w:sz w:val="24"/>
    </w:rPr>
  </w:style>
  <w:style w:styleId="Style_47_ch" w:type="character">
    <w:name w:val="2. Заголовок 2"/>
    <w:basedOn w:val="Style_48_ch"/>
    <w:link w:val="Style_47"/>
    <w:rPr>
      <w:smallCaps w:val="1"/>
      <w:sz w:val="24"/>
    </w:rPr>
  </w:style>
  <w:style w:styleId="Style_49" w:type="paragraph">
    <w:name w:val="Endnote"/>
    <w:link w:val="Style_49_ch"/>
    <w:pPr>
      <w:widowControl w:val="0"/>
      <w:ind w:firstLine="851" w:left="0"/>
      <w:jc w:val="both"/>
    </w:pPr>
    <w:rPr>
      <w:rFonts w:ascii="XO Thames" w:hAnsi="XO Thames"/>
      <w:sz w:val="22"/>
    </w:rPr>
  </w:style>
  <w:style w:styleId="Style_49_ch" w:type="character">
    <w:name w:val="Endnote"/>
    <w:link w:val="Style_49"/>
    <w:rPr>
      <w:rFonts w:ascii="XO Thames" w:hAnsi="XO Thames"/>
      <w:sz w:val="22"/>
    </w:rPr>
  </w:style>
  <w:style w:styleId="Style_50" w:type="paragraph">
    <w:name w:val="heading 3"/>
    <w:basedOn w:val="Style_5"/>
    <w:next w:val="Style_5"/>
    <w:link w:val="Style_50_ch"/>
    <w:uiPriority w:val="9"/>
    <w:qFormat/>
    <w:pPr>
      <w:keepNext w:val="1"/>
      <w:widowControl w:val="0"/>
      <w:numPr>
        <w:ilvl w:val="2"/>
        <w:numId w:val="5"/>
      </w:numPr>
      <w:spacing w:after="60" w:before="240"/>
      <w:ind/>
      <w:outlineLvl w:val="2"/>
    </w:pPr>
    <w:rPr>
      <w:rFonts w:ascii="Arial" w:hAnsi="Arial"/>
      <w:b w:val="1"/>
      <w:sz w:val="26"/>
    </w:rPr>
  </w:style>
  <w:style w:styleId="Style_50_ch" w:type="character">
    <w:name w:val="heading 3"/>
    <w:basedOn w:val="Style_5_ch"/>
    <w:link w:val="Style_50"/>
    <w:rPr>
      <w:rFonts w:ascii="Arial" w:hAnsi="Arial"/>
      <w:b w:val="1"/>
      <w:sz w:val="26"/>
    </w:rPr>
  </w:style>
  <w:style w:styleId="Style_51" w:type="paragraph">
    <w:name w:val="Style First line:  127 cm"/>
    <w:basedOn w:val="Style_5"/>
    <w:link w:val="Style_51_ch"/>
    <w:pPr>
      <w:widowControl w:val="0"/>
      <w:spacing w:before="120"/>
      <w:ind w:firstLine="720" w:left="0"/>
      <w:jc w:val="both"/>
    </w:pPr>
    <w:rPr>
      <w:rFonts w:ascii="Arial" w:hAnsi="Arial"/>
      <w:sz w:val="24"/>
    </w:rPr>
  </w:style>
  <w:style w:styleId="Style_51_ch" w:type="character">
    <w:name w:val="Style First line:  127 cm"/>
    <w:basedOn w:val="Style_5_ch"/>
    <w:link w:val="Style_51"/>
    <w:rPr>
      <w:rFonts w:ascii="Arial" w:hAnsi="Arial"/>
      <w:sz w:val="24"/>
    </w:rPr>
  </w:style>
  <w:style w:styleId="Style_52" w:type="paragraph">
    <w:name w:val="Знак"/>
    <w:basedOn w:val="Style_5"/>
    <w:link w:val="Style_52_ch"/>
    <w:pPr>
      <w:widowControl w:val="0"/>
      <w:spacing w:after="160" w:line="240" w:lineRule="exact"/>
      <w:ind/>
    </w:pPr>
    <w:rPr>
      <w:rFonts w:ascii="Verdana" w:hAnsi="Verdana"/>
      <w:sz w:val="24"/>
    </w:rPr>
  </w:style>
  <w:style w:styleId="Style_52_ch" w:type="character">
    <w:name w:val="Знак"/>
    <w:basedOn w:val="Style_5_ch"/>
    <w:link w:val="Style_52"/>
    <w:rPr>
      <w:rFonts w:ascii="Verdana" w:hAnsi="Verdana"/>
      <w:sz w:val="24"/>
    </w:rPr>
  </w:style>
  <w:style w:styleId="Style_53" w:type="paragraph">
    <w:name w:val="Знак1"/>
    <w:basedOn w:val="Style_5"/>
    <w:link w:val="Style_53_ch"/>
    <w:pPr>
      <w:widowControl w:val="0"/>
      <w:spacing w:after="160" w:line="240" w:lineRule="exact"/>
      <w:ind/>
    </w:pPr>
    <w:rPr>
      <w:rFonts w:ascii="Verdana" w:hAnsi="Verdana"/>
      <w:sz w:val="24"/>
    </w:rPr>
  </w:style>
  <w:style w:styleId="Style_53_ch" w:type="character">
    <w:name w:val="Знак1"/>
    <w:basedOn w:val="Style_5_ch"/>
    <w:link w:val="Style_53"/>
    <w:rPr>
      <w:rFonts w:ascii="Verdana" w:hAnsi="Verdana"/>
      <w:sz w:val="24"/>
    </w:rPr>
  </w:style>
  <w:style w:styleId="Style_54" w:type="paragraph">
    <w:name w:val="Body Text 2"/>
    <w:basedOn w:val="Style_5"/>
    <w:link w:val="Style_54_ch"/>
    <w:pPr>
      <w:widowControl w:val="0"/>
      <w:spacing w:after="120" w:line="480" w:lineRule="auto"/>
      <w:ind/>
    </w:pPr>
  </w:style>
  <w:style w:styleId="Style_54_ch" w:type="character">
    <w:name w:val="Body Text 2"/>
    <w:basedOn w:val="Style_5_ch"/>
    <w:link w:val="Style_54"/>
  </w:style>
  <w:style w:styleId="Style_55" w:type="paragraph">
    <w:name w:val="footer"/>
    <w:basedOn w:val="Style_5"/>
    <w:link w:val="Style_55_ch"/>
    <w:pPr>
      <w:widowControl w:val="0"/>
      <w:tabs>
        <w:tab w:leader="none" w:pos="4153" w:val="center"/>
        <w:tab w:leader="none" w:pos="8306" w:val="right"/>
      </w:tabs>
      <w:ind/>
    </w:pPr>
  </w:style>
  <w:style w:styleId="Style_55_ch" w:type="character">
    <w:name w:val="footer"/>
    <w:basedOn w:val="Style_5_ch"/>
    <w:link w:val="Style_55"/>
  </w:style>
  <w:style w:styleId="Style_56" w:type="paragraph">
    <w:name w:val="xl72"/>
    <w:basedOn w:val="Style_5"/>
    <w:link w:val="Style_56_ch"/>
    <w:pPr>
      <w:widowControl w:val="0"/>
      <w:spacing w:afterAutospacing="on" w:beforeAutospacing="on"/>
      <w:ind/>
      <w:jc w:val="center"/>
    </w:pPr>
    <w:rPr>
      <w:b w:val="1"/>
      <w:color w:val="000000"/>
      <w:sz w:val="21"/>
    </w:rPr>
  </w:style>
  <w:style w:styleId="Style_56_ch" w:type="character">
    <w:name w:val="xl72"/>
    <w:basedOn w:val="Style_5_ch"/>
    <w:link w:val="Style_56"/>
    <w:rPr>
      <w:b w:val="1"/>
      <w:color w:val="000000"/>
      <w:sz w:val="21"/>
    </w:rPr>
  </w:style>
  <w:style w:styleId="Style_57" w:type="paragraph">
    <w:name w:val="xl107"/>
    <w:basedOn w:val="Style_5"/>
    <w:link w:val="Style_57_ch"/>
    <w:pPr>
      <w:widowControl w:val="0"/>
      <w:spacing w:afterAutospacing="on" w:beforeAutospacing="on"/>
      <w:ind/>
    </w:pPr>
    <w:rPr>
      <w:sz w:val="24"/>
    </w:rPr>
  </w:style>
  <w:style w:styleId="Style_57_ch" w:type="character">
    <w:name w:val="xl107"/>
    <w:basedOn w:val="Style_5_ch"/>
    <w:link w:val="Style_57"/>
    <w:rPr>
      <w:sz w:val="24"/>
    </w:rPr>
  </w:style>
  <w:style w:styleId="Style_58" w:type="paragraph">
    <w:name w:val="xl82"/>
    <w:basedOn w:val="Style_5"/>
    <w:link w:val="Style_58_ch"/>
    <w:pPr>
      <w:widowControl w:val="0"/>
      <w:spacing w:afterAutospacing="on" w:beforeAutospacing="on"/>
      <w:ind/>
      <w:jc w:val="center"/>
    </w:pPr>
    <w:rPr>
      <w:sz w:val="24"/>
    </w:rPr>
  </w:style>
  <w:style w:styleId="Style_58_ch" w:type="character">
    <w:name w:val="xl82"/>
    <w:basedOn w:val="Style_5_ch"/>
    <w:link w:val="Style_58"/>
    <w:rPr>
      <w:sz w:val="24"/>
    </w:rPr>
  </w:style>
  <w:style w:styleId="Style_59" w:type="paragraph">
    <w:name w:val="xl64"/>
    <w:basedOn w:val="Style_5"/>
    <w:link w:val="Style_59_ch"/>
    <w:pPr>
      <w:widowControl w:val="0"/>
      <w:spacing w:afterAutospacing="on" w:beforeAutospacing="on"/>
      <w:ind/>
      <w:jc w:val="center"/>
    </w:pPr>
    <w:rPr>
      <w:sz w:val="18"/>
    </w:rPr>
  </w:style>
  <w:style w:styleId="Style_59_ch" w:type="character">
    <w:name w:val="xl64"/>
    <w:basedOn w:val="Style_5_ch"/>
    <w:link w:val="Style_59"/>
    <w:rPr>
      <w:sz w:val="18"/>
    </w:rPr>
  </w:style>
  <w:style w:styleId="Style_2" w:type="paragraph">
    <w:name w:val="Гиперссылка1"/>
    <w:link w:val="Style_2_ch"/>
    <w:rPr>
      <w:color w:val="0000FF"/>
      <w:u w:val="single"/>
    </w:rPr>
  </w:style>
  <w:style w:styleId="Style_2_ch" w:type="character">
    <w:name w:val="Гиперссылка1"/>
    <w:link w:val="Style_2"/>
    <w:rPr>
      <w:color w:val="0000FF"/>
      <w:u w:val="single"/>
    </w:rPr>
  </w:style>
  <w:style w:styleId="Style_60" w:type="paragraph">
    <w:name w:val="Emphasis"/>
    <w:link w:val="Style_60_ch"/>
    <w:rPr>
      <w:i w:val="1"/>
    </w:rPr>
  </w:style>
  <w:style w:styleId="Style_60_ch" w:type="character">
    <w:name w:val="Emphasis"/>
    <w:link w:val="Style_60"/>
    <w:rPr>
      <w:i w:val="1"/>
    </w:rPr>
  </w:style>
  <w:style w:styleId="Style_61" w:type="paragraph">
    <w:name w:val="xl104"/>
    <w:basedOn w:val="Style_5"/>
    <w:link w:val="Style_61_ch"/>
    <w:pPr>
      <w:widowControl w:val="0"/>
      <w:spacing w:afterAutospacing="on" w:beforeAutospacing="on"/>
      <w:ind/>
      <w:jc w:val="center"/>
    </w:pPr>
    <w:rPr>
      <w:sz w:val="24"/>
    </w:rPr>
  </w:style>
  <w:style w:styleId="Style_61_ch" w:type="character">
    <w:name w:val="xl104"/>
    <w:basedOn w:val="Style_5_ch"/>
    <w:link w:val="Style_61"/>
    <w:rPr>
      <w:sz w:val="24"/>
    </w:rPr>
  </w:style>
  <w:style w:styleId="Style_62" w:type="paragraph">
    <w:name w:val="xl78"/>
    <w:basedOn w:val="Style_5"/>
    <w:link w:val="Style_62_ch"/>
    <w:pPr>
      <w:widowControl w:val="0"/>
      <w:spacing w:afterAutospacing="on" w:beforeAutospacing="on"/>
      <w:ind/>
    </w:pPr>
    <w:rPr>
      <w:sz w:val="28"/>
    </w:rPr>
  </w:style>
  <w:style w:styleId="Style_62_ch" w:type="character">
    <w:name w:val="xl78"/>
    <w:basedOn w:val="Style_5_ch"/>
    <w:link w:val="Style_62"/>
    <w:rPr>
      <w:sz w:val="28"/>
    </w:rPr>
  </w:style>
  <w:style w:styleId="Style_63" w:type="paragraph">
    <w:name w:val="xl85"/>
    <w:basedOn w:val="Style_5"/>
    <w:link w:val="Style_63_ch"/>
    <w:pPr>
      <w:widowControl w:val="0"/>
      <w:spacing w:afterAutospacing="on" w:beforeAutospacing="on"/>
      <w:ind/>
    </w:pPr>
    <w:rPr>
      <w:sz w:val="24"/>
    </w:rPr>
  </w:style>
  <w:style w:styleId="Style_63_ch" w:type="character">
    <w:name w:val="xl85"/>
    <w:basedOn w:val="Style_5_ch"/>
    <w:link w:val="Style_63"/>
    <w:rPr>
      <w:sz w:val="24"/>
    </w:rPr>
  </w:style>
  <w:style w:styleId="Style_64" w:type="paragraph">
    <w:name w:val="отчет 12"/>
    <w:basedOn w:val="Style_5"/>
    <w:link w:val="Style_64_ch"/>
    <w:pPr>
      <w:widowControl w:val="0"/>
      <w:spacing w:after="120" w:line="360" w:lineRule="auto"/>
      <w:ind w:firstLine="720" w:left="0"/>
      <w:jc w:val="both"/>
    </w:pPr>
    <w:rPr>
      <w:sz w:val="24"/>
    </w:rPr>
  </w:style>
  <w:style w:styleId="Style_64_ch" w:type="character">
    <w:name w:val="отчет 12"/>
    <w:basedOn w:val="Style_5_ch"/>
    <w:link w:val="Style_64"/>
    <w:rPr>
      <w:sz w:val="24"/>
    </w:rPr>
  </w:style>
  <w:style w:styleId="Style_65" w:type="paragraph">
    <w:name w:val="Body Text Indent"/>
    <w:basedOn w:val="Style_5"/>
    <w:link w:val="Style_65_ch"/>
    <w:pPr>
      <w:widowControl w:val="0"/>
      <w:spacing w:after="120"/>
      <w:ind w:firstLine="0" w:left="283"/>
    </w:pPr>
  </w:style>
  <w:style w:styleId="Style_65_ch" w:type="character">
    <w:name w:val="Body Text Indent"/>
    <w:basedOn w:val="Style_5_ch"/>
    <w:link w:val="Style_65"/>
  </w:style>
  <w:style w:styleId="Style_66" w:type="paragraph">
    <w:name w:val="heading 9"/>
    <w:basedOn w:val="Style_5"/>
    <w:next w:val="Style_5"/>
    <w:link w:val="Style_66_ch"/>
    <w:uiPriority w:val="9"/>
    <w:qFormat/>
    <w:pPr>
      <w:keepNext w:val="1"/>
      <w:widowControl w:val="0"/>
      <w:ind w:firstLine="244" w:left="0"/>
      <w:jc w:val="both"/>
      <w:outlineLvl w:val="8"/>
    </w:pPr>
    <w:rPr>
      <w:b w:val="1"/>
      <w:sz w:val="24"/>
    </w:rPr>
  </w:style>
  <w:style w:styleId="Style_66_ch" w:type="character">
    <w:name w:val="heading 9"/>
    <w:basedOn w:val="Style_5_ch"/>
    <w:link w:val="Style_66"/>
    <w:rPr>
      <w:b w:val="1"/>
      <w:sz w:val="24"/>
    </w:rPr>
  </w:style>
  <w:style w:styleId="Style_67" w:type="paragraph">
    <w:name w:val="Body Text Indent 31"/>
    <w:basedOn w:val="Style_5"/>
    <w:link w:val="Style_67_ch"/>
    <w:pPr>
      <w:widowControl w:val="0"/>
      <w:tabs>
        <w:tab w:leader="none" w:pos="792" w:val="left"/>
      </w:tabs>
      <w:ind w:firstLine="709" w:left="0"/>
      <w:jc w:val="both"/>
    </w:pPr>
    <w:rPr>
      <w:sz w:val="24"/>
    </w:rPr>
  </w:style>
  <w:style w:styleId="Style_67_ch" w:type="character">
    <w:name w:val="Body Text Indent 31"/>
    <w:basedOn w:val="Style_5_ch"/>
    <w:link w:val="Style_67"/>
    <w:rPr>
      <w:sz w:val="24"/>
    </w:rPr>
  </w:style>
  <w:style w:styleId="Style_68" w:type="paragraph">
    <w:name w:val="ConsPlusCell"/>
    <w:link w:val="Style_68_ch"/>
    <w:rPr>
      <w:rFonts w:ascii="Arial" w:hAnsi="Arial"/>
    </w:rPr>
  </w:style>
  <w:style w:styleId="Style_68_ch" w:type="character">
    <w:name w:val="ConsPlusCell"/>
    <w:link w:val="Style_68"/>
    <w:rPr>
      <w:rFonts w:ascii="Arial" w:hAnsi="Arial"/>
    </w:rPr>
  </w:style>
  <w:style w:styleId="Style_69" w:type="paragraph">
    <w:name w:val="Знак Знак2 Char Char Знак Знак Char Char Знак Знак Char Char Знак Знак Char Char Знак Знак Char Char Знак Знак Char Char Знак Знак Char Char Знак Знак Char Char"/>
    <w:basedOn w:val="Style_5"/>
    <w:link w:val="Style_69_ch"/>
    <w:pPr>
      <w:widowControl w:val="0"/>
      <w:spacing w:afterAutospacing="on" w:beforeAutospacing="on"/>
      <w:ind/>
    </w:pPr>
    <w:rPr>
      <w:rFonts w:ascii="Tahoma" w:hAnsi="Tahoma"/>
    </w:rPr>
  </w:style>
  <w:style w:styleId="Style_69_ch" w:type="character">
    <w:name w:val="Знак Знак2 Char Char Знак Знак Char Char Знак Знак Char Char Знак Знак Char Char Знак Знак Char Char Знак Знак Char Char Знак Знак Char Char Знак Знак Char Char"/>
    <w:basedOn w:val="Style_5_ch"/>
    <w:link w:val="Style_69"/>
    <w:rPr>
      <w:rFonts w:ascii="Tahoma" w:hAnsi="Tahoma"/>
    </w:rPr>
  </w:style>
  <w:style w:styleId="Style_70" w:type="paragraph">
    <w:name w:val="List Number 2"/>
    <w:basedOn w:val="Style_5"/>
    <w:link w:val="Style_70_ch"/>
    <w:pPr>
      <w:widowControl w:val="0"/>
      <w:tabs>
        <w:tab w:leader="none" w:pos="360" w:val="left"/>
      </w:tabs>
      <w:spacing w:after="60"/>
      <w:ind w:hanging="360" w:left="360"/>
      <w:jc w:val="both"/>
    </w:pPr>
    <w:rPr>
      <w:sz w:val="24"/>
    </w:rPr>
  </w:style>
  <w:style w:styleId="Style_70_ch" w:type="character">
    <w:name w:val="List Number 2"/>
    <w:basedOn w:val="Style_5_ch"/>
    <w:link w:val="Style_70"/>
    <w:rPr>
      <w:sz w:val="24"/>
    </w:rPr>
  </w:style>
  <w:style w:styleId="Style_71" w:type="paragraph">
    <w:name w:val="xl25"/>
    <w:basedOn w:val="Style_5"/>
    <w:link w:val="Style_71_ch"/>
    <w:pPr>
      <w:widowControl w:val="0"/>
      <w:spacing w:afterAutospacing="on" w:beforeAutospacing="on"/>
      <w:ind/>
    </w:pPr>
    <w:rPr>
      <w:sz w:val="24"/>
    </w:rPr>
  </w:style>
  <w:style w:styleId="Style_71_ch" w:type="character">
    <w:name w:val="xl25"/>
    <w:basedOn w:val="Style_5_ch"/>
    <w:link w:val="Style_71"/>
    <w:rPr>
      <w:sz w:val="24"/>
    </w:rPr>
  </w:style>
  <w:style w:styleId="Style_72" w:type="paragraph">
    <w:name w:val="Normal (Web)"/>
    <w:basedOn w:val="Style_5"/>
    <w:link w:val="Style_72_ch"/>
    <w:pPr>
      <w:widowControl w:val="0"/>
      <w:spacing w:afterAutospacing="on" w:beforeAutospacing="on"/>
      <w:ind/>
    </w:pPr>
    <w:rPr>
      <w:sz w:val="24"/>
    </w:rPr>
  </w:style>
  <w:style w:styleId="Style_72_ch" w:type="character">
    <w:name w:val="Normal (Web)"/>
    <w:basedOn w:val="Style_5_ch"/>
    <w:link w:val="Style_72"/>
    <w:rPr>
      <w:sz w:val="24"/>
    </w:rPr>
  </w:style>
  <w:style w:styleId="Style_73" w:type="paragraph">
    <w:name w:val="Body Text 21"/>
    <w:basedOn w:val="Style_44"/>
    <w:link w:val="Style_73_ch"/>
    <w:pPr>
      <w:widowControl w:val="0"/>
      <w:spacing w:line="360" w:lineRule="auto"/>
      <w:ind w:firstLine="851" w:left="0"/>
      <w:jc w:val="both"/>
    </w:pPr>
    <w:rPr>
      <w:sz w:val="24"/>
    </w:rPr>
  </w:style>
  <w:style w:styleId="Style_73_ch" w:type="character">
    <w:name w:val="Body Text 21"/>
    <w:basedOn w:val="Style_44_ch"/>
    <w:link w:val="Style_73"/>
    <w:rPr>
      <w:sz w:val="24"/>
    </w:rPr>
  </w:style>
  <w:style w:styleId="Style_74" w:type="paragraph">
    <w:name w:val="FR3"/>
    <w:link w:val="Style_74_ch"/>
    <w:pPr>
      <w:widowControl w:val="0"/>
      <w:spacing w:line="300" w:lineRule="auto"/>
      <w:ind w:firstLine="0" w:left="800" w:right="600"/>
      <w:jc w:val="center"/>
    </w:pPr>
    <w:rPr>
      <w:sz w:val="40"/>
    </w:rPr>
  </w:style>
  <w:style w:styleId="Style_74_ch" w:type="character">
    <w:name w:val="FR3"/>
    <w:link w:val="Style_74"/>
    <w:rPr>
      <w:sz w:val="40"/>
    </w:rPr>
  </w:style>
  <w:style w:styleId="Style_75" w:type="paragraph">
    <w:name w:val="Обычный + Первая строка:  1 см"/>
    <w:basedOn w:val="Style_5"/>
    <w:link w:val="Style_75_ch"/>
    <w:pPr>
      <w:keepNext w:val="1"/>
      <w:keepLines w:val="1"/>
      <w:widowControl w:val="0"/>
      <w:spacing w:after="60"/>
      <w:ind w:firstLine="567" w:left="0"/>
      <w:jc w:val="both"/>
    </w:pPr>
    <w:rPr>
      <w:i w:val="1"/>
      <w:sz w:val="24"/>
    </w:rPr>
  </w:style>
  <w:style w:styleId="Style_75_ch" w:type="character">
    <w:name w:val="Обычный + Первая строка:  1 см"/>
    <w:basedOn w:val="Style_5_ch"/>
    <w:link w:val="Style_75"/>
    <w:rPr>
      <w:i w:val="1"/>
      <w:sz w:val="24"/>
    </w:rPr>
  </w:style>
  <w:style w:styleId="Style_76" w:type="paragraph">
    <w:name w:val="header"/>
    <w:basedOn w:val="Style_5"/>
    <w:link w:val="Style_76_ch"/>
    <w:pPr>
      <w:widowControl w:val="0"/>
      <w:tabs>
        <w:tab w:leader="none" w:pos="4153" w:val="center"/>
        <w:tab w:leader="none" w:pos="8306" w:val="right"/>
      </w:tabs>
      <w:ind/>
    </w:pPr>
  </w:style>
  <w:style w:styleId="Style_76_ch" w:type="character">
    <w:name w:val="header"/>
    <w:basedOn w:val="Style_5_ch"/>
    <w:link w:val="Style_76"/>
  </w:style>
  <w:style w:styleId="Style_77" w:type="paragraph">
    <w:name w:val="List Bullet"/>
    <w:basedOn w:val="Style_5"/>
    <w:link w:val="Style_77_ch"/>
    <w:pPr>
      <w:widowControl w:val="0"/>
      <w:ind/>
      <w:jc w:val="both"/>
    </w:pPr>
    <w:rPr>
      <w:sz w:val="24"/>
    </w:rPr>
  </w:style>
  <w:style w:styleId="Style_77_ch" w:type="character">
    <w:name w:val="List Bullet"/>
    <w:basedOn w:val="Style_5_ch"/>
    <w:link w:val="Style_77"/>
    <w:rPr>
      <w:sz w:val="24"/>
    </w:rPr>
  </w:style>
  <w:style w:styleId="Style_78" w:type="paragraph">
    <w:name w:val="Body Text Indent 32"/>
    <w:basedOn w:val="Style_5"/>
    <w:link w:val="Style_78_ch"/>
    <w:pPr>
      <w:widowControl w:val="0"/>
      <w:spacing w:line="360" w:lineRule="auto"/>
      <w:ind w:firstLine="709" w:left="0"/>
      <w:jc w:val="both"/>
    </w:pPr>
    <w:rPr>
      <w:rFonts w:ascii="Arial" w:hAnsi="Arial"/>
      <w:sz w:val="24"/>
    </w:rPr>
  </w:style>
  <w:style w:styleId="Style_78_ch" w:type="character">
    <w:name w:val="Body Text Indent 32"/>
    <w:basedOn w:val="Style_5_ch"/>
    <w:link w:val="Style_78"/>
    <w:rPr>
      <w:rFonts w:ascii="Arial" w:hAnsi="Arial"/>
      <w:sz w:val="24"/>
    </w:rPr>
  </w:style>
  <w:style w:styleId="Style_79" w:type="paragraph">
    <w:name w:val="xl100"/>
    <w:basedOn w:val="Style_5"/>
    <w:link w:val="Style_79_ch"/>
    <w:pPr>
      <w:widowControl w:val="0"/>
      <w:spacing w:afterAutospacing="on" w:beforeAutospacing="on"/>
      <w:ind/>
    </w:pPr>
    <w:rPr>
      <w:sz w:val="24"/>
    </w:rPr>
  </w:style>
  <w:style w:styleId="Style_79_ch" w:type="character">
    <w:name w:val="xl100"/>
    <w:basedOn w:val="Style_5_ch"/>
    <w:link w:val="Style_79"/>
    <w:rPr>
      <w:sz w:val="24"/>
    </w:rPr>
  </w:style>
  <w:style w:styleId="Style_80" w:type="paragraph">
    <w:name w:val="Нумерованный список1"/>
    <w:basedOn w:val="Style_5"/>
    <w:link w:val="Style_80_ch"/>
    <w:pPr>
      <w:widowControl w:val="0"/>
      <w:tabs>
        <w:tab w:leader="none" w:pos="705" w:val="left"/>
      </w:tabs>
      <w:ind/>
      <w:jc w:val="both"/>
    </w:pPr>
    <w:rPr>
      <w:rFonts w:ascii="Courier New" w:hAnsi="Courier New"/>
    </w:rPr>
  </w:style>
  <w:style w:styleId="Style_80_ch" w:type="character">
    <w:name w:val="Нумерованный список1"/>
    <w:basedOn w:val="Style_5_ch"/>
    <w:link w:val="Style_80"/>
    <w:rPr>
      <w:rFonts w:ascii="Courier New" w:hAnsi="Courier New"/>
    </w:rPr>
  </w:style>
  <w:style w:styleId="Style_81" w:type="paragraph">
    <w:name w:val="List"/>
    <w:basedOn w:val="Style_5"/>
    <w:link w:val="Style_81_ch"/>
    <w:pPr>
      <w:widowControl w:val="0"/>
      <w:spacing w:after="60"/>
      <w:ind w:hanging="283" w:left="283"/>
      <w:jc w:val="both"/>
    </w:pPr>
    <w:rPr>
      <w:sz w:val="24"/>
    </w:rPr>
  </w:style>
  <w:style w:styleId="Style_81_ch" w:type="character">
    <w:name w:val="List"/>
    <w:basedOn w:val="Style_5_ch"/>
    <w:link w:val="Style_81"/>
    <w:rPr>
      <w:sz w:val="24"/>
    </w:rPr>
  </w:style>
  <w:style w:styleId="Style_82" w:type="paragraph">
    <w:name w:val="xl22"/>
    <w:basedOn w:val="Style_5"/>
    <w:link w:val="Style_82_ch"/>
    <w:pPr>
      <w:widowControl w:val="0"/>
      <w:spacing w:afterAutospacing="on" w:beforeAutospacing="on"/>
      <w:ind/>
      <w:jc w:val="right"/>
    </w:pPr>
    <w:rPr>
      <w:color w:val="000000"/>
      <w:sz w:val="24"/>
    </w:rPr>
  </w:style>
  <w:style w:styleId="Style_82_ch" w:type="character">
    <w:name w:val="xl22"/>
    <w:basedOn w:val="Style_5_ch"/>
    <w:link w:val="Style_82"/>
    <w:rPr>
      <w:color w:val="000000"/>
      <w:sz w:val="24"/>
    </w:rPr>
  </w:style>
  <w:style w:styleId="Style_83" w:type="paragraph">
    <w:name w:val="xl74"/>
    <w:basedOn w:val="Style_5"/>
    <w:link w:val="Style_83_ch"/>
    <w:pPr>
      <w:widowControl w:val="0"/>
      <w:spacing w:afterAutospacing="on" w:beforeAutospacing="on"/>
      <w:ind/>
    </w:pPr>
    <w:rPr>
      <w:sz w:val="24"/>
    </w:rPr>
  </w:style>
  <w:style w:styleId="Style_83_ch" w:type="character">
    <w:name w:val="xl74"/>
    <w:basedOn w:val="Style_5_ch"/>
    <w:link w:val="Style_83"/>
    <w:rPr>
      <w:sz w:val="24"/>
    </w:rPr>
  </w:style>
  <w:style w:styleId="Style_84" w:type="paragraph">
    <w:name w:val="annotation subject"/>
    <w:basedOn w:val="Style_85"/>
    <w:next w:val="Style_85"/>
    <w:link w:val="Style_84_ch"/>
    <w:rPr>
      <w:b w:val="1"/>
    </w:rPr>
  </w:style>
  <w:style w:styleId="Style_84_ch" w:type="character">
    <w:name w:val="annotation subject"/>
    <w:basedOn w:val="Style_85_ch"/>
    <w:link w:val="Style_84"/>
    <w:rPr>
      <w:b w:val="1"/>
    </w:rPr>
  </w:style>
  <w:style w:styleId="Style_86" w:type="paragraph">
    <w:name w:val="Стиль Заголовок 3 + Times New Roman 12 пт Слева:  007 см"/>
    <w:basedOn w:val="Style_50"/>
    <w:link w:val="Style_86_ch"/>
    <w:pPr>
      <w:widowControl w:val="0"/>
      <w:numPr>
        <w:ilvl w:val="0"/>
        <w:numId w:val="0"/>
      </w:numPr>
      <w:spacing w:line="360" w:lineRule="auto"/>
      <w:ind w:firstLine="709" w:left="0"/>
      <w:jc w:val="both"/>
    </w:pPr>
    <w:rPr>
      <w:rFonts w:ascii="Times New Roman" w:hAnsi="Times New Roman"/>
      <w:i w:val="1"/>
      <w:sz w:val="24"/>
    </w:rPr>
  </w:style>
  <w:style w:styleId="Style_86_ch" w:type="character">
    <w:name w:val="Стиль Заголовок 3 + Times New Roman 12 пт Слева:  007 см"/>
    <w:basedOn w:val="Style_50_ch"/>
    <w:link w:val="Style_86"/>
    <w:rPr>
      <w:rFonts w:ascii="Times New Roman" w:hAnsi="Times New Roman"/>
      <w:i w:val="1"/>
      <w:sz w:val="24"/>
    </w:rPr>
  </w:style>
  <w:style w:styleId="Style_87" w:type="paragraph">
    <w:name w:val="çàãîëîâîê 2"/>
    <w:basedOn w:val="Style_5"/>
    <w:next w:val="Style_5"/>
    <w:link w:val="Style_87_ch"/>
    <w:pPr>
      <w:keepNext w:val="1"/>
      <w:widowControl w:val="0"/>
      <w:ind/>
      <w:jc w:val="center"/>
    </w:pPr>
    <w:rPr>
      <w:b w:val="1"/>
      <w:sz w:val="32"/>
    </w:rPr>
  </w:style>
  <w:style w:styleId="Style_87_ch" w:type="character">
    <w:name w:val="çàãîëîâîê 2"/>
    <w:basedOn w:val="Style_5_ch"/>
    <w:link w:val="Style_87"/>
    <w:rPr>
      <w:b w:val="1"/>
      <w:sz w:val="32"/>
    </w:rPr>
  </w:style>
  <w:style w:styleId="Style_88" w:type="paragraph">
    <w:name w:val="Номер1"/>
    <w:basedOn w:val="Style_81"/>
    <w:link w:val="Style_88_ch"/>
    <w:pPr>
      <w:widowControl w:val="0"/>
      <w:tabs>
        <w:tab w:leader="none" w:pos="1077" w:val="left"/>
      </w:tabs>
      <w:spacing w:after="40" w:before="40"/>
      <w:ind w:hanging="380" w:left="737"/>
    </w:pPr>
    <w:rPr>
      <w:sz w:val="22"/>
    </w:rPr>
  </w:style>
  <w:style w:styleId="Style_88_ch" w:type="character">
    <w:name w:val="Номер1"/>
    <w:basedOn w:val="Style_81_ch"/>
    <w:link w:val="Style_88"/>
    <w:rPr>
      <w:sz w:val="22"/>
    </w:rPr>
  </w:style>
  <w:style w:styleId="Style_89" w:type="paragraph">
    <w:name w:val="block"/>
    <w:basedOn w:val="Style_5"/>
    <w:link w:val="Style_89_ch"/>
    <w:pPr>
      <w:widowControl w:val="0"/>
      <w:spacing w:after="300"/>
      <w:ind/>
    </w:pPr>
    <w:rPr>
      <w:rFonts w:ascii="Tahoma" w:hAnsi="Tahoma"/>
      <w:color w:val="808080"/>
      <w:sz w:val="24"/>
    </w:rPr>
  </w:style>
  <w:style w:styleId="Style_89_ch" w:type="character">
    <w:name w:val="block"/>
    <w:basedOn w:val="Style_5_ch"/>
    <w:link w:val="Style_89"/>
    <w:rPr>
      <w:rFonts w:ascii="Tahoma" w:hAnsi="Tahoma"/>
      <w:color w:val="808080"/>
      <w:sz w:val="24"/>
    </w:rPr>
  </w:style>
  <w:style w:styleId="Style_90" w:type="paragraph">
    <w:name w:val="Default"/>
    <w:link w:val="Style_90_ch"/>
    <w:rPr>
      <w:color w:val="000000"/>
      <w:sz w:val="24"/>
    </w:rPr>
  </w:style>
  <w:style w:styleId="Style_90_ch" w:type="character">
    <w:name w:val="Default"/>
    <w:link w:val="Style_90"/>
    <w:rPr>
      <w:color w:val="000000"/>
      <w:sz w:val="24"/>
    </w:rPr>
  </w:style>
  <w:style w:styleId="Style_91" w:type="paragraph">
    <w:name w:val="Стиль Заголовок 3 + Times New Roman 12 пт"/>
    <w:basedOn w:val="Style_50"/>
    <w:link w:val="Style_91_ch"/>
    <w:pPr>
      <w:widowControl w:val="0"/>
      <w:numPr>
        <w:ilvl w:val="0"/>
        <w:numId w:val="0"/>
      </w:numPr>
      <w:spacing w:line="360" w:lineRule="auto"/>
      <w:ind w:firstLine="709" w:left="0"/>
      <w:jc w:val="both"/>
    </w:pPr>
    <w:rPr>
      <w:rFonts w:ascii="Times New Roman" w:hAnsi="Times New Roman"/>
      <w:sz w:val="24"/>
    </w:rPr>
  </w:style>
  <w:style w:styleId="Style_91_ch" w:type="character">
    <w:name w:val="Стиль Заголовок 3 + Times New Roman 12 пт"/>
    <w:basedOn w:val="Style_50_ch"/>
    <w:link w:val="Style_91"/>
    <w:rPr>
      <w:rFonts w:ascii="Times New Roman" w:hAnsi="Times New Roman"/>
      <w:sz w:val="24"/>
    </w:rPr>
  </w:style>
  <w:style w:styleId="Style_92" w:type="paragraph">
    <w:name w:val="Основной текст 21"/>
    <w:basedOn w:val="Style_5"/>
    <w:link w:val="Style_92_ch"/>
    <w:pPr>
      <w:widowControl w:val="0"/>
      <w:ind/>
      <w:jc w:val="center"/>
    </w:pPr>
    <w:rPr>
      <w:b w:val="1"/>
      <w:sz w:val="28"/>
    </w:rPr>
  </w:style>
  <w:style w:styleId="Style_92_ch" w:type="character">
    <w:name w:val="Основной текст 21"/>
    <w:basedOn w:val="Style_5_ch"/>
    <w:link w:val="Style_92"/>
    <w:rPr>
      <w:b w:val="1"/>
      <w:sz w:val="28"/>
    </w:rPr>
  </w:style>
  <w:style w:styleId="Style_93" w:type="paragraph">
    <w:name w:val="Стиль7"/>
    <w:basedOn w:val="Style_94"/>
    <w:link w:val="Style_93_ch"/>
    <w:pPr>
      <w:widowControl w:val="0"/>
      <w:ind w:firstLine="426" w:left="0"/>
    </w:pPr>
  </w:style>
  <w:style w:styleId="Style_93_ch" w:type="character">
    <w:name w:val="Стиль7"/>
    <w:basedOn w:val="Style_94_ch"/>
    <w:link w:val="Style_93"/>
  </w:style>
  <w:style w:styleId="Style_95" w:type="paragraph">
    <w:name w:val="xl29"/>
    <w:basedOn w:val="Style_5"/>
    <w:link w:val="Style_95_ch"/>
    <w:pPr>
      <w:widowControl w:val="0"/>
      <w:spacing w:afterAutospacing="on" w:beforeAutospacing="on"/>
      <w:ind/>
    </w:pPr>
    <w:rPr>
      <w:i w:val="1"/>
      <w:color w:val="000000"/>
      <w:sz w:val="24"/>
    </w:rPr>
  </w:style>
  <w:style w:styleId="Style_95_ch" w:type="character">
    <w:name w:val="xl29"/>
    <w:basedOn w:val="Style_5_ch"/>
    <w:link w:val="Style_95"/>
    <w:rPr>
      <w:i w:val="1"/>
      <w:color w:val="000000"/>
      <w:sz w:val="24"/>
    </w:rPr>
  </w:style>
  <w:style w:styleId="Style_96" w:type="paragraph">
    <w:name w:val="xl28"/>
    <w:basedOn w:val="Style_5"/>
    <w:link w:val="Style_96_ch"/>
    <w:pPr>
      <w:widowControl w:val="0"/>
      <w:spacing w:afterAutospacing="on" w:beforeAutospacing="on"/>
      <w:ind/>
    </w:pPr>
    <w:rPr>
      <w:color w:val="000000"/>
      <w:sz w:val="24"/>
    </w:rPr>
  </w:style>
  <w:style w:styleId="Style_96_ch" w:type="character">
    <w:name w:val="xl28"/>
    <w:basedOn w:val="Style_5_ch"/>
    <w:link w:val="Style_96"/>
    <w:rPr>
      <w:color w:val="000000"/>
      <w:sz w:val="24"/>
    </w:rPr>
  </w:style>
  <w:style w:styleId="Style_97" w:type="paragraph">
    <w:name w:val="Plain Text"/>
    <w:basedOn w:val="Style_5"/>
    <w:link w:val="Style_97_ch"/>
    <w:rPr>
      <w:rFonts w:ascii="Courier New" w:hAnsi="Courier New"/>
    </w:rPr>
  </w:style>
  <w:style w:styleId="Style_97_ch" w:type="character">
    <w:name w:val="Plain Text"/>
    <w:basedOn w:val="Style_5_ch"/>
    <w:link w:val="Style_97"/>
    <w:rPr>
      <w:rFonts w:ascii="Courier New" w:hAnsi="Courier New"/>
    </w:rPr>
  </w:style>
  <w:style w:styleId="Style_98" w:type="paragraph">
    <w:name w:val="toc 3"/>
    <w:basedOn w:val="Style_5"/>
    <w:next w:val="Style_5"/>
    <w:link w:val="Style_98_ch"/>
    <w:uiPriority w:val="39"/>
    <w:pPr>
      <w:widowControl w:val="0"/>
      <w:ind w:firstLine="0" w:left="400"/>
    </w:pPr>
  </w:style>
  <w:style w:styleId="Style_98_ch" w:type="character">
    <w:name w:val="toc 3"/>
    <w:basedOn w:val="Style_5_ch"/>
    <w:link w:val="Style_98"/>
  </w:style>
  <w:style w:styleId="Style_85" w:type="paragraph">
    <w:name w:val="annotation text"/>
    <w:basedOn w:val="Style_5"/>
    <w:link w:val="Style_85_ch"/>
  </w:style>
  <w:style w:styleId="Style_85_ch" w:type="character">
    <w:name w:val="annotation text"/>
    <w:basedOn w:val="Style_5_ch"/>
    <w:link w:val="Style_85"/>
  </w:style>
  <w:style w:styleId="Style_99" w:type="paragraph">
    <w:name w:val="текст таблицы"/>
    <w:basedOn w:val="Style_5"/>
    <w:link w:val="Style_99_ch"/>
    <w:pPr>
      <w:widowControl w:val="0"/>
      <w:spacing w:before="120"/>
      <w:ind w:right="-102"/>
    </w:pPr>
    <w:rPr>
      <w:sz w:val="24"/>
    </w:rPr>
  </w:style>
  <w:style w:styleId="Style_99_ch" w:type="character">
    <w:name w:val="текст таблицы"/>
    <w:basedOn w:val="Style_5_ch"/>
    <w:link w:val="Style_99"/>
    <w:rPr>
      <w:sz w:val="24"/>
    </w:rPr>
  </w:style>
  <w:style w:styleId="Style_100" w:type="paragraph">
    <w:name w:val="Стиль3 Знак"/>
    <w:basedOn w:val="Style_7"/>
    <w:link w:val="Style_100_ch"/>
    <w:pPr>
      <w:widowControl w:val="0"/>
      <w:tabs>
        <w:tab w:leader="none" w:pos="1307" w:val="left"/>
      </w:tabs>
      <w:spacing w:after="0" w:line="240" w:lineRule="auto"/>
      <w:ind w:firstLine="0" w:left="1080"/>
      <w:jc w:val="both"/>
    </w:pPr>
    <w:rPr>
      <w:sz w:val="24"/>
    </w:rPr>
  </w:style>
  <w:style w:styleId="Style_100_ch" w:type="character">
    <w:name w:val="Стиль3 Знак"/>
    <w:basedOn w:val="Style_7_ch"/>
    <w:link w:val="Style_100"/>
    <w:rPr>
      <w:sz w:val="24"/>
    </w:rPr>
  </w:style>
  <w:style w:styleId="Style_101" w:type="paragraph">
    <w:name w:val="Основной текст2"/>
    <w:basedOn w:val="Style_5"/>
    <w:link w:val="Style_101_ch"/>
    <w:pPr>
      <w:widowControl w:val="0"/>
      <w:ind/>
      <w:jc w:val="both"/>
    </w:pPr>
    <w:rPr>
      <w:sz w:val="24"/>
    </w:rPr>
  </w:style>
  <w:style w:styleId="Style_101_ch" w:type="character">
    <w:name w:val="Основной текст2"/>
    <w:basedOn w:val="Style_5_ch"/>
    <w:link w:val="Style_101"/>
    <w:rPr>
      <w:sz w:val="24"/>
    </w:rPr>
  </w:style>
  <w:style w:styleId="Style_102" w:type="paragraph">
    <w:name w:val="xl24"/>
    <w:basedOn w:val="Style_5"/>
    <w:link w:val="Style_102_ch"/>
    <w:pPr>
      <w:widowControl w:val="0"/>
      <w:spacing w:afterAutospacing="on" w:beforeAutospacing="on"/>
      <w:ind/>
      <w:jc w:val="right"/>
    </w:pPr>
    <w:rPr>
      <w:i w:val="1"/>
      <w:color w:val="000000"/>
      <w:sz w:val="24"/>
    </w:rPr>
  </w:style>
  <w:style w:styleId="Style_102_ch" w:type="character">
    <w:name w:val="xl24"/>
    <w:basedOn w:val="Style_5_ch"/>
    <w:link w:val="Style_102"/>
    <w:rPr>
      <w:i w:val="1"/>
      <w:color w:val="000000"/>
      <w:sz w:val="24"/>
    </w:rPr>
  </w:style>
  <w:style w:styleId="Style_103" w:type="paragraph">
    <w:name w:val="Char Char"/>
    <w:basedOn w:val="Style_5"/>
    <w:link w:val="Style_103_ch"/>
    <w:pPr>
      <w:widowControl w:val="0"/>
      <w:spacing w:after="160" w:line="240" w:lineRule="exact"/>
      <w:ind/>
    </w:pPr>
    <w:rPr>
      <w:rFonts w:ascii="Verdana" w:hAnsi="Verdana"/>
    </w:rPr>
  </w:style>
  <w:style w:styleId="Style_103_ch" w:type="character">
    <w:name w:val="Char Char"/>
    <w:basedOn w:val="Style_5_ch"/>
    <w:link w:val="Style_103"/>
    <w:rPr>
      <w:rFonts w:ascii="Verdana" w:hAnsi="Verdana"/>
    </w:rPr>
  </w:style>
  <w:style w:styleId="Style_104" w:type="paragraph">
    <w:name w:val="page number"/>
    <w:basedOn w:val="Style_105"/>
    <w:link w:val="Style_104_ch"/>
  </w:style>
  <w:style w:styleId="Style_104_ch" w:type="character">
    <w:name w:val="page number"/>
    <w:basedOn w:val="Style_105_ch"/>
    <w:link w:val="Style_104"/>
  </w:style>
  <w:style w:styleId="Style_7" w:type="paragraph">
    <w:name w:val="Body Text Indent 2"/>
    <w:basedOn w:val="Style_5"/>
    <w:link w:val="Style_7_ch"/>
    <w:pPr>
      <w:widowControl w:val="0"/>
      <w:spacing w:after="120" w:line="480" w:lineRule="auto"/>
      <w:ind w:firstLine="0" w:left="283"/>
    </w:pPr>
  </w:style>
  <w:style w:styleId="Style_7_ch" w:type="character">
    <w:name w:val="Body Text Indent 2"/>
    <w:basedOn w:val="Style_5_ch"/>
    <w:link w:val="Style_7"/>
  </w:style>
  <w:style w:styleId="Style_106" w:type="paragraph">
    <w:name w:val="Стиль2"/>
    <w:basedOn w:val="Style_5"/>
    <w:link w:val="Style_106_ch"/>
    <w:pPr>
      <w:widowControl w:val="0"/>
      <w:ind w:firstLine="426" w:left="0"/>
      <w:jc w:val="both"/>
    </w:pPr>
    <w:rPr>
      <w:sz w:val="24"/>
    </w:rPr>
  </w:style>
  <w:style w:styleId="Style_106_ch" w:type="character">
    <w:name w:val="Стиль2"/>
    <w:basedOn w:val="Style_5_ch"/>
    <w:link w:val="Style_106"/>
    <w:rPr>
      <w:sz w:val="24"/>
    </w:rPr>
  </w:style>
  <w:style w:styleId="Style_107" w:type="paragraph">
    <w:name w:val="ConsPlusNormal"/>
    <w:link w:val="Style_107_ch"/>
    <w:pPr>
      <w:widowControl w:val="0"/>
      <w:ind w:firstLine="720" w:left="0"/>
    </w:pPr>
    <w:rPr>
      <w:rFonts w:ascii="Arial" w:hAnsi="Arial"/>
    </w:rPr>
  </w:style>
  <w:style w:styleId="Style_107_ch" w:type="character">
    <w:name w:val="ConsPlusNormal"/>
    <w:link w:val="Style_107"/>
    <w:rPr>
      <w:rFonts w:ascii="Arial" w:hAnsi="Arial"/>
    </w:rPr>
  </w:style>
  <w:style w:styleId="Style_108" w:type="paragraph">
    <w:name w:val="4. Текст"/>
    <w:basedOn w:val="Style_85"/>
    <w:link w:val="Style_108_ch"/>
    <w:pPr>
      <w:widowControl w:val="0"/>
      <w:spacing w:line="288" w:lineRule="auto"/>
      <w:ind w:firstLine="567" w:left="0"/>
      <w:jc w:val="both"/>
    </w:pPr>
    <w:rPr>
      <w:smallCaps w:val="1"/>
      <w:color w:val="000000"/>
      <w:spacing w:val="2"/>
      <w:sz w:val="24"/>
    </w:rPr>
  </w:style>
  <w:style w:styleId="Style_108_ch" w:type="character">
    <w:name w:val="4. Текст"/>
    <w:basedOn w:val="Style_85_ch"/>
    <w:link w:val="Style_108"/>
    <w:rPr>
      <w:smallCaps w:val="1"/>
      <w:color w:val="000000"/>
      <w:spacing w:val="2"/>
      <w:sz w:val="24"/>
    </w:rPr>
  </w:style>
  <w:style w:styleId="Style_109" w:type="paragraph">
    <w:name w:val="xl80"/>
    <w:basedOn w:val="Style_5"/>
    <w:link w:val="Style_109_ch"/>
    <w:pPr>
      <w:widowControl w:val="0"/>
      <w:spacing w:afterAutospacing="on" w:beforeAutospacing="on"/>
      <w:ind/>
    </w:pPr>
    <w:rPr>
      <w:i w:val="1"/>
      <w:sz w:val="28"/>
    </w:rPr>
  </w:style>
  <w:style w:styleId="Style_109_ch" w:type="character">
    <w:name w:val="xl80"/>
    <w:basedOn w:val="Style_5_ch"/>
    <w:link w:val="Style_109"/>
    <w:rPr>
      <w:i w:val="1"/>
      <w:sz w:val="28"/>
    </w:rPr>
  </w:style>
  <w:style w:styleId="Style_110" w:type="paragraph">
    <w:name w:val="xl93"/>
    <w:basedOn w:val="Style_5"/>
    <w:link w:val="Style_110_ch"/>
    <w:pPr>
      <w:widowControl w:val="0"/>
      <w:spacing w:afterAutospacing="on" w:beforeAutospacing="on"/>
      <w:ind/>
    </w:pPr>
    <w:rPr>
      <w:sz w:val="24"/>
    </w:rPr>
  </w:style>
  <w:style w:styleId="Style_110_ch" w:type="character">
    <w:name w:val="xl93"/>
    <w:basedOn w:val="Style_5_ch"/>
    <w:link w:val="Style_110"/>
    <w:rPr>
      <w:sz w:val="24"/>
    </w:rPr>
  </w:style>
  <w:style w:styleId="Style_105" w:type="paragraph">
    <w:name w:val="Default Paragraph Font"/>
    <w:link w:val="Style_105_ch"/>
  </w:style>
  <w:style w:styleId="Style_105_ch" w:type="character">
    <w:name w:val="Default Paragraph Font"/>
    <w:link w:val="Style_105"/>
  </w:style>
  <w:style w:styleId="Style_111" w:type="paragraph">
    <w:name w:val="heading 5"/>
    <w:basedOn w:val="Style_5"/>
    <w:next w:val="Style_5"/>
    <w:link w:val="Style_111_ch"/>
    <w:uiPriority w:val="9"/>
    <w:qFormat/>
    <w:pPr>
      <w:widowControl w:val="0"/>
      <w:numPr>
        <w:ilvl w:val="4"/>
        <w:numId w:val="5"/>
      </w:numPr>
      <w:spacing w:after="60" w:before="240"/>
      <w:ind/>
      <w:outlineLvl w:val="4"/>
    </w:pPr>
    <w:rPr>
      <w:b w:val="1"/>
      <w:i w:val="1"/>
      <w:sz w:val="26"/>
    </w:rPr>
  </w:style>
  <w:style w:styleId="Style_111_ch" w:type="character">
    <w:name w:val="heading 5"/>
    <w:basedOn w:val="Style_5_ch"/>
    <w:link w:val="Style_111"/>
    <w:rPr>
      <w:b w:val="1"/>
      <w:i w:val="1"/>
      <w:sz w:val="26"/>
    </w:rPr>
  </w:style>
  <w:style w:styleId="Style_112" w:type="paragraph">
    <w:name w:val="xl26"/>
    <w:basedOn w:val="Style_5"/>
    <w:link w:val="Style_112_ch"/>
    <w:pPr>
      <w:widowControl w:val="0"/>
      <w:spacing w:afterAutospacing="on" w:beforeAutospacing="on"/>
      <w:ind/>
      <w:jc w:val="right"/>
    </w:pPr>
    <w:rPr>
      <w:b w:val="1"/>
      <w:color w:val="000000"/>
      <w:sz w:val="24"/>
    </w:rPr>
  </w:style>
  <w:style w:styleId="Style_112_ch" w:type="character">
    <w:name w:val="xl26"/>
    <w:basedOn w:val="Style_5_ch"/>
    <w:link w:val="Style_112"/>
    <w:rPr>
      <w:b w:val="1"/>
      <w:color w:val="000000"/>
      <w:sz w:val="24"/>
    </w:rPr>
  </w:style>
  <w:style w:styleId="Style_113" w:type="paragraph">
    <w:name w:val="xl92"/>
    <w:basedOn w:val="Style_5"/>
    <w:link w:val="Style_113_ch"/>
    <w:pPr>
      <w:widowControl w:val="0"/>
      <w:spacing w:afterAutospacing="on" w:beforeAutospacing="on"/>
      <w:ind/>
      <w:jc w:val="center"/>
    </w:pPr>
    <w:rPr>
      <w:sz w:val="24"/>
    </w:rPr>
  </w:style>
  <w:style w:styleId="Style_113_ch" w:type="character">
    <w:name w:val="xl92"/>
    <w:basedOn w:val="Style_5_ch"/>
    <w:link w:val="Style_113"/>
    <w:rPr>
      <w:sz w:val="24"/>
    </w:rPr>
  </w:style>
  <w:style w:styleId="Style_114" w:type="paragraph">
    <w:name w:val="Body Text Indent 3"/>
    <w:basedOn w:val="Style_5"/>
    <w:link w:val="Style_114_ch"/>
    <w:pPr>
      <w:widowControl w:val="0"/>
      <w:spacing w:before="240"/>
      <w:ind w:hanging="680" w:left="680"/>
      <w:jc w:val="both"/>
    </w:pPr>
    <w:rPr>
      <w:sz w:val="22"/>
    </w:rPr>
  </w:style>
  <w:style w:styleId="Style_114_ch" w:type="character">
    <w:name w:val="Body Text Indent 3"/>
    <w:basedOn w:val="Style_5_ch"/>
    <w:link w:val="Style_114"/>
    <w:rPr>
      <w:sz w:val="22"/>
    </w:rPr>
  </w:style>
  <w:style w:styleId="Style_48" w:type="paragraph">
    <w:name w:val="Стиль1"/>
    <w:basedOn w:val="Style_5"/>
    <w:link w:val="Style_48_ch"/>
    <w:pPr>
      <w:widowControl w:val="0"/>
      <w:ind/>
      <w:jc w:val="center"/>
    </w:pPr>
    <w:rPr>
      <w:b w:val="1"/>
      <w:sz w:val="28"/>
    </w:rPr>
  </w:style>
  <w:style w:styleId="Style_48_ch" w:type="character">
    <w:name w:val="Стиль1"/>
    <w:basedOn w:val="Style_5_ch"/>
    <w:link w:val="Style_48"/>
    <w:rPr>
      <w:b w:val="1"/>
      <w:sz w:val="28"/>
    </w:rPr>
  </w:style>
  <w:style w:styleId="Style_115" w:type="paragraph">
    <w:name w:val="xl69"/>
    <w:basedOn w:val="Style_5"/>
    <w:link w:val="Style_115_ch"/>
    <w:pPr>
      <w:widowControl w:val="0"/>
      <w:spacing w:afterAutospacing="on" w:beforeAutospacing="on"/>
      <w:ind/>
      <w:jc w:val="center"/>
    </w:pPr>
    <w:rPr>
      <w:rFonts w:ascii="Arial" w:hAnsi="Arial"/>
      <w:color w:val="000000"/>
    </w:rPr>
  </w:style>
  <w:style w:styleId="Style_115_ch" w:type="character">
    <w:name w:val="xl69"/>
    <w:basedOn w:val="Style_5_ch"/>
    <w:link w:val="Style_115"/>
    <w:rPr>
      <w:rFonts w:ascii="Arial" w:hAnsi="Arial"/>
      <w:color w:val="000000"/>
    </w:rPr>
  </w:style>
  <w:style w:styleId="Style_116" w:type="paragraph">
    <w:name w:val="заг_центр"/>
    <w:basedOn w:val="Style_5"/>
    <w:link w:val="Style_116_ch"/>
    <w:pPr>
      <w:widowControl w:val="0"/>
      <w:spacing w:before="57"/>
      <w:ind w:firstLine="0" w:left="283" w:right="283"/>
      <w:jc w:val="center"/>
    </w:pPr>
    <w:rPr>
      <w:rFonts w:ascii="AvantGardeGothicC" w:hAnsi="AvantGardeGothicC"/>
      <w:b w:val="1"/>
      <w:i w:val="1"/>
      <w:sz w:val="24"/>
    </w:rPr>
  </w:style>
  <w:style w:styleId="Style_116_ch" w:type="character">
    <w:name w:val="заг_центр"/>
    <w:basedOn w:val="Style_5_ch"/>
    <w:link w:val="Style_116"/>
    <w:rPr>
      <w:rFonts w:ascii="AvantGardeGothicC" w:hAnsi="AvantGardeGothicC"/>
      <w:b w:val="1"/>
      <w:i w:val="1"/>
      <w:sz w:val="24"/>
    </w:rPr>
  </w:style>
  <w:style w:styleId="Style_3" w:type="paragraph">
    <w:name w:val="heading 1"/>
    <w:basedOn w:val="Style_5"/>
    <w:next w:val="Style_5"/>
    <w:link w:val="Style_3_ch"/>
    <w:uiPriority w:val="9"/>
    <w:qFormat/>
    <w:pPr>
      <w:keepNext w:val="1"/>
      <w:widowControl w:val="0"/>
      <w:numPr>
        <w:ilvl w:val="0"/>
        <w:numId w:val="5"/>
      </w:numPr>
      <w:spacing w:after="120" w:before="120" w:line="360" w:lineRule="auto"/>
      <w:ind/>
      <w:outlineLvl w:val="0"/>
    </w:pPr>
    <w:rPr>
      <w:b w:val="1"/>
      <w:sz w:val="32"/>
    </w:rPr>
  </w:style>
  <w:style w:styleId="Style_3_ch" w:type="character">
    <w:name w:val="heading 1"/>
    <w:basedOn w:val="Style_5_ch"/>
    <w:link w:val="Style_3"/>
    <w:rPr>
      <w:b w:val="1"/>
      <w:sz w:val="32"/>
    </w:rPr>
  </w:style>
  <w:style w:styleId="Style_117" w:type="paragraph">
    <w:name w:val="xl71"/>
    <w:basedOn w:val="Style_5"/>
    <w:link w:val="Style_117_ch"/>
    <w:pPr>
      <w:widowControl w:val="0"/>
      <w:spacing w:afterAutospacing="on" w:beforeAutospacing="on"/>
      <w:ind/>
      <w:jc w:val="center"/>
    </w:pPr>
    <w:rPr>
      <w:rFonts w:ascii="Courier New" w:hAnsi="Courier New"/>
      <w:color w:val="000000"/>
    </w:rPr>
  </w:style>
  <w:style w:styleId="Style_117_ch" w:type="character">
    <w:name w:val="xl71"/>
    <w:basedOn w:val="Style_5_ch"/>
    <w:link w:val="Style_117"/>
    <w:rPr>
      <w:rFonts w:ascii="Courier New" w:hAnsi="Courier New"/>
      <w:color w:val="000000"/>
    </w:rPr>
  </w:style>
  <w:style w:styleId="Style_118" w:type="paragraph">
    <w:name w:val="HTML Preformatted"/>
    <w:basedOn w:val="Style_5"/>
    <w:link w:val="Style_118_ch"/>
    <w:pPr>
      <w:widowControl w:val="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pPr>
    <w:rPr>
      <w:rFonts w:ascii="Arial Unicode MS" w:hAnsi="Arial Unicode MS"/>
    </w:rPr>
  </w:style>
  <w:style w:styleId="Style_118_ch" w:type="character">
    <w:name w:val="HTML Preformatted"/>
    <w:basedOn w:val="Style_5_ch"/>
    <w:link w:val="Style_118"/>
    <w:rPr>
      <w:rFonts w:ascii="Arial Unicode MS" w:hAnsi="Arial Unicode MS"/>
    </w:rPr>
  </w:style>
  <w:style w:styleId="Style_119" w:type="paragraph">
    <w:name w:val="font5"/>
    <w:basedOn w:val="Style_5"/>
    <w:link w:val="Style_119_ch"/>
    <w:pPr>
      <w:widowControl w:val="0"/>
      <w:spacing w:afterAutospacing="on" w:beforeAutospacing="on"/>
      <w:ind/>
    </w:pPr>
    <w:rPr>
      <w:color w:val="000000"/>
      <w:sz w:val="28"/>
    </w:rPr>
  </w:style>
  <w:style w:styleId="Style_119_ch" w:type="character">
    <w:name w:val="font5"/>
    <w:basedOn w:val="Style_5_ch"/>
    <w:link w:val="Style_119"/>
    <w:rPr>
      <w:color w:val="000000"/>
      <w:sz w:val="28"/>
    </w:rPr>
  </w:style>
  <w:style w:styleId="Style_120" w:type="paragraph">
    <w:name w:val="xl99"/>
    <w:basedOn w:val="Style_5"/>
    <w:link w:val="Style_120_ch"/>
    <w:pPr>
      <w:widowControl w:val="0"/>
      <w:spacing w:afterAutospacing="on" w:beforeAutospacing="on"/>
      <w:ind/>
    </w:pPr>
    <w:rPr>
      <w:sz w:val="24"/>
    </w:rPr>
  </w:style>
  <w:style w:styleId="Style_120_ch" w:type="character">
    <w:name w:val="xl99"/>
    <w:basedOn w:val="Style_5_ch"/>
    <w:link w:val="Style_120"/>
    <w:rPr>
      <w:sz w:val="24"/>
    </w:rPr>
  </w:style>
  <w:style w:styleId="Style_121" w:type="paragraph">
    <w:name w:val="2-11"/>
    <w:basedOn w:val="Style_5"/>
    <w:link w:val="Style_121_ch"/>
    <w:pPr>
      <w:widowControl w:val="0"/>
      <w:spacing w:after="60"/>
      <w:ind/>
      <w:jc w:val="both"/>
    </w:pPr>
    <w:rPr>
      <w:sz w:val="24"/>
    </w:rPr>
  </w:style>
  <w:style w:styleId="Style_121_ch" w:type="character">
    <w:name w:val="2-11"/>
    <w:basedOn w:val="Style_5_ch"/>
    <w:link w:val="Style_121"/>
    <w:rPr>
      <w:sz w:val="24"/>
    </w:rPr>
  </w:style>
  <w:style w:styleId="Style_122" w:type="paragraph">
    <w:name w:val="WW-Название объекта"/>
    <w:basedOn w:val="Style_5"/>
    <w:next w:val="Style_5"/>
    <w:link w:val="Style_122_ch"/>
    <w:pPr>
      <w:widowControl w:val="0"/>
      <w:ind w:firstLine="5220" w:left="360"/>
      <w:jc w:val="both"/>
    </w:pPr>
    <w:rPr>
      <w:sz w:val="28"/>
    </w:rPr>
  </w:style>
  <w:style w:styleId="Style_122_ch" w:type="character">
    <w:name w:val="WW-Название объекта"/>
    <w:basedOn w:val="Style_5_ch"/>
    <w:link w:val="Style_122"/>
    <w:rPr>
      <w:sz w:val="28"/>
    </w:rPr>
  </w:style>
  <w:style w:styleId="Style_123" w:type="paragraph">
    <w:name w:val="consplusnormal"/>
    <w:basedOn w:val="Style_5"/>
    <w:link w:val="Style_123_ch"/>
    <w:pPr>
      <w:widowControl w:val="0"/>
      <w:spacing w:afterAutospacing="on" w:beforeAutospacing="on"/>
      <w:ind/>
    </w:pPr>
    <w:rPr>
      <w:sz w:val="24"/>
    </w:rPr>
  </w:style>
  <w:style w:styleId="Style_123_ch" w:type="character">
    <w:name w:val="consplusnormal"/>
    <w:basedOn w:val="Style_5_ch"/>
    <w:link w:val="Style_123"/>
    <w:rPr>
      <w:sz w:val="24"/>
    </w:rPr>
  </w:style>
  <w:style w:styleId="Style_124" w:type="paragraph">
    <w:name w:val="Iniiaiie oaeno"/>
    <w:basedOn w:val="Style_5"/>
    <w:link w:val="Style_124_ch"/>
    <w:pPr>
      <w:widowControl w:val="0"/>
      <w:ind/>
      <w:jc w:val="center"/>
    </w:pPr>
    <w:rPr>
      <w:rFonts w:ascii="Arial" w:hAnsi="Arial"/>
      <w:sz w:val="24"/>
    </w:rPr>
  </w:style>
  <w:style w:styleId="Style_124_ch" w:type="character">
    <w:name w:val="Iniiaiie oaeno"/>
    <w:basedOn w:val="Style_5_ch"/>
    <w:link w:val="Style_124"/>
    <w:rPr>
      <w:rFonts w:ascii="Arial" w:hAnsi="Arial"/>
      <w:sz w:val="24"/>
    </w:rPr>
  </w:style>
  <w:style w:styleId="Style_125" w:type="paragraph">
    <w:name w:val="Hyperlink"/>
    <w:link w:val="Style_125_ch"/>
    <w:rPr>
      <w:color w:val="0000FF"/>
      <w:u w:val="single"/>
    </w:rPr>
  </w:style>
  <w:style w:styleId="Style_125_ch" w:type="character">
    <w:name w:val="Hyperlink"/>
    <w:link w:val="Style_125"/>
    <w:rPr>
      <w:color w:val="0000FF"/>
      <w:u w:val="single"/>
    </w:rPr>
  </w:style>
  <w:style w:styleId="Style_126" w:type="paragraph">
    <w:name w:val="Footnote"/>
    <w:basedOn w:val="Style_5"/>
    <w:link w:val="Style_126_ch"/>
  </w:style>
  <w:style w:styleId="Style_126_ch" w:type="character">
    <w:name w:val="Footnote"/>
    <w:basedOn w:val="Style_5_ch"/>
    <w:link w:val="Style_126"/>
  </w:style>
  <w:style w:styleId="Style_127" w:type="paragraph">
    <w:name w:val="heading 8"/>
    <w:basedOn w:val="Style_5"/>
    <w:next w:val="Style_5"/>
    <w:link w:val="Style_127_ch"/>
    <w:uiPriority w:val="9"/>
    <w:qFormat/>
    <w:pPr>
      <w:widowControl w:val="0"/>
      <w:spacing w:after="60" w:before="240"/>
      <w:ind/>
      <w:outlineLvl w:val="7"/>
    </w:pPr>
    <w:rPr>
      <w:i w:val="1"/>
      <w:sz w:val="24"/>
    </w:rPr>
  </w:style>
  <w:style w:styleId="Style_127_ch" w:type="character">
    <w:name w:val="heading 8"/>
    <w:basedOn w:val="Style_5_ch"/>
    <w:link w:val="Style_127"/>
    <w:rPr>
      <w:i w:val="1"/>
      <w:sz w:val="24"/>
    </w:rPr>
  </w:style>
  <w:style w:styleId="Style_128" w:type="paragraph">
    <w:name w:val="Обычный2"/>
    <w:link w:val="Style_128_ch"/>
  </w:style>
  <w:style w:styleId="Style_128_ch" w:type="character">
    <w:name w:val="Обычный2"/>
    <w:link w:val="Style_128"/>
  </w:style>
  <w:style w:styleId="Style_129" w:type="paragraph">
    <w:name w:val="xl23"/>
    <w:basedOn w:val="Style_5"/>
    <w:link w:val="Style_129_ch"/>
    <w:pPr>
      <w:widowControl w:val="0"/>
      <w:spacing w:afterAutospacing="on" w:beforeAutospacing="on"/>
      <w:ind/>
      <w:jc w:val="right"/>
    </w:pPr>
    <w:rPr>
      <w:color w:val="000000"/>
      <w:sz w:val="24"/>
    </w:rPr>
  </w:style>
  <w:style w:styleId="Style_129_ch" w:type="character">
    <w:name w:val="xl23"/>
    <w:basedOn w:val="Style_5_ch"/>
    <w:link w:val="Style_129"/>
    <w:rPr>
      <w:color w:val="000000"/>
      <w:sz w:val="24"/>
    </w:rPr>
  </w:style>
  <w:style w:styleId="Style_130" w:type="paragraph">
    <w:name w:val="ConsNormal"/>
    <w:link w:val="Style_130_ch"/>
    <w:pPr>
      <w:widowControl w:val="0"/>
      <w:ind w:firstLine="720" w:left="0" w:right="19772"/>
    </w:pPr>
    <w:rPr>
      <w:rFonts w:ascii="Arial" w:hAnsi="Arial"/>
    </w:rPr>
  </w:style>
  <w:style w:styleId="Style_130_ch" w:type="character">
    <w:name w:val="ConsNormal"/>
    <w:link w:val="Style_130"/>
    <w:rPr>
      <w:rFonts w:ascii="Arial" w:hAnsi="Arial"/>
    </w:rPr>
  </w:style>
  <w:style w:styleId="Style_131" w:type="paragraph">
    <w:name w:val="toc 1"/>
    <w:basedOn w:val="Style_5"/>
    <w:next w:val="Style_5"/>
    <w:link w:val="Style_131_ch"/>
    <w:uiPriority w:val="39"/>
  </w:style>
  <w:style w:styleId="Style_131_ch" w:type="character">
    <w:name w:val="toc 1"/>
    <w:basedOn w:val="Style_5_ch"/>
    <w:link w:val="Style_131"/>
  </w:style>
  <w:style w:styleId="Style_132" w:type="paragraph">
    <w:name w:val="Header and Footer"/>
    <w:link w:val="Style_132_ch"/>
    <w:pPr>
      <w:widowControl w:val="0"/>
      <w:spacing w:line="240" w:lineRule="auto"/>
      <w:ind/>
      <w:jc w:val="both"/>
    </w:pPr>
    <w:rPr>
      <w:rFonts w:ascii="XO Thames" w:hAnsi="XO Thames"/>
      <w:sz w:val="28"/>
    </w:rPr>
  </w:style>
  <w:style w:styleId="Style_132_ch" w:type="character">
    <w:name w:val="Header and Footer"/>
    <w:link w:val="Style_132"/>
    <w:rPr>
      <w:rFonts w:ascii="XO Thames" w:hAnsi="XO Thames"/>
      <w:sz w:val="28"/>
    </w:rPr>
  </w:style>
  <w:style w:styleId="Style_133" w:type="paragraph">
    <w:name w:val="Контракт-пункт"/>
    <w:basedOn w:val="Style_5"/>
    <w:link w:val="Style_133_ch"/>
    <w:pPr>
      <w:widowControl w:val="0"/>
      <w:tabs>
        <w:tab w:leader="none" w:pos="680" w:val="left"/>
        <w:tab w:leader="none" w:pos="1440" w:val="left"/>
      </w:tabs>
      <w:spacing w:after="60"/>
      <w:ind w:firstLine="567" w:left="1440"/>
      <w:jc w:val="both"/>
    </w:pPr>
    <w:rPr>
      <w:sz w:val="24"/>
    </w:rPr>
  </w:style>
  <w:style w:styleId="Style_133_ch" w:type="character">
    <w:name w:val="Контракт-пункт"/>
    <w:basedOn w:val="Style_5_ch"/>
    <w:link w:val="Style_133"/>
    <w:rPr>
      <w:sz w:val="24"/>
    </w:rPr>
  </w:style>
  <w:style w:styleId="Style_134" w:type="paragraph">
    <w:name w:val="xl27"/>
    <w:basedOn w:val="Style_5"/>
    <w:link w:val="Style_134_ch"/>
    <w:pPr>
      <w:widowControl w:val="0"/>
      <w:spacing w:afterAutospacing="on" w:beforeAutospacing="on"/>
      <w:ind/>
    </w:pPr>
    <w:rPr>
      <w:color w:val="000000"/>
      <w:sz w:val="24"/>
    </w:rPr>
  </w:style>
  <w:style w:styleId="Style_134_ch" w:type="character">
    <w:name w:val="xl27"/>
    <w:basedOn w:val="Style_5_ch"/>
    <w:link w:val="Style_134"/>
    <w:rPr>
      <w:color w:val="000000"/>
      <w:sz w:val="24"/>
    </w:rPr>
  </w:style>
  <w:style w:styleId="Style_135" w:type="paragraph">
    <w:name w:val="Заголовок 4.H4"/>
    <w:basedOn w:val="Style_5"/>
    <w:next w:val="Style_5"/>
    <w:link w:val="Style_135_ch"/>
    <w:pPr>
      <w:widowControl w:val="0"/>
      <w:spacing w:before="120"/>
      <w:ind/>
    </w:pPr>
    <w:rPr>
      <w:sz w:val="22"/>
    </w:rPr>
  </w:style>
  <w:style w:styleId="Style_135_ch" w:type="character">
    <w:name w:val="Заголовок 4.H4"/>
    <w:basedOn w:val="Style_5_ch"/>
    <w:link w:val="Style_135"/>
    <w:rPr>
      <w:sz w:val="22"/>
    </w:rPr>
  </w:style>
  <w:style w:styleId="Style_136" w:type="paragraph">
    <w:name w:val="xl84"/>
    <w:basedOn w:val="Style_5"/>
    <w:link w:val="Style_136_ch"/>
    <w:pPr>
      <w:widowControl w:val="0"/>
      <w:spacing w:afterAutospacing="on" w:beforeAutospacing="on"/>
      <w:ind/>
      <w:jc w:val="center"/>
    </w:pPr>
    <w:rPr>
      <w:sz w:val="24"/>
    </w:rPr>
  </w:style>
  <w:style w:styleId="Style_136_ch" w:type="character">
    <w:name w:val="xl84"/>
    <w:basedOn w:val="Style_5_ch"/>
    <w:link w:val="Style_136"/>
    <w:rPr>
      <w:sz w:val="24"/>
    </w:rPr>
  </w:style>
  <w:style w:styleId="Style_137" w:type="paragraph">
    <w:name w:val="xl73"/>
    <w:basedOn w:val="Style_5"/>
    <w:link w:val="Style_137_ch"/>
    <w:pPr>
      <w:widowControl w:val="0"/>
      <w:spacing w:afterAutospacing="on" w:beforeAutospacing="on"/>
      <w:ind/>
      <w:jc w:val="center"/>
    </w:pPr>
    <w:rPr>
      <w:color w:val="000000"/>
      <w:sz w:val="21"/>
    </w:rPr>
  </w:style>
  <w:style w:styleId="Style_137_ch" w:type="character">
    <w:name w:val="xl73"/>
    <w:basedOn w:val="Style_5_ch"/>
    <w:link w:val="Style_137"/>
    <w:rPr>
      <w:color w:val="000000"/>
      <w:sz w:val="21"/>
    </w:rPr>
  </w:style>
  <w:style w:styleId="Style_138" w:type="paragraph">
    <w:name w:val="xl81"/>
    <w:basedOn w:val="Style_5"/>
    <w:link w:val="Style_138_ch"/>
    <w:pPr>
      <w:widowControl w:val="0"/>
      <w:spacing w:afterAutospacing="on" w:beforeAutospacing="on"/>
      <w:ind/>
    </w:pPr>
    <w:rPr>
      <w:rFonts w:ascii="Calibri" w:hAnsi="Calibri"/>
      <w:sz w:val="24"/>
    </w:rPr>
  </w:style>
  <w:style w:styleId="Style_138_ch" w:type="character">
    <w:name w:val="xl81"/>
    <w:basedOn w:val="Style_5_ch"/>
    <w:link w:val="Style_138"/>
    <w:rPr>
      <w:rFonts w:ascii="Calibri" w:hAnsi="Calibri"/>
      <w:sz w:val="24"/>
    </w:rPr>
  </w:style>
  <w:style w:styleId="Style_139" w:type="paragraph">
    <w:name w:val="Текст1"/>
    <w:basedOn w:val="Style_5"/>
    <w:link w:val="Style_139_ch"/>
    <w:pPr>
      <w:widowControl w:val="0"/>
      <w:spacing w:line="360" w:lineRule="auto"/>
      <w:ind w:firstLine="720" w:left="0"/>
      <w:jc w:val="both"/>
    </w:pPr>
    <w:rPr>
      <w:sz w:val="28"/>
    </w:rPr>
  </w:style>
  <w:style w:styleId="Style_139_ch" w:type="character">
    <w:name w:val="Текст1"/>
    <w:basedOn w:val="Style_5_ch"/>
    <w:link w:val="Style_139"/>
    <w:rPr>
      <w:sz w:val="28"/>
    </w:rPr>
  </w:style>
  <w:style w:styleId="Style_140" w:type="paragraph">
    <w:name w:val="xl96"/>
    <w:basedOn w:val="Style_5"/>
    <w:link w:val="Style_140_ch"/>
    <w:pPr>
      <w:widowControl w:val="0"/>
      <w:spacing w:afterAutospacing="on" w:beforeAutospacing="on"/>
      <w:ind/>
    </w:pPr>
    <w:rPr>
      <w:sz w:val="24"/>
    </w:rPr>
  </w:style>
  <w:style w:styleId="Style_140_ch" w:type="character">
    <w:name w:val="xl96"/>
    <w:basedOn w:val="Style_5_ch"/>
    <w:link w:val="Style_140"/>
    <w:rPr>
      <w:sz w:val="24"/>
    </w:rPr>
  </w:style>
  <w:style w:styleId="Style_141" w:type="paragraph">
    <w:name w:val="Стиль"/>
    <w:link w:val="Style_141_ch"/>
    <w:pPr>
      <w:widowControl w:val="0"/>
      <w:ind/>
    </w:pPr>
    <w:rPr>
      <w:rFonts w:ascii="Arial" w:hAnsi="Arial"/>
      <w:sz w:val="24"/>
    </w:rPr>
  </w:style>
  <w:style w:styleId="Style_141_ch" w:type="character">
    <w:name w:val="Стиль"/>
    <w:link w:val="Style_141"/>
    <w:rPr>
      <w:rFonts w:ascii="Arial" w:hAnsi="Arial"/>
      <w:sz w:val="24"/>
    </w:rPr>
  </w:style>
  <w:style w:styleId="Style_142" w:type="paragraph">
    <w:name w:val="xl106"/>
    <w:basedOn w:val="Style_5"/>
    <w:link w:val="Style_142_ch"/>
    <w:pPr>
      <w:widowControl w:val="0"/>
      <w:spacing w:afterAutospacing="on" w:beforeAutospacing="on"/>
      <w:ind/>
      <w:jc w:val="right"/>
    </w:pPr>
    <w:rPr>
      <w:sz w:val="24"/>
    </w:rPr>
  </w:style>
  <w:style w:styleId="Style_142_ch" w:type="character">
    <w:name w:val="xl106"/>
    <w:basedOn w:val="Style_5_ch"/>
    <w:link w:val="Style_142"/>
    <w:rPr>
      <w:sz w:val="24"/>
    </w:rPr>
  </w:style>
  <w:style w:styleId="Style_143" w:type="paragraph">
    <w:name w:val="xl90"/>
    <w:basedOn w:val="Style_5"/>
    <w:link w:val="Style_143_ch"/>
    <w:pPr>
      <w:widowControl w:val="0"/>
      <w:spacing w:afterAutospacing="on" w:beforeAutospacing="on"/>
      <w:ind/>
      <w:jc w:val="center"/>
    </w:pPr>
    <w:rPr>
      <w:sz w:val="24"/>
    </w:rPr>
  </w:style>
  <w:style w:styleId="Style_143_ch" w:type="character">
    <w:name w:val="xl90"/>
    <w:basedOn w:val="Style_5_ch"/>
    <w:link w:val="Style_143"/>
    <w:rPr>
      <w:sz w:val="24"/>
    </w:rPr>
  </w:style>
  <w:style w:styleId="Style_144" w:type="paragraph">
    <w:name w:val="toc 9"/>
    <w:next w:val="Style_5"/>
    <w:link w:val="Style_144_ch"/>
    <w:uiPriority w:val="39"/>
    <w:pPr>
      <w:widowControl w:val="0"/>
      <w:ind w:firstLine="0" w:left="1600"/>
      <w:jc w:val="left"/>
    </w:pPr>
    <w:rPr>
      <w:rFonts w:ascii="XO Thames" w:hAnsi="XO Thames"/>
      <w:sz w:val="28"/>
    </w:rPr>
  </w:style>
  <w:style w:styleId="Style_144_ch" w:type="character">
    <w:name w:val="toc 9"/>
    <w:link w:val="Style_144"/>
    <w:rPr>
      <w:rFonts w:ascii="XO Thames" w:hAnsi="XO Thames"/>
      <w:sz w:val="28"/>
    </w:rPr>
  </w:style>
  <w:style w:styleId="Style_145" w:type="paragraph">
    <w:name w:val="xl30"/>
    <w:basedOn w:val="Style_5"/>
    <w:link w:val="Style_145_ch"/>
    <w:pPr>
      <w:widowControl w:val="0"/>
      <w:spacing w:afterAutospacing="on" w:beforeAutospacing="on"/>
      <w:ind/>
    </w:pPr>
    <w:rPr>
      <w:b w:val="1"/>
      <w:color w:val="000000"/>
      <w:sz w:val="24"/>
    </w:rPr>
  </w:style>
  <w:style w:styleId="Style_145_ch" w:type="character">
    <w:name w:val="xl30"/>
    <w:basedOn w:val="Style_5_ch"/>
    <w:link w:val="Style_145"/>
    <w:rPr>
      <w:b w:val="1"/>
      <w:color w:val="000000"/>
      <w:sz w:val="24"/>
    </w:rPr>
  </w:style>
  <w:style w:styleId="Style_146" w:type="paragraph">
    <w:name w:val="xl103"/>
    <w:basedOn w:val="Style_5"/>
    <w:link w:val="Style_146_ch"/>
    <w:pPr>
      <w:widowControl w:val="0"/>
      <w:spacing w:afterAutospacing="on" w:beforeAutospacing="on"/>
      <w:ind/>
      <w:jc w:val="center"/>
    </w:pPr>
    <w:rPr>
      <w:sz w:val="24"/>
    </w:rPr>
  </w:style>
  <w:style w:styleId="Style_146_ch" w:type="character">
    <w:name w:val="xl103"/>
    <w:basedOn w:val="Style_5_ch"/>
    <w:link w:val="Style_146"/>
    <w:rPr>
      <w:sz w:val="24"/>
    </w:rPr>
  </w:style>
  <w:style w:styleId="Style_147" w:type="paragraph">
    <w:name w:val="sZamNoBreakSpace"/>
    <w:link w:val="Style_147_ch"/>
  </w:style>
  <w:style w:styleId="Style_147_ch" w:type="character">
    <w:name w:val="sZamNoBreakSpace"/>
    <w:link w:val="Style_147"/>
  </w:style>
  <w:style w:styleId="Style_148" w:type="paragraph">
    <w:name w:val="ConsNonformat"/>
    <w:link w:val="Style_148_ch"/>
    <w:pPr>
      <w:widowControl w:val="0"/>
      <w:ind w:right="19772"/>
    </w:pPr>
    <w:rPr>
      <w:rFonts w:ascii="Courier New" w:hAnsi="Courier New"/>
      <w:sz w:val="24"/>
    </w:rPr>
  </w:style>
  <w:style w:styleId="Style_148_ch" w:type="character">
    <w:name w:val="ConsNonformat"/>
    <w:link w:val="Style_148"/>
    <w:rPr>
      <w:rFonts w:ascii="Courier New" w:hAnsi="Courier New"/>
      <w:sz w:val="24"/>
    </w:rPr>
  </w:style>
  <w:style w:styleId="Style_149" w:type="paragraph">
    <w:name w:val="footnote reference"/>
    <w:link w:val="Style_149_ch"/>
    <w:rPr>
      <w:vertAlign w:val="superscript"/>
    </w:rPr>
  </w:style>
  <w:style w:styleId="Style_149_ch" w:type="character">
    <w:name w:val="footnote reference"/>
    <w:link w:val="Style_149"/>
    <w:rPr>
      <w:vertAlign w:val="superscript"/>
    </w:rPr>
  </w:style>
  <w:style w:styleId="Style_150" w:type="paragraph">
    <w:name w:val="Block Text"/>
    <w:basedOn w:val="Style_5"/>
    <w:link w:val="Style_150_ch"/>
    <w:pPr>
      <w:widowControl w:val="0"/>
      <w:spacing w:line="278" w:lineRule="exact"/>
      <w:ind w:firstLine="451" w:left="10" w:right="102"/>
    </w:pPr>
    <w:rPr>
      <w:color w:val="000000"/>
      <w:spacing w:val="-9"/>
      <w:sz w:val="25"/>
    </w:rPr>
  </w:style>
  <w:style w:styleId="Style_150_ch" w:type="character">
    <w:name w:val="Block Text"/>
    <w:basedOn w:val="Style_5_ch"/>
    <w:link w:val="Style_150"/>
    <w:rPr>
      <w:color w:val="000000"/>
      <w:spacing w:val="-9"/>
      <w:sz w:val="25"/>
    </w:rPr>
  </w:style>
  <w:style w:styleId="Style_151" w:type="paragraph">
    <w:name w:val="Текст_начало_2"/>
    <w:basedOn w:val="Style_5"/>
    <w:link w:val="Style_151_ch"/>
    <w:pPr>
      <w:widowControl w:val="0"/>
      <w:spacing w:line="360" w:lineRule="exact"/>
      <w:ind/>
      <w:jc w:val="both"/>
    </w:pPr>
    <w:rPr>
      <w:rFonts w:ascii="Arial" w:hAnsi="Arial"/>
      <w:sz w:val="24"/>
    </w:rPr>
  </w:style>
  <w:style w:styleId="Style_151_ch" w:type="character">
    <w:name w:val="Текст_начало_2"/>
    <w:basedOn w:val="Style_5_ch"/>
    <w:link w:val="Style_151"/>
    <w:rPr>
      <w:rFonts w:ascii="Arial" w:hAnsi="Arial"/>
      <w:sz w:val="24"/>
    </w:rPr>
  </w:style>
  <w:style w:styleId="Style_152" w:type="paragraph">
    <w:name w:val="xl77"/>
    <w:basedOn w:val="Style_5"/>
    <w:link w:val="Style_152_ch"/>
    <w:pPr>
      <w:widowControl w:val="0"/>
      <w:spacing w:afterAutospacing="on" w:beforeAutospacing="on"/>
      <w:ind/>
    </w:pPr>
    <w:rPr>
      <w:i w:val="1"/>
      <w:sz w:val="28"/>
    </w:rPr>
  </w:style>
  <w:style w:styleId="Style_152_ch" w:type="character">
    <w:name w:val="xl77"/>
    <w:basedOn w:val="Style_5_ch"/>
    <w:link w:val="Style_152"/>
    <w:rPr>
      <w:i w:val="1"/>
      <w:sz w:val="28"/>
    </w:rPr>
  </w:style>
  <w:style w:styleId="Style_153" w:type="paragraph">
    <w:name w:val="xl65"/>
    <w:basedOn w:val="Style_5"/>
    <w:link w:val="Style_153_ch"/>
    <w:pPr>
      <w:widowControl w:val="0"/>
      <w:spacing w:afterAutospacing="on" w:beforeAutospacing="on"/>
      <w:ind/>
      <w:jc w:val="center"/>
    </w:pPr>
    <w:rPr>
      <w:sz w:val="24"/>
    </w:rPr>
  </w:style>
  <w:style w:styleId="Style_153_ch" w:type="character">
    <w:name w:val="xl65"/>
    <w:basedOn w:val="Style_5_ch"/>
    <w:link w:val="Style_153"/>
    <w:rPr>
      <w:sz w:val="24"/>
    </w:rPr>
  </w:style>
  <w:style w:styleId="Style_154" w:type="paragraph">
    <w:name w:val="Маркер1"/>
    <w:basedOn w:val="Style_5"/>
    <w:link w:val="Style_154_ch"/>
    <w:pPr>
      <w:widowControl w:val="0"/>
      <w:numPr>
        <w:ilvl w:val="0"/>
        <w:numId w:val="6"/>
      </w:numPr>
      <w:spacing w:line="312" w:lineRule="auto"/>
      <w:ind/>
      <w:jc w:val="both"/>
    </w:pPr>
    <w:rPr>
      <w:sz w:val="28"/>
    </w:rPr>
  </w:style>
  <w:style w:styleId="Style_154_ch" w:type="character">
    <w:name w:val="Маркер1"/>
    <w:basedOn w:val="Style_5_ch"/>
    <w:link w:val="Style_154"/>
    <w:rPr>
      <w:sz w:val="28"/>
    </w:rPr>
  </w:style>
  <w:style w:styleId="Style_155" w:type="paragraph">
    <w:name w:val="xl83"/>
    <w:basedOn w:val="Style_5"/>
    <w:link w:val="Style_155_ch"/>
    <w:pPr>
      <w:widowControl w:val="0"/>
      <w:spacing w:afterAutospacing="on" w:beforeAutospacing="on"/>
      <w:ind/>
    </w:pPr>
    <w:rPr>
      <w:sz w:val="24"/>
    </w:rPr>
  </w:style>
  <w:style w:styleId="Style_155_ch" w:type="character">
    <w:name w:val="xl83"/>
    <w:basedOn w:val="Style_5_ch"/>
    <w:link w:val="Style_155"/>
    <w:rPr>
      <w:sz w:val="24"/>
    </w:rPr>
  </w:style>
  <w:style w:styleId="Style_156" w:type="paragraph">
    <w:name w:val="1. Заголовок 1"/>
    <w:basedOn w:val="Style_85"/>
    <w:link w:val="Style_156_ch"/>
    <w:pPr>
      <w:widowControl w:val="0"/>
      <w:spacing w:after="240"/>
      <w:ind w:firstLine="709" w:left="0"/>
      <w:jc w:val="center"/>
    </w:pPr>
    <w:rPr>
      <w:b w:val="1"/>
      <w:smallCaps w:val="1"/>
      <w:sz w:val="24"/>
    </w:rPr>
  </w:style>
  <w:style w:styleId="Style_156_ch" w:type="character">
    <w:name w:val="1. Заголовок 1"/>
    <w:basedOn w:val="Style_85_ch"/>
    <w:link w:val="Style_156"/>
    <w:rPr>
      <w:b w:val="1"/>
      <w:smallCaps w:val="1"/>
      <w:sz w:val="24"/>
    </w:rPr>
  </w:style>
  <w:style w:styleId="Style_157" w:type="paragraph">
    <w:name w:val="toc 8"/>
    <w:next w:val="Style_5"/>
    <w:link w:val="Style_157_ch"/>
    <w:uiPriority w:val="39"/>
    <w:pPr>
      <w:widowControl w:val="0"/>
      <w:ind w:firstLine="0" w:left="1400"/>
      <w:jc w:val="left"/>
    </w:pPr>
    <w:rPr>
      <w:rFonts w:ascii="XO Thames" w:hAnsi="XO Thames"/>
      <w:sz w:val="28"/>
    </w:rPr>
  </w:style>
  <w:style w:styleId="Style_157_ch" w:type="character">
    <w:name w:val="toc 8"/>
    <w:link w:val="Style_157"/>
    <w:rPr>
      <w:rFonts w:ascii="XO Thames" w:hAnsi="XO Thames"/>
      <w:sz w:val="28"/>
    </w:rPr>
  </w:style>
  <w:style w:styleId="Style_158" w:type="paragraph">
    <w:name w:val="заголовок 11"/>
    <w:basedOn w:val="Style_5"/>
    <w:next w:val="Style_5"/>
    <w:link w:val="Style_158_ch"/>
    <w:pPr>
      <w:keepNext w:val="1"/>
      <w:widowControl w:val="0"/>
      <w:ind/>
      <w:jc w:val="center"/>
    </w:pPr>
    <w:rPr>
      <w:sz w:val="24"/>
    </w:rPr>
  </w:style>
  <w:style w:styleId="Style_158_ch" w:type="character">
    <w:name w:val="заголовок 11"/>
    <w:basedOn w:val="Style_5_ch"/>
    <w:link w:val="Style_158"/>
    <w:rPr>
      <w:sz w:val="24"/>
    </w:rPr>
  </w:style>
  <w:style w:styleId="Style_159" w:type="paragraph">
    <w:name w:val="xl63"/>
    <w:basedOn w:val="Style_5"/>
    <w:link w:val="Style_159_ch"/>
    <w:pPr>
      <w:widowControl w:val="0"/>
      <w:spacing w:afterAutospacing="on" w:beforeAutospacing="on"/>
      <w:ind/>
      <w:jc w:val="center"/>
    </w:pPr>
    <w:rPr>
      <w:sz w:val="18"/>
    </w:rPr>
  </w:style>
  <w:style w:styleId="Style_159_ch" w:type="character">
    <w:name w:val="xl63"/>
    <w:basedOn w:val="Style_5_ch"/>
    <w:link w:val="Style_159"/>
    <w:rPr>
      <w:sz w:val="18"/>
    </w:rPr>
  </w:style>
  <w:style w:styleId="Style_160" w:type="paragraph">
    <w:name w:val="xl67"/>
    <w:basedOn w:val="Style_5"/>
    <w:link w:val="Style_160_ch"/>
    <w:pPr>
      <w:widowControl w:val="0"/>
      <w:spacing w:afterAutospacing="on" w:beforeAutospacing="on"/>
      <w:ind/>
      <w:jc w:val="center"/>
    </w:pPr>
    <w:rPr>
      <w:color w:val="000000"/>
      <w:sz w:val="21"/>
    </w:rPr>
  </w:style>
  <w:style w:styleId="Style_160_ch" w:type="character">
    <w:name w:val="xl67"/>
    <w:basedOn w:val="Style_5_ch"/>
    <w:link w:val="Style_160"/>
    <w:rPr>
      <w:color w:val="000000"/>
      <w:sz w:val="21"/>
    </w:rPr>
  </w:style>
  <w:style w:styleId="Style_161" w:type="paragraph">
    <w:name w:val="xl86"/>
    <w:basedOn w:val="Style_5"/>
    <w:link w:val="Style_161_ch"/>
    <w:pPr>
      <w:widowControl w:val="0"/>
      <w:spacing w:afterAutospacing="on" w:beforeAutospacing="on"/>
      <w:ind/>
      <w:jc w:val="center"/>
    </w:pPr>
    <w:rPr>
      <w:sz w:val="24"/>
    </w:rPr>
  </w:style>
  <w:style w:styleId="Style_161_ch" w:type="character">
    <w:name w:val="xl86"/>
    <w:basedOn w:val="Style_5_ch"/>
    <w:link w:val="Style_161"/>
    <w:rPr>
      <w:sz w:val="24"/>
    </w:rPr>
  </w:style>
  <w:style w:styleId="Style_162" w:type="paragraph">
    <w:name w:val="Text Normal"/>
    <w:basedOn w:val="Style_5"/>
    <w:link w:val="Style_162_ch"/>
    <w:pPr>
      <w:widowControl w:val="0"/>
      <w:tabs>
        <w:tab w:leader="none" w:pos="1170" w:val="left"/>
      </w:tabs>
      <w:ind w:firstLine="540" w:left="360" w:right="448"/>
      <w:jc w:val="both"/>
    </w:pPr>
    <w:rPr>
      <w:rFonts w:ascii="TimesDL" w:hAnsi="TimesDL"/>
    </w:rPr>
  </w:style>
  <w:style w:styleId="Style_162_ch" w:type="character">
    <w:name w:val="Text Normal"/>
    <w:basedOn w:val="Style_5_ch"/>
    <w:link w:val="Style_162"/>
    <w:rPr>
      <w:rFonts w:ascii="TimesDL" w:hAnsi="TimesDL"/>
    </w:rPr>
  </w:style>
  <w:style w:styleId="Style_163" w:type="paragraph">
    <w:name w:val="Char Char2"/>
    <w:basedOn w:val="Style_5"/>
    <w:link w:val="Style_163_ch"/>
    <w:pPr>
      <w:widowControl w:val="0"/>
      <w:spacing w:afterAutospacing="on" w:beforeAutospacing="on"/>
      <w:ind/>
    </w:pPr>
    <w:rPr>
      <w:rFonts w:ascii="Tahoma" w:hAnsi="Tahoma"/>
    </w:rPr>
  </w:style>
  <w:style w:styleId="Style_163_ch" w:type="character">
    <w:name w:val="Char Char2"/>
    <w:basedOn w:val="Style_5_ch"/>
    <w:link w:val="Style_163"/>
    <w:rPr>
      <w:rFonts w:ascii="Tahoma" w:hAnsi="Tahoma"/>
    </w:rPr>
  </w:style>
  <w:style w:styleId="Style_164" w:type="paragraph">
    <w:name w:val="3"/>
    <w:basedOn w:val="Style_5"/>
    <w:link w:val="Style_164_ch"/>
    <w:pPr>
      <w:widowControl w:val="0"/>
      <w:ind/>
      <w:jc w:val="both"/>
    </w:pPr>
    <w:rPr>
      <w:sz w:val="24"/>
    </w:rPr>
  </w:style>
  <w:style w:styleId="Style_164_ch" w:type="character">
    <w:name w:val="3"/>
    <w:basedOn w:val="Style_5_ch"/>
    <w:link w:val="Style_164"/>
    <w:rPr>
      <w:sz w:val="24"/>
    </w:rPr>
  </w:style>
  <w:style w:styleId="Style_165" w:type="paragraph">
    <w:name w:val="xl101"/>
    <w:basedOn w:val="Style_5"/>
    <w:link w:val="Style_165_ch"/>
    <w:pPr>
      <w:widowControl w:val="0"/>
      <w:spacing w:afterAutospacing="on" w:beforeAutospacing="on"/>
      <w:ind/>
    </w:pPr>
    <w:rPr>
      <w:b w:val="1"/>
      <w:sz w:val="28"/>
    </w:rPr>
  </w:style>
  <w:style w:styleId="Style_165_ch" w:type="character">
    <w:name w:val="xl101"/>
    <w:basedOn w:val="Style_5_ch"/>
    <w:link w:val="Style_165"/>
    <w:rPr>
      <w:b w:val="1"/>
      <w:sz w:val="28"/>
    </w:rPr>
  </w:style>
  <w:style w:styleId="Style_166" w:type="paragraph">
    <w:name w:val="Основной текст1"/>
    <w:basedOn w:val="Style_5"/>
    <w:link w:val="Style_166_ch"/>
    <w:pPr>
      <w:widowControl w:val="0"/>
      <w:spacing w:after="120" w:before="120"/>
      <w:ind/>
      <w:jc w:val="both"/>
    </w:pPr>
    <w:rPr>
      <w:sz w:val="24"/>
    </w:rPr>
  </w:style>
  <w:style w:styleId="Style_166_ch" w:type="character">
    <w:name w:val="Основной текст1"/>
    <w:basedOn w:val="Style_5_ch"/>
    <w:link w:val="Style_166"/>
    <w:rPr>
      <w:sz w:val="24"/>
    </w:rPr>
  </w:style>
  <w:style w:styleId="Style_167" w:type="paragraph">
    <w:name w:val="xl87"/>
    <w:basedOn w:val="Style_5"/>
    <w:link w:val="Style_167_ch"/>
    <w:pPr>
      <w:widowControl w:val="0"/>
      <w:spacing w:afterAutospacing="on" w:beforeAutospacing="on"/>
      <w:ind/>
    </w:pPr>
    <w:rPr>
      <w:sz w:val="24"/>
    </w:rPr>
  </w:style>
  <w:style w:styleId="Style_167_ch" w:type="character">
    <w:name w:val="xl87"/>
    <w:basedOn w:val="Style_5_ch"/>
    <w:link w:val="Style_167"/>
    <w:rPr>
      <w:sz w:val="24"/>
    </w:rPr>
  </w:style>
  <w:style w:styleId="Style_168" w:type="paragraph">
    <w:name w:val="xl68"/>
    <w:basedOn w:val="Style_5"/>
    <w:link w:val="Style_168_ch"/>
    <w:pPr>
      <w:widowControl w:val="0"/>
      <w:spacing w:afterAutospacing="on" w:beforeAutospacing="on"/>
      <w:ind/>
      <w:jc w:val="center"/>
    </w:pPr>
    <w:rPr>
      <w:sz w:val="21"/>
    </w:rPr>
  </w:style>
  <w:style w:styleId="Style_168_ch" w:type="character">
    <w:name w:val="xl68"/>
    <w:basedOn w:val="Style_5_ch"/>
    <w:link w:val="Style_168"/>
    <w:rPr>
      <w:sz w:val="21"/>
    </w:rPr>
  </w:style>
  <w:style w:styleId="Style_169" w:type="paragraph">
    <w:name w:val="Основной текст 22"/>
    <w:basedOn w:val="Style_5"/>
    <w:link w:val="Style_169_ch"/>
    <w:pPr>
      <w:widowControl w:val="0"/>
      <w:ind w:firstLine="567" w:left="0"/>
      <w:jc w:val="both"/>
    </w:pPr>
    <w:rPr>
      <w:sz w:val="24"/>
    </w:rPr>
  </w:style>
  <w:style w:styleId="Style_169_ch" w:type="character">
    <w:name w:val="Основной текст 22"/>
    <w:basedOn w:val="Style_5_ch"/>
    <w:link w:val="Style_169"/>
    <w:rPr>
      <w:sz w:val="24"/>
    </w:rPr>
  </w:style>
  <w:style w:styleId="Style_170" w:type="paragraph">
    <w:name w:val="toc 5"/>
    <w:next w:val="Style_5"/>
    <w:link w:val="Style_170_ch"/>
    <w:uiPriority w:val="39"/>
    <w:pPr>
      <w:widowControl w:val="0"/>
      <w:ind w:firstLine="0" w:left="800"/>
      <w:jc w:val="left"/>
    </w:pPr>
    <w:rPr>
      <w:rFonts w:ascii="XO Thames" w:hAnsi="XO Thames"/>
      <w:sz w:val="28"/>
    </w:rPr>
  </w:style>
  <w:style w:styleId="Style_170_ch" w:type="character">
    <w:name w:val="toc 5"/>
    <w:link w:val="Style_170"/>
    <w:rPr>
      <w:rFonts w:ascii="XO Thames" w:hAnsi="XO Thames"/>
      <w:sz w:val="28"/>
    </w:rPr>
  </w:style>
  <w:style w:styleId="Style_171" w:type="paragraph">
    <w:name w:val="текст1"/>
    <w:link w:val="Style_171_ch"/>
    <w:pPr>
      <w:widowControl w:val="0"/>
      <w:ind w:firstLine="397" w:left="0"/>
      <w:jc w:val="both"/>
    </w:pPr>
    <w:rPr>
      <w:rFonts w:ascii="SchoolBookC" w:hAnsi="SchoolBookC"/>
      <w:sz w:val="24"/>
    </w:rPr>
  </w:style>
  <w:style w:styleId="Style_171_ch" w:type="character">
    <w:name w:val="текст1"/>
    <w:link w:val="Style_171"/>
    <w:rPr>
      <w:rFonts w:ascii="SchoolBookC" w:hAnsi="SchoolBookC"/>
      <w:sz w:val="24"/>
    </w:rPr>
  </w:style>
  <w:style w:styleId="Style_172" w:type="paragraph">
    <w:name w:val="Список отчета"/>
    <w:basedOn w:val="Style_5"/>
    <w:link w:val="Style_172_ch"/>
    <w:pPr>
      <w:widowControl w:val="0"/>
      <w:tabs>
        <w:tab w:leader="none" w:pos="1069" w:val="left"/>
      </w:tabs>
      <w:spacing w:after="120" w:line="360" w:lineRule="auto"/>
      <w:ind w:firstLine="709" w:left="0"/>
      <w:jc w:val="both"/>
    </w:pPr>
    <w:rPr>
      <w:b w:val="1"/>
      <w:sz w:val="24"/>
    </w:rPr>
  </w:style>
  <w:style w:styleId="Style_172_ch" w:type="character">
    <w:name w:val="Список отчета"/>
    <w:basedOn w:val="Style_5_ch"/>
    <w:link w:val="Style_172"/>
    <w:rPr>
      <w:b w:val="1"/>
      <w:sz w:val="24"/>
    </w:rPr>
  </w:style>
  <w:style w:styleId="Style_173" w:type="paragraph">
    <w:name w:val="Спис_заголовок"/>
    <w:basedOn w:val="Style_5"/>
    <w:next w:val="Style_81"/>
    <w:link w:val="Style_173_ch"/>
    <w:pPr>
      <w:keepNext w:val="1"/>
      <w:keepLines w:val="1"/>
      <w:widowControl w:val="0"/>
      <w:tabs>
        <w:tab w:leader="none" w:pos="0" w:val="left"/>
        <w:tab w:leader="none" w:pos="360" w:val="left"/>
      </w:tabs>
      <w:spacing w:after="60" w:before="60"/>
      <w:ind/>
      <w:jc w:val="both"/>
    </w:pPr>
    <w:rPr>
      <w:sz w:val="22"/>
    </w:rPr>
  </w:style>
  <w:style w:styleId="Style_173_ch" w:type="character">
    <w:name w:val="Спис_заголовок"/>
    <w:basedOn w:val="Style_5_ch"/>
    <w:link w:val="Style_173"/>
    <w:rPr>
      <w:sz w:val="22"/>
    </w:rPr>
  </w:style>
  <w:style w:styleId="Style_174" w:type="paragraph">
    <w:name w:val="Заголовок 3.H3"/>
    <w:basedOn w:val="Style_5"/>
    <w:next w:val="Style_5"/>
    <w:link w:val="Style_174_ch"/>
    <w:pPr>
      <w:widowControl w:val="0"/>
      <w:spacing w:before="120"/>
      <w:ind/>
    </w:pPr>
    <w:rPr>
      <w:sz w:val="22"/>
    </w:rPr>
  </w:style>
  <w:style w:styleId="Style_174_ch" w:type="character">
    <w:name w:val="Заголовок 3.H3"/>
    <w:basedOn w:val="Style_5_ch"/>
    <w:link w:val="Style_174"/>
    <w:rPr>
      <w:sz w:val="22"/>
    </w:rPr>
  </w:style>
  <w:style w:styleId="Style_175" w:type="paragraph">
    <w:name w:val="FR5"/>
    <w:link w:val="Style_175_ch"/>
    <w:pPr>
      <w:widowControl w:val="0"/>
      <w:spacing w:line="300" w:lineRule="auto"/>
      <w:ind/>
    </w:pPr>
    <w:rPr>
      <w:rFonts w:ascii="Arial" w:hAnsi="Arial"/>
      <w:b w:val="1"/>
      <w:sz w:val="22"/>
    </w:rPr>
  </w:style>
  <w:style w:styleId="Style_175_ch" w:type="character">
    <w:name w:val="FR5"/>
    <w:link w:val="Style_175"/>
    <w:rPr>
      <w:rFonts w:ascii="Arial" w:hAnsi="Arial"/>
      <w:b w:val="1"/>
      <w:sz w:val="22"/>
    </w:rPr>
  </w:style>
  <w:style w:styleId="Style_176" w:type="paragraph">
    <w:name w:val="xl102"/>
    <w:basedOn w:val="Style_5"/>
    <w:link w:val="Style_176_ch"/>
    <w:pPr>
      <w:widowControl w:val="0"/>
      <w:spacing w:afterAutospacing="on" w:beforeAutospacing="on"/>
      <w:ind/>
    </w:pPr>
    <w:rPr>
      <w:i w:val="1"/>
      <w:sz w:val="24"/>
    </w:rPr>
  </w:style>
  <w:style w:styleId="Style_176_ch" w:type="character">
    <w:name w:val="xl102"/>
    <w:basedOn w:val="Style_5_ch"/>
    <w:link w:val="Style_176"/>
    <w:rPr>
      <w:i w:val="1"/>
      <w:sz w:val="24"/>
    </w:rPr>
  </w:style>
  <w:style w:styleId="Style_177" w:type="paragraph">
    <w:name w:val="xl79"/>
    <w:basedOn w:val="Style_5"/>
    <w:link w:val="Style_177_ch"/>
    <w:pPr>
      <w:widowControl w:val="0"/>
      <w:spacing w:afterAutospacing="on" w:beforeAutospacing="on"/>
      <w:ind/>
    </w:pPr>
    <w:rPr>
      <w:sz w:val="28"/>
    </w:rPr>
  </w:style>
  <w:style w:styleId="Style_177_ch" w:type="character">
    <w:name w:val="xl79"/>
    <w:basedOn w:val="Style_5_ch"/>
    <w:link w:val="Style_177"/>
    <w:rPr>
      <w:sz w:val="28"/>
    </w:rPr>
  </w:style>
  <w:style w:styleId="Style_178" w:type="paragraph">
    <w:name w:val="ConsTitle"/>
    <w:link w:val="Style_178_ch"/>
    <w:pPr>
      <w:widowControl w:val="0"/>
      <w:ind w:right="19772"/>
    </w:pPr>
    <w:rPr>
      <w:rFonts w:ascii="Arial" w:hAnsi="Arial"/>
      <w:b w:val="1"/>
    </w:rPr>
  </w:style>
  <w:style w:styleId="Style_178_ch" w:type="character">
    <w:name w:val="ConsTitle"/>
    <w:link w:val="Style_178"/>
    <w:rPr>
      <w:rFonts w:ascii="Arial" w:hAnsi="Arial"/>
      <w:b w:val="1"/>
    </w:rPr>
  </w:style>
  <w:style w:styleId="Style_179" w:type="paragraph">
    <w:name w:val="Стиль5"/>
    <w:basedOn w:val="Style_5"/>
    <w:link w:val="Style_179_ch"/>
    <w:pPr>
      <w:widowControl w:val="0"/>
      <w:ind w:firstLine="426" w:left="0"/>
      <w:jc w:val="center"/>
    </w:pPr>
    <w:rPr>
      <w:sz w:val="24"/>
    </w:rPr>
  </w:style>
  <w:style w:styleId="Style_179_ch" w:type="character">
    <w:name w:val="Стиль5"/>
    <w:basedOn w:val="Style_5_ch"/>
    <w:link w:val="Style_179"/>
    <w:rPr>
      <w:sz w:val="24"/>
    </w:rPr>
  </w:style>
  <w:style w:styleId="Style_180" w:type="paragraph">
    <w:name w:val="xl89"/>
    <w:basedOn w:val="Style_5"/>
    <w:link w:val="Style_180_ch"/>
    <w:pPr>
      <w:widowControl w:val="0"/>
      <w:spacing w:afterAutospacing="on" w:beforeAutospacing="on"/>
      <w:ind/>
    </w:pPr>
    <w:rPr>
      <w:b w:val="1"/>
      <w:sz w:val="28"/>
    </w:rPr>
  </w:style>
  <w:style w:styleId="Style_180_ch" w:type="character">
    <w:name w:val="xl89"/>
    <w:basedOn w:val="Style_5_ch"/>
    <w:link w:val="Style_180"/>
    <w:rPr>
      <w:b w:val="1"/>
      <w:sz w:val="28"/>
    </w:rPr>
  </w:style>
  <w:style w:styleId="Style_181" w:type="paragraph">
    <w:name w:val="List Bullet 3"/>
    <w:basedOn w:val="Style_77"/>
    <w:link w:val="Style_181_ch"/>
    <w:pPr>
      <w:widowControl w:val="0"/>
      <w:ind w:firstLine="0" w:left="1440"/>
    </w:pPr>
  </w:style>
  <w:style w:styleId="Style_181_ch" w:type="character">
    <w:name w:val="List Bullet 3"/>
    <w:basedOn w:val="Style_77_ch"/>
    <w:link w:val="Style_181"/>
  </w:style>
  <w:style w:styleId="Style_182" w:type="paragraph">
    <w:name w:val="annotation reference"/>
    <w:link w:val="Style_182_ch"/>
    <w:rPr>
      <w:sz w:val="16"/>
    </w:rPr>
  </w:style>
  <w:style w:styleId="Style_182_ch" w:type="character">
    <w:name w:val="annotation reference"/>
    <w:link w:val="Style_182"/>
    <w:rPr>
      <w:sz w:val="16"/>
    </w:rPr>
  </w:style>
  <w:style w:styleId="Style_183" w:type="paragraph">
    <w:name w:val="grame"/>
    <w:link w:val="Style_183_ch"/>
  </w:style>
  <w:style w:styleId="Style_183_ch" w:type="character">
    <w:name w:val="grame"/>
    <w:link w:val="Style_183"/>
  </w:style>
  <w:style w:styleId="Style_44" w:type="paragraph">
    <w:name w:val="Обычный1"/>
    <w:link w:val="Style_44_ch"/>
    <w:pPr>
      <w:widowControl w:val="0"/>
      <w:ind w:firstLine="560" w:left="120"/>
    </w:pPr>
    <w:rPr>
      <w:rFonts w:ascii="Arial" w:hAnsi="Arial"/>
      <w:sz w:val="22"/>
    </w:rPr>
  </w:style>
  <w:style w:styleId="Style_44_ch" w:type="character">
    <w:name w:val="Обычный1"/>
    <w:link w:val="Style_44"/>
    <w:rPr>
      <w:rFonts w:ascii="Arial" w:hAnsi="Arial"/>
      <w:sz w:val="22"/>
    </w:rPr>
  </w:style>
  <w:style w:styleId="Style_184" w:type="paragraph">
    <w:name w:val="текст"/>
    <w:link w:val="Style_184_ch"/>
    <w:pPr>
      <w:widowControl w:val="0"/>
      <w:ind/>
      <w:jc w:val="both"/>
    </w:pPr>
    <w:rPr>
      <w:rFonts w:ascii="SchoolBookC" w:hAnsi="SchoolBookC"/>
      <w:color w:val="000000"/>
      <w:sz w:val="24"/>
    </w:rPr>
  </w:style>
  <w:style w:styleId="Style_184_ch" w:type="character">
    <w:name w:val="текст"/>
    <w:link w:val="Style_184"/>
    <w:rPr>
      <w:rFonts w:ascii="SchoolBookC" w:hAnsi="SchoolBookC"/>
      <w:color w:val="000000"/>
      <w:sz w:val="24"/>
    </w:rPr>
  </w:style>
  <w:style w:styleId="Style_185" w:type="paragraph">
    <w:name w:val="caption"/>
    <w:basedOn w:val="Style_5"/>
    <w:next w:val="Style_5"/>
    <w:link w:val="Style_185_ch"/>
    <w:pPr>
      <w:widowControl w:val="0"/>
      <w:ind/>
      <w:jc w:val="center"/>
    </w:pPr>
    <w:rPr>
      <w:b w:val="1"/>
      <w:sz w:val="24"/>
    </w:rPr>
  </w:style>
  <w:style w:styleId="Style_185_ch" w:type="character">
    <w:name w:val="caption"/>
    <w:basedOn w:val="Style_5_ch"/>
    <w:link w:val="Style_185"/>
    <w:rPr>
      <w:b w:val="1"/>
      <w:sz w:val="24"/>
    </w:rPr>
  </w:style>
  <w:style w:styleId="Style_186" w:type="paragraph">
    <w:name w:val="Subtitle"/>
    <w:basedOn w:val="Style_5"/>
    <w:link w:val="Style_186_ch"/>
    <w:uiPriority w:val="11"/>
    <w:qFormat/>
    <w:pPr>
      <w:widowControl w:val="0"/>
      <w:tabs>
        <w:tab w:leader="none" w:pos="567" w:val="left"/>
      </w:tabs>
      <w:spacing w:line="360" w:lineRule="auto"/>
      <w:ind w:firstLine="709" w:left="0"/>
      <w:jc w:val="both"/>
    </w:pPr>
    <w:rPr>
      <w:b w:val="1"/>
      <w:sz w:val="24"/>
    </w:rPr>
  </w:style>
  <w:style w:styleId="Style_186_ch" w:type="character">
    <w:name w:val="Subtitle"/>
    <w:basedOn w:val="Style_5_ch"/>
    <w:link w:val="Style_186"/>
    <w:rPr>
      <w:b w:val="1"/>
      <w:sz w:val="24"/>
    </w:rPr>
  </w:style>
  <w:style w:styleId="Style_187" w:type="paragraph">
    <w:name w:val="List Paragraph"/>
    <w:basedOn w:val="Style_5"/>
    <w:link w:val="Style_187_ch"/>
    <w:pPr>
      <w:widowControl w:val="0"/>
      <w:spacing w:after="200" w:line="276" w:lineRule="auto"/>
      <w:ind w:firstLine="0" w:left="720"/>
      <w:contextualSpacing w:val="1"/>
    </w:pPr>
    <w:rPr>
      <w:rFonts w:ascii="Calibri" w:hAnsi="Calibri"/>
      <w:sz w:val="22"/>
    </w:rPr>
  </w:style>
  <w:style w:styleId="Style_187_ch" w:type="character">
    <w:name w:val="List Paragraph"/>
    <w:basedOn w:val="Style_5_ch"/>
    <w:link w:val="Style_187"/>
    <w:rPr>
      <w:rFonts w:ascii="Calibri" w:hAnsi="Calibri"/>
      <w:sz w:val="22"/>
    </w:rPr>
  </w:style>
  <w:style w:styleId="Style_188" w:type="paragraph">
    <w:name w:val="xl98"/>
    <w:basedOn w:val="Style_5"/>
    <w:link w:val="Style_188_ch"/>
    <w:pPr>
      <w:widowControl w:val="0"/>
      <w:spacing w:afterAutospacing="on" w:beforeAutospacing="on"/>
      <w:ind/>
      <w:jc w:val="center"/>
    </w:pPr>
    <w:rPr>
      <w:sz w:val="24"/>
    </w:rPr>
  </w:style>
  <w:style w:styleId="Style_188_ch" w:type="character">
    <w:name w:val="xl98"/>
    <w:basedOn w:val="Style_5_ch"/>
    <w:link w:val="Style_188"/>
    <w:rPr>
      <w:sz w:val="24"/>
    </w:rPr>
  </w:style>
  <w:style w:styleId="Style_4" w:type="paragraph">
    <w:name w:val="Title"/>
    <w:basedOn w:val="Style_5"/>
    <w:link w:val="Style_4_ch"/>
    <w:uiPriority w:val="10"/>
    <w:qFormat/>
    <w:pPr>
      <w:widowControl w:val="0"/>
      <w:ind/>
      <w:jc w:val="center"/>
    </w:pPr>
    <w:rPr>
      <w:sz w:val="32"/>
    </w:rPr>
  </w:style>
  <w:style w:styleId="Style_4_ch" w:type="character">
    <w:name w:val="Title"/>
    <w:basedOn w:val="Style_5_ch"/>
    <w:link w:val="Style_4"/>
    <w:rPr>
      <w:sz w:val="32"/>
    </w:rPr>
  </w:style>
  <w:style w:styleId="Style_9" w:type="paragraph">
    <w:name w:val="heading 4"/>
    <w:basedOn w:val="Style_5"/>
    <w:next w:val="Style_5"/>
    <w:link w:val="Style_9_ch"/>
    <w:uiPriority w:val="9"/>
    <w:qFormat/>
    <w:pPr>
      <w:keepNext w:val="1"/>
      <w:widowControl w:val="0"/>
      <w:numPr>
        <w:ilvl w:val="3"/>
        <w:numId w:val="5"/>
      </w:numPr>
      <w:spacing w:after="120" w:before="240"/>
      <w:ind/>
      <w:outlineLvl w:val="3"/>
    </w:pPr>
    <w:rPr>
      <w:b w:val="1"/>
      <w:sz w:val="28"/>
    </w:rPr>
  </w:style>
  <w:style w:styleId="Style_9_ch" w:type="character">
    <w:name w:val="heading 4"/>
    <w:basedOn w:val="Style_5_ch"/>
    <w:link w:val="Style_9"/>
    <w:rPr>
      <w:b w:val="1"/>
      <w:sz w:val="28"/>
    </w:rPr>
  </w:style>
  <w:style w:styleId="Style_189" w:type="paragraph">
    <w:name w:val="Body Text 3"/>
    <w:basedOn w:val="Style_5"/>
    <w:link w:val="Style_189_ch"/>
    <w:pPr>
      <w:widowControl w:val="0"/>
      <w:spacing w:after="120"/>
      <w:ind/>
    </w:pPr>
    <w:rPr>
      <w:sz w:val="16"/>
    </w:rPr>
  </w:style>
  <w:style w:styleId="Style_189_ch" w:type="character">
    <w:name w:val="Body Text 3"/>
    <w:basedOn w:val="Style_5_ch"/>
    <w:link w:val="Style_189"/>
    <w:rPr>
      <w:sz w:val="16"/>
    </w:rPr>
  </w:style>
  <w:style w:styleId="Style_190" w:type="paragraph">
    <w:name w:val="Document Map"/>
    <w:basedOn w:val="Style_5"/>
    <w:link w:val="Style_190_ch"/>
    <w:rPr>
      <w:rFonts w:ascii="Tahoma" w:hAnsi="Tahoma"/>
    </w:rPr>
  </w:style>
  <w:style w:styleId="Style_190_ch" w:type="character">
    <w:name w:val="Document Map"/>
    <w:basedOn w:val="Style_5_ch"/>
    <w:link w:val="Style_190"/>
    <w:rPr>
      <w:rFonts w:ascii="Tahoma" w:hAnsi="Tahoma"/>
    </w:rPr>
  </w:style>
  <w:style w:styleId="Style_191" w:type="paragraph">
    <w:name w:val="Основной шрифт"/>
    <w:link w:val="Style_191_ch"/>
  </w:style>
  <w:style w:styleId="Style_191_ch" w:type="character">
    <w:name w:val="Основной шрифт"/>
    <w:link w:val="Style_191"/>
  </w:style>
  <w:style w:styleId="Style_192" w:type="paragraph">
    <w:name w:val="Тендерные данные"/>
    <w:basedOn w:val="Style_5"/>
    <w:link w:val="Style_192_ch"/>
    <w:pPr>
      <w:widowControl w:val="0"/>
      <w:tabs>
        <w:tab w:leader="none" w:pos="1985" w:val="left"/>
      </w:tabs>
      <w:spacing w:after="60" w:before="120"/>
      <w:ind/>
      <w:jc w:val="both"/>
    </w:pPr>
    <w:rPr>
      <w:b w:val="1"/>
      <w:sz w:val="24"/>
    </w:rPr>
  </w:style>
  <w:style w:styleId="Style_192_ch" w:type="character">
    <w:name w:val="Тендерные данные"/>
    <w:basedOn w:val="Style_5_ch"/>
    <w:link w:val="Style_192"/>
    <w:rPr>
      <w:b w:val="1"/>
      <w:sz w:val="24"/>
    </w:rPr>
  </w:style>
  <w:style w:styleId="Style_193" w:type="paragraph">
    <w:name w:val="3. Заголовок 3"/>
    <w:basedOn w:val="Style_47"/>
    <w:link w:val="Style_193_ch"/>
    <w:pPr>
      <w:widowControl w:val="0"/>
      <w:spacing w:before="60" w:line="288" w:lineRule="auto"/>
      <w:ind w:firstLine="0" w:left="0"/>
      <w:jc w:val="both"/>
    </w:pPr>
    <w:rPr>
      <w:smallCaps w:val="0"/>
    </w:rPr>
  </w:style>
  <w:style w:styleId="Style_193_ch" w:type="character">
    <w:name w:val="3. Заголовок 3"/>
    <w:basedOn w:val="Style_47_ch"/>
    <w:link w:val="Style_193"/>
    <w:rPr>
      <w:smallCaps w:val="0"/>
    </w:rPr>
  </w:style>
  <w:style w:styleId="Style_194" w:type="paragraph">
    <w:name w:val="отчет"/>
    <w:basedOn w:val="Style_5"/>
    <w:link w:val="Style_194_ch"/>
    <w:pPr>
      <w:widowControl w:val="0"/>
      <w:spacing w:after="120" w:line="360" w:lineRule="auto"/>
      <w:ind w:firstLine="709" w:left="0"/>
      <w:jc w:val="both"/>
    </w:pPr>
    <w:rPr>
      <w:sz w:val="22"/>
    </w:rPr>
  </w:style>
  <w:style w:styleId="Style_194_ch" w:type="character">
    <w:name w:val="отчет"/>
    <w:basedOn w:val="Style_5_ch"/>
    <w:link w:val="Style_194"/>
    <w:rPr>
      <w:sz w:val="22"/>
    </w:rPr>
  </w:style>
  <w:style w:styleId="Style_195" w:type="paragraph">
    <w:name w:val="heading 2"/>
    <w:basedOn w:val="Style_5"/>
    <w:next w:val="Style_5"/>
    <w:link w:val="Style_195_ch"/>
    <w:uiPriority w:val="9"/>
    <w:qFormat/>
    <w:pPr>
      <w:keepNext w:val="1"/>
      <w:widowControl w:val="0"/>
      <w:numPr>
        <w:ilvl w:val="1"/>
        <w:numId w:val="5"/>
      </w:numPr>
      <w:spacing w:after="60" w:before="240"/>
      <w:ind/>
      <w:outlineLvl w:val="1"/>
    </w:pPr>
    <w:rPr>
      <w:rFonts w:ascii="Arial" w:hAnsi="Arial"/>
      <w:b w:val="1"/>
      <w:i w:val="1"/>
      <w:sz w:val="28"/>
    </w:rPr>
  </w:style>
  <w:style w:styleId="Style_195_ch" w:type="character">
    <w:name w:val="heading 2"/>
    <w:basedOn w:val="Style_5_ch"/>
    <w:link w:val="Style_195"/>
    <w:rPr>
      <w:rFonts w:ascii="Arial" w:hAnsi="Arial"/>
      <w:b w:val="1"/>
      <w:i w:val="1"/>
      <w:sz w:val="28"/>
    </w:rPr>
  </w:style>
  <w:style w:styleId="Style_196" w:type="paragraph">
    <w:name w:val="втяжка"/>
    <w:basedOn w:val="Style_171"/>
    <w:next w:val="Style_171"/>
    <w:link w:val="Style_196_ch"/>
    <w:pPr>
      <w:widowControl w:val="0"/>
      <w:tabs>
        <w:tab w:leader="none" w:pos="567" w:val="left"/>
      </w:tabs>
      <w:spacing w:before="57"/>
      <w:ind w:hanging="567" w:left="567"/>
    </w:pPr>
  </w:style>
  <w:style w:styleId="Style_196_ch" w:type="character">
    <w:name w:val="втяжка"/>
    <w:basedOn w:val="Style_171_ch"/>
    <w:link w:val="Style_196"/>
  </w:style>
  <w:style w:styleId="Style_197" w:type="paragraph">
    <w:name w:val="FR4"/>
    <w:link w:val="Style_197_ch"/>
    <w:pPr>
      <w:widowControl w:val="0"/>
      <w:spacing w:before="460"/>
      <w:ind w:firstLine="0" w:left="2560"/>
    </w:pPr>
    <w:rPr>
      <w:rFonts w:ascii="Arial" w:hAnsi="Arial"/>
      <w:sz w:val="32"/>
    </w:rPr>
  </w:style>
  <w:style w:styleId="Style_197_ch" w:type="character">
    <w:name w:val="FR4"/>
    <w:link w:val="Style_197"/>
    <w:rPr>
      <w:rFonts w:ascii="Arial" w:hAnsi="Arial"/>
      <w:sz w:val="32"/>
    </w:rPr>
  </w:style>
  <w:style w:styleId="Style_198" w:type="paragraph">
    <w:name w:val="heading 6"/>
    <w:basedOn w:val="Style_5"/>
    <w:next w:val="Style_5"/>
    <w:link w:val="Style_198_ch"/>
    <w:uiPriority w:val="9"/>
    <w:qFormat/>
    <w:pPr>
      <w:widowControl w:val="0"/>
      <w:numPr>
        <w:ilvl w:val="5"/>
        <w:numId w:val="5"/>
      </w:numPr>
      <w:spacing w:after="60" w:before="240"/>
      <w:ind/>
      <w:outlineLvl w:val="5"/>
    </w:pPr>
    <w:rPr>
      <w:b w:val="1"/>
      <w:sz w:val="22"/>
    </w:rPr>
  </w:style>
  <w:style w:styleId="Style_198_ch" w:type="character">
    <w:name w:val="heading 6"/>
    <w:basedOn w:val="Style_5_ch"/>
    <w:link w:val="Style_198"/>
    <w:rPr>
      <w:b w:val="1"/>
      <w:sz w:val="22"/>
    </w:rPr>
  </w:style>
  <w:style w:styleId="Style_199" w:type="paragraph">
    <w:name w:val="xl105"/>
    <w:basedOn w:val="Style_5"/>
    <w:link w:val="Style_199_ch"/>
    <w:pPr>
      <w:widowControl w:val="0"/>
      <w:spacing w:afterAutospacing="on" w:beforeAutospacing="on"/>
      <w:ind/>
      <w:jc w:val="center"/>
    </w:pPr>
    <w:rPr>
      <w:sz w:val="24"/>
    </w:rPr>
  </w:style>
  <w:style w:styleId="Style_199_ch" w:type="character">
    <w:name w:val="xl105"/>
    <w:basedOn w:val="Style_5_ch"/>
    <w:link w:val="Style_199"/>
    <w:rPr>
      <w:sz w:val="24"/>
    </w:rPr>
  </w:style>
  <w:style w:styleId="Style_94" w:type="paragraph">
    <w:name w:val="Стиль3"/>
    <w:basedOn w:val="Style_5"/>
    <w:link w:val="Style_94_ch"/>
    <w:pPr>
      <w:widowControl w:val="0"/>
      <w:ind/>
      <w:jc w:val="both"/>
    </w:pPr>
  </w:style>
  <w:style w:styleId="Style_94_ch" w:type="character">
    <w:name w:val="Стиль3"/>
    <w:basedOn w:val="Style_5_ch"/>
    <w:link w:val="Style_94"/>
  </w:style>
  <w:style w:default="1" w:styleId="Style_1" w:type="table">
    <w:name w:val="Normal Table"/>
    <w:tblPr>
      <w:tblInd w:type="dxa" w:w="0"/>
      <w:tblCellMar>
        <w:top w:type="dxa" w:w="0"/>
        <w:left w:type="dxa" w:w="108"/>
        <w:bottom w:type="dxa" w:w="0"/>
        <w:right w:type="dxa" w:w="108"/>
      </w:tblCellMar>
    </w:tblPr>
  </w:style>
  <w:style w:styleId="Style_200" w:type="table">
    <w:name w:val="Table Elegant"/>
    <w:basedOn w:val="Style_1"/>
    <w:tblPr>
      <w:tblBorders>
        <w:top w:color="000000" w:sz="6" w:val="double"/>
        <w:left w:color="000000" w:sz="6" w:val="double"/>
        <w:bottom w:color="000000" w:sz="6" w:val="double"/>
        <w:right w:color="000000" w:sz="6" w:val="double"/>
        <w:insideH w:color="000000" w:sz="6" w:val="single"/>
        <w:insideV w:color="000000" w:sz="6" w:val="single"/>
      </w:tblBorders>
    </w:tblPr>
  </w:style>
  <w:style w:styleId="Style_201" w:type="table">
    <w:name w:val="Table Web 2"/>
    <w:basedOn w:val="Style_1"/>
    <w:tblPr>
      <w:tblBorders>
        <w:top w:color="000000" w:sz="6" w:val="single"/>
        <w:left w:color="000000" w:sz="6" w:val="single"/>
        <w:bottom w:color="000000" w:sz="6" w:val="single"/>
        <w:right w:color="000000" w:sz="6" w:val="single"/>
        <w:insideH w:color="000000" w:sz="6" w:val="single"/>
        <w:insideV w:color="000000" w:sz="6" w:val="single"/>
      </w:tblBorders>
    </w:tblPr>
  </w:style>
  <w:style w:styleId="Style_202" w:type="table">
    <w:name w:val="Table Web 3"/>
    <w:basedOn w:val="Style_1"/>
    <w:tblPr>
      <w:tblBorders>
        <w:top w:color="000000" w:sz="24" w:val="single"/>
        <w:left w:color="000000" w:sz="24" w:val="single"/>
        <w:bottom w:color="000000" w:sz="24" w:val="single"/>
        <w:right w:color="000000" w:sz="24" w:val="single"/>
        <w:insideH w:color="000000" w:sz="6" w:val="single"/>
        <w:insideV w:color="000000" w:sz="6" w:val="single"/>
      </w:tblBorders>
    </w:tblPr>
  </w:style>
  <w:style w:styleId="Style_203" w:type="table">
    <w:name w:val="Table Web 1"/>
    <w:basedOn w:val="Style_1"/>
    <w:tblPr>
      <w:tblBorders>
        <w:top w:color="000000" w:sz="6" w:val="single"/>
        <w:left w:color="000000" w:sz="6" w:val="single"/>
        <w:bottom w:color="000000" w:sz="6" w:val="single"/>
        <w:right w:color="000000" w:sz="6" w:val="single"/>
        <w:insideH w:color="000000" w:sz="6" w:val="single"/>
        <w:insideV w:color="000000" w:sz="6" w:val="single"/>
      </w:tblBorders>
    </w:tblPr>
  </w:style>
  <w:style w:styleId="Style_204" w:type="table">
    <w:name w:val="Table Grid"/>
    <w:basedOn w:val="Style_1"/>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WithEffects.xml" Type="http://schemas.microsoft.com/office/2007/relationships/stylesWithEffects"/>
  <Relationship Id="rId1" Target="fontTable.xml" Type="http://schemas.openxmlformats.org/officeDocument/2006/relationships/fontTable"/>
  <Relationship Id="rId7" Target="numbering.xml" Type="http://schemas.openxmlformats.org/officeDocument/2006/relationships/numbering"/>
  <Relationship Id="rId5" Target="webSettings.xml" Type="http://schemas.openxmlformats.org/officeDocument/2006/relationships/webSettings"/>
  <Relationship Id="rId3" Target="styles.xml" Type="http://schemas.openxmlformats.org/officeDocument/2006/relationships/styles"/>
  <Relationship Id="rId2" Target="settings.xml" Type="http://schemas.openxmlformats.org/officeDocument/2006/relationships/settings"/>
  <Relationship Id="rId6" Target="theme/theme1.xml" Type="http://schemas.openxmlformats.org/officeDocument/2006/relationships/theme"/>
</Relationships>

</file>

<file path=word/theme/theme1.xml><?xml version="1.0" encoding="utf-8"?>
<a:theme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MyOffice-CoreFramework-Linux/40-1423.1132.10486.1056.1@caa01adfe7514f7087162c1f43c2b26a8b6911f1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2026-04-16T14:07:50Z</dcterms:created>
  <dcterms:modified xsi:type="dcterms:W3CDTF">2026-09-22T12:28:18Z</dcterms:modified>
</cp:coreProperties>
</file>